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auto"/>
        <w:jc w:val="both"/>
        <w:rPr>
          <w:sz w:val="24"/>
          <w:szCs w:val="24"/>
        </w:rPr>
      </w:pPr>
      <w:r>
        <w:drawing>
          <wp:anchor distT="0" distB="0" distL="114300" distR="114300" simplePos="0" relativeHeight="251659264" behindDoc="0" locked="0" layoutInCell="1" allowOverlap="1">
            <wp:simplePos x="0" y="0"/>
            <wp:positionH relativeFrom="column">
              <wp:posOffset>40005</wp:posOffset>
            </wp:positionH>
            <wp:positionV relativeFrom="paragraph">
              <wp:posOffset>65405</wp:posOffset>
            </wp:positionV>
            <wp:extent cx="687070" cy="687070"/>
            <wp:effectExtent l="0" t="0" r="0" b="0"/>
            <wp:wrapNone/>
            <wp:docPr id="5" name="图片 5" descr="]AG)UZM~ZR38RTGTRZ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G)UZM~ZR38RTGTRZ6@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87070" cy="687070"/>
                    </a:xfrm>
                    <a:prstGeom prst="rect">
                      <a:avLst/>
                    </a:prstGeom>
                    <a:noFill/>
                  </pic:spPr>
                </pic:pic>
              </a:graphicData>
            </a:graphic>
          </wp:anchor>
        </w:drawing>
      </w:r>
    </w:p>
    <w:p>
      <w:pPr>
        <w:spacing w:line="420" w:lineRule="auto"/>
        <w:jc w:val="center"/>
        <w:rPr>
          <w:sz w:val="24"/>
          <w:szCs w:val="24"/>
        </w:rPr>
      </w:pPr>
    </w:p>
    <w:p>
      <w:pPr>
        <w:spacing w:before="120" w:beforeLines="50"/>
        <w:jc w:val="center"/>
        <w:rPr>
          <w:rFonts w:ascii="微软雅黑" w:hAnsi="微软雅黑" w:cs="微软雅黑"/>
          <w:b/>
          <w:bCs/>
          <w:sz w:val="84"/>
          <w:szCs w:val="84"/>
        </w:rPr>
      </w:pPr>
    </w:p>
    <w:p>
      <w:pPr>
        <w:spacing w:before="120" w:beforeLines="50"/>
        <w:jc w:val="center"/>
        <w:rPr>
          <w:rFonts w:ascii="微软雅黑" w:hAnsi="微软雅黑" w:cs="微软雅黑"/>
          <w:b/>
          <w:bCs/>
          <w:sz w:val="52"/>
          <w:szCs w:val="52"/>
        </w:rPr>
      </w:pPr>
      <w:r>
        <w:rPr>
          <w:rFonts w:hint="eastAsia" w:ascii="微软雅黑" w:hAnsi="微软雅黑" w:cs="微软雅黑"/>
          <w:b/>
          <w:bCs/>
          <w:sz w:val="84"/>
          <w:szCs w:val="84"/>
        </w:rPr>
        <w:t>招  标  文  件</w:t>
      </w:r>
    </w:p>
    <w:p>
      <w:pPr>
        <w:spacing w:line="420" w:lineRule="auto"/>
        <w:rPr>
          <w:sz w:val="24"/>
          <w:szCs w:val="24"/>
        </w:rPr>
      </w:pPr>
    </w:p>
    <w:p>
      <w:pPr>
        <w:spacing w:line="360" w:lineRule="auto"/>
        <w:rPr>
          <w:rFonts w:ascii="黑体" w:hAnsi="华文中宋" w:eastAsia="黑体" w:cs="华文中宋"/>
          <w:b/>
          <w:sz w:val="30"/>
          <w:szCs w:val="30"/>
        </w:rPr>
      </w:pPr>
    </w:p>
    <w:p>
      <w:pPr>
        <w:spacing w:line="360" w:lineRule="auto"/>
        <w:rPr>
          <w:rFonts w:ascii="黑体" w:hAnsi="华文中宋" w:eastAsia="黑体" w:cs="华文中宋"/>
          <w:b/>
          <w:sz w:val="30"/>
          <w:szCs w:val="30"/>
        </w:rPr>
      </w:pPr>
    </w:p>
    <w:p>
      <w:pPr>
        <w:spacing w:line="360" w:lineRule="auto"/>
        <w:rPr>
          <w:rFonts w:ascii="黑体" w:hAnsi="华文中宋" w:eastAsia="黑体" w:cs="华文中宋"/>
          <w:b/>
          <w:sz w:val="30"/>
          <w:szCs w:val="30"/>
        </w:rPr>
      </w:pPr>
      <w:r>
        <w:rPr>
          <w:rFonts w:hint="eastAsia" w:ascii="黑体" w:hAnsi="华文中宋" w:eastAsia="黑体" w:cs="华文中宋"/>
          <w:b/>
          <w:sz w:val="30"/>
          <w:szCs w:val="30"/>
        </w:rPr>
        <w:t>采购方式：公开招标</w:t>
      </w:r>
    </w:p>
    <w:p>
      <w:pPr>
        <w:spacing w:line="360" w:lineRule="auto"/>
        <w:rPr>
          <w:rFonts w:ascii="黑体" w:hAnsi="华文中宋" w:eastAsia="黑体" w:cs="华文中宋"/>
          <w:b/>
          <w:sz w:val="30"/>
          <w:szCs w:val="30"/>
        </w:rPr>
      </w:pPr>
      <w:r>
        <w:rPr>
          <w:rFonts w:hint="eastAsia" w:ascii="黑体" w:hAnsi="华文中宋" w:eastAsia="黑体" w:cs="华文中宋"/>
          <w:b/>
          <w:sz w:val="30"/>
          <w:szCs w:val="30"/>
        </w:rPr>
        <w:t>采购类型：服务类</w:t>
      </w:r>
    </w:p>
    <w:p>
      <w:pPr>
        <w:spacing w:line="360" w:lineRule="auto"/>
        <w:rPr>
          <w:rFonts w:ascii="黑体" w:hAnsi="华文中宋" w:eastAsia="黑体" w:cs="华文中宋"/>
          <w:b/>
          <w:sz w:val="30"/>
          <w:szCs w:val="30"/>
        </w:rPr>
      </w:pPr>
      <w:r>
        <w:rPr>
          <w:rFonts w:hint="eastAsia" w:ascii="黑体" w:hAnsi="华文中宋" w:eastAsia="黑体" w:cs="华文中宋"/>
          <w:b/>
          <w:sz w:val="30"/>
          <w:szCs w:val="30"/>
        </w:rPr>
        <w:t>项目编号：GZBC22FG06002</w:t>
      </w:r>
    </w:p>
    <w:p>
      <w:pPr>
        <w:spacing w:line="360" w:lineRule="auto"/>
        <w:rPr>
          <w:rFonts w:ascii="黑体" w:hAnsi="黑体" w:eastAsia="黑体" w:cs="黑体"/>
          <w:b/>
          <w:sz w:val="30"/>
          <w:szCs w:val="30"/>
        </w:rPr>
      </w:pPr>
      <w:r>
        <w:rPr>
          <w:rFonts w:hint="eastAsia" w:ascii="黑体" w:hAnsi="华文中宋" w:eastAsia="黑体" w:cs="华文中宋"/>
          <w:b/>
          <w:sz w:val="30"/>
          <w:szCs w:val="30"/>
        </w:rPr>
        <w:t>项目名称</w:t>
      </w:r>
      <w:r>
        <w:rPr>
          <w:rFonts w:hint="eastAsia" w:ascii="黑体" w:hAnsi="黑体" w:eastAsia="黑体" w:cs="黑体"/>
          <w:b/>
          <w:sz w:val="30"/>
          <w:szCs w:val="30"/>
        </w:rPr>
        <w:t>：正和消保中心数字化平台建设服务采购项目</w:t>
      </w:r>
    </w:p>
    <w:p/>
    <w:p>
      <w:pPr>
        <w:spacing w:line="420" w:lineRule="auto"/>
        <w:rPr>
          <w:color w:val="3366FF"/>
          <w:sz w:val="24"/>
          <w:szCs w:val="24"/>
        </w:rPr>
      </w:pPr>
    </w:p>
    <w:p>
      <w:pPr>
        <w:spacing w:line="360" w:lineRule="auto"/>
        <w:jc w:val="center"/>
        <w:rPr>
          <w:rFonts w:ascii="黑体" w:eastAsia="黑体"/>
          <w:b/>
          <w:sz w:val="30"/>
          <w:szCs w:val="30"/>
        </w:rPr>
      </w:pPr>
      <w:r>
        <w:rPr>
          <w:rFonts w:hint="eastAsia" w:ascii="黑体" w:hAnsi="华文中宋" w:eastAsia="黑体" w:cs="华文中宋"/>
          <w:b/>
          <w:sz w:val="30"/>
          <w:szCs w:val="30"/>
        </w:rPr>
        <w:t>广州宝诚招标代理咨询有限公司</w:t>
      </w:r>
    </w:p>
    <w:p>
      <w:pPr>
        <w:spacing w:line="360" w:lineRule="auto"/>
        <w:jc w:val="center"/>
        <w:rPr>
          <w:rFonts w:ascii="黑体" w:eastAsia="黑体"/>
          <w:sz w:val="24"/>
          <w:szCs w:val="24"/>
        </w:rPr>
      </w:pPr>
      <w:r>
        <w:rPr>
          <w:rFonts w:hint="eastAsia" w:ascii="黑体" w:hAnsi="华文中宋" w:eastAsia="黑体" w:cs="华文中宋"/>
          <w:b/>
          <w:sz w:val="30"/>
          <w:szCs w:val="30"/>
        </w:rPr>
        <w:t>2022年6月14日 编制</w:t>
      </w:r>
    </w:p>
    <w:p>
      <w:pPr>
        <w:adjustRightInd/>
        <w:snapToGrid/>
        <w:spacing w:after="0" w:line="360" w:lineRule="auto"/>
        <w:rPr>
          <w:rFonts w:ascii="黑体" w:eastAsia="黑体"/>
          <w:sz w:val="24"/>
          <w:szCs w:val="24"/>
        </w:rPr>
        <w:sectPr>
          <w:pgSz w:w="11907" w:h="16840"/>
          <w:pgMar w:top="1247" w:right="1247" w:bottom="1247" w:left="1247" w:header="709" w:footer="728" w:gutter="0"/>
          <w:cols w:space="720" w:num="1"/>
        </w:sectPr>
      </w:pPr>
    </w:p>
    <w:p>
      <w:pPr>
        <w:spacing w:line="480" w:lineRule="auto"/>
        <w:jc w:val="center"/>
        <w:rPr>
          <w:rFonts w:eastAsia="黑体" w:cs="黑体"/>
          <w:b/>
          <w:bCs/>
          <w:sz w:val="32"/>
          <w:szCs w:val="32"/>
          <w:lang w:eastAsia="zh-TW"/>
        </w:rPr>
      </w:pPr>
      <w:r>
        <w:rPr>
          <w:rFonts w:hint="eastAsia" w:eastAsia="黑体" w:cs="黑体"/>
          <w:b/>
          <w:bCs/>
          <w:sz w:val="32"/>
          <w:szCs w:val="32"/>
          <w:lang w:eastAsia="zh-TW"/>
        </w:rPr>
        <w:t>目</w:t>
      </w:r>
      <w:r>
        <w:rPr>
          <w:rFonts w:eastAsia="黑体" w:cs="黑体"/>
          <w:b/>
          <w:bCs/>
          <w:sz w:val="32"/>
          <w:szCs w:val="32"/>
        </w:rPr>
        <w:t xml:space="preserve">   </w:t>
      </w:r>
      <w:r>
        <w:rPr>
          <w:rFonts w:hint="eastAsia" w:eastAsia="黑体" w:cs="黑体"/>
          <w:b/>
          <w:bCs/>
          <w:sz w:val="32"/>
          <w:szCs w:val="32"/>
          <w:lang w:eastAsia="zh-TW"/>
        </w:rPr>
        <w:t>录</w:t>
      </w:r>
    </w:p>
    <w:p>
      <w:pPr>
        <w:pStyle w:val="33"/>
        <w:tabs>
          <w:tab w:val="right" w:leader="dot" w:pos="9746"/>
          <w:tab w:val="clear" w:pos="9060"/>
        </w:tabs>
        <w:ind w:left="0" w:leftChars="0"/>
      </w:pPr>
      <w:r>
        <w:rPr>
          <w:rFonts w:hint="eastAsia" w:ascii="宋体" w:hAnsi="宋体"/>
          <w:b/>
        </w:rPr>
        <w:fldChar w:fldCharType="begin"/>
      </w:r>
      <w:r>
        <w:rPr>
          <w:rStyle w:val="54"/>
          <w:rFonts w:hAnsi="宋体"/>
          <w:b/>
        </w:rPr>
        <w:instrText xml:space="preserve"> TOC \o "1-1" \h \z \u </w:instrText>
      </w:r>
      <w:r>
        <w:rPr>
          <w:rFonts w:hint="eastAsia" w:ascii="宋体" w:hAnsi="宋体"/>
          <w:b/>
        </w:rPr>
        <w:fldChar w:fldCharType="separate"/>
      </w:r>
      <w:r>
        <w:fldChar w:fldCharType="begin"/>
      </w:r>
      <w:r>
        <w:instrText xml:space="preserve"> HYPERLINK "file:///D:\\存储\\WeChat%20Files\\wxid_sw2tjk8n70c512\\FileStorage\\File\\2022-06\\招标文件.doc" \l "_Toc12270" </w:instrText>
      </w:r>
      <w:r>
        <w:fldChar w:fldCharType="separate"/>
      </w:r>
      <w:r>
        <w:rPr>
          <w:rStyle w:val="54"/>
          <w:rFonts w:hint="eastAsia" w:ascii="黑体" w:hAnsi="华文中宋" w:eastAsia="黑体" w:cs="华文中宋"/>
          <w:bCs/>
          <w:szCs w:val="32"/>
        </w:rPr>
        <w:t>第一章  投标邀请</w:t>
      </w:r>
      <w:r>
        <w:rPr>
          <w:rStyle w:val="54"/>
        </w:rPr>
        <w:tab/>
      </w:r>
      <w:r>
        <w:rPr>
          <w:rStyle w:val="54"/>
        </w:rPr>
        <w:fldChar w:fldCharType="begin"/>
      </w:r>
      <w:r>
        <w:rPr>
          <w:rStyle w:val="54"/>
        </w:rPr>
        <w:instrText xml:space="preserve"> PAGEREF _Toc12270 \h </w:instrText>
      </w:r>
      <w:r>
        <w:rPr>
          <w:rStyle w:val="54"/>
        </w:rPr>
        <w:fldChar w:fldCharType="separate"/>
      </w:r>
      <w:r>
        <w:rPr>
          <w:rStyle w:val="54"/>
        </w:rPr>
        <w:t>3</w:t>
      </w:r>
      <w:r>
        <w:rPr>
          <w:rStyle w:val="54"/>
        </w:rPr>
        <w:fldChar w:fldCharType="end"/>
      </w:r>
      <w:r>
        <w:rPr>
          <w:rStyle w:val="54"/>
        </w:rPr>
        <w:fldChar w:fldCharType="end"/>
      </w:r>
    </w:p>
    <w:p>
      <w:pPr>
        <w:pStyle w:val="33"/>
        <w:tabs>
          <w:tab w:val="right" w:leader="dot" w:pos="9746"/>
          <w:tab w:val="clear" w:pos="9060"/>
        </w:tabs>
        <w:ind w:left="0" w:leftChars="0"/>
      </w:pPr>
      <w:r>
        <w:fldChar w:fldCharType="begin"/>
      </w:r>
      <w:r>
        <w:instrText xml:space="preserve"> HYPERLINK "file:///D:\\存储\\WeChat%20Files\\wxid_sw2tjk8n70c512\\FileStorage\\File\\2022-06\\招标文件.doc" \l "_Toc165" </w:instrText>
      </w:r>
      <w:r>
        <w:fldChar w:fldCharType="separate"/>
      </w:r>
      <w:r>
        <w:rPr>
          <w:rStyle w:val="54"/>
          <w:rFonts w:hint="eastAsia" w:ascii="黑体" w:hAnsi="华文中宋" w:eastAsia="黑体" w:cs="华文中宋"/>
          <w:bCs/>
          <w:szCs w:val="32"/>
        </w:rPr>
        <w:t>第二章  投标资料表</w:t>
      </w:r>
      <w:r>
        <w:rPr>
          <w:rStyle w:val="54"/>
        </w:rPr>
        <w:tab/>
      </w:r>
      <w:r>
        <w:rPr>
          <w:rStyle w:val="54"/>
        </w:rPr>
        <w:fldChar w:fldCharType="begin"/>
      </w:r>
      <w:r>
        <w:rPr>
          <w:rStyle w:val="54"/>
        </w:rPr>
        <w:instrText xml:space="preserve"> PAGEREF _Toc165 \h </w:instrText>
      </w:r>
      <w:r>
        <w:rPr>
          <w:rStyle w:val="54"/>
        </w:rPr>
        <w:fldChar w:fldCharType="separate"/>
      </w:r>
      <w:r>
        <w:rPr>
          <w:rStyle w:val="54"/>
        </w:rPr>
        <w:t>7</w:t>
      </w:r>
      <w:r>
        <w:rPr>
          <w:rStyle w:val="54"/>
        </w:rPr>
        <w:fldChar w:fldCharType="end"/>
      </w:r>
      <w:r>
        <w:rPr>
          <w:rStyle w:val="54"/>
        </w:rPr>
        <w:fldChar w:fldCharType="end"/>
      </w:r>
    </w:p>
    <w:p>
      <w:pPr>
        <w:pStyle w:val="33"/>
        <w:tabs>
          <w:tab w:val="right" w:leader="dot" w:pos="9746"/>
          <w:tab w:val="clear" w:pos="9060"/>
        </w:tabs>
        <w:ind w:left="0" w:leftChars="0"/>
      </w:pPr>
      <w:r>
        <w:fldChar w:fldCharType="begin"/>
      </w:r>
      <w:r>
        <w:instrText xml:space="preserve"> HYPERLINK "file:///D:\\存储\\WeChat%20Files\\wxid_sw2tjk8n70c512\\FileStorage\\File\\2022-06\\招标文件.doc" \l "_Toc9228" </w:instrText>
      </w:r>
      <w:r>
        <w:fldChar w:fldCharType="separate"/>
      </w:r>
      <w:r>
        <w:rPr>
          <w:rStyle w:val="54"/>
          <w:rFonts w:hint="eastAsia" w:ascii="黑体" w:hAnsi="华文中宋" w:eastAsia="黑体" w:cs="华文中宋"/>
          <w:szCs w:val="32"/>
        </w:rPr>
        <w:t>第三章  用户需求书</w:t>
      </w:r>
      <w:r>
        <w:rPr>
          <w:rStyle w:val="54"/>
        </w:rPr>
        <w:tab/>
      </w:r>
      <w:r>
        <w:rPr>
          <w:rStyle w:val="54"/>
        </w:rPr>
        <w:fldChar w:fldCharType="begin"/>
      </w:r>
      <w:r>
        <w:rPr>
          <w:rStyle w:val="54"/>
        </w:rPr>
        <w:instrText xml:space="preserve"> PAGEREF _Toc9228 \h </w:instrText>
      </w:r>
      <w:r>
        <w:rPr>
          <w:rStyle w:val="54"/>
        </w:rPr>
        <w:fldChar w:fldCharType="separate"/>
      </w:r>
      <w:r>
        <w:rPr>
          <w:rStyle w:val="54"/>
        </w:rPr>
        <w:t>9</w:t>
      </w:r>
      <w:r>
        <w:rPr>
          <w:rStyle w:val="54"/>
        </w:rPr>
        <w:fldChar w:fldCharType="end"/>
      </w:r>
      <w:r>
        <w:rPr>
          <w:rStyle w:val="54"/>
        </w:rPr>
        <w:fldChar w:fldCharType="end"/>
      </w:r>
    </w:p>
    <w:p>
      <w:pPr>
        <w:pStyle w:val="33"/>
        <w:tabs>
          <w:tab w:val="right" w:leader="dot" w:pos="9746"/>
          <w:tab w:val="clear" w:pos="9060"/>
        </w:tabs>
        <w:ind w:left="0" w:leftChars="0"/>
      </w:pPr>
      <w:r>
        <w:fldChar w:fldCharType="begin"/>
      </w:r>
      <w:r>
        <w:instrText xml:space="preserve"> HYPERLINK "file:///D:\\存储\\WeChat%20Files\\wxid_sw2tjk8n70c512\\FileStorage\\File\\2022-06\\招标文件.doc" \l "_Toc32118" </w:instrText>
      </w:r>
      <w:r>
        <w:fldChar w:fldCharType="separate"/>
      </w:r>
      <w:r>
        <w:rPr>
          <w:rStyle w:val="54"/>
          <w:rFonts w:hint="eastAsia" w:ascii="黑体" w:hAnsi="华文中宋" w:eastAsia="黑体" w:cs="华文中宋"/>
          <w:szCs w:val="32"/>
        </w:rPr>
        <w:t>第四章  评分体系与标准</w:t>
      </w:r>
      <w:r>
        <w:rPr>
          <w:rStyle w:val="54"/>
        </w:rPr>
        <w:tab/>
      </w:r>
      <w:r>
        <w:rPr>
          <w:rStyle w:val="54"/>
        </w:rPr>
        <w:fldChar w:fldCharType="begin"/>
      </w:r>
      <w:r>
        <w:rPr>
          <w:rStyle w:val="54"/>
        </w:rPr>
        <w:instrText xml:space="preserve"> PAGEREF _Toc32118 \h </w:instrText>
      </w:r>
      <w:r>
        <w:rPr>
          <w:rStyle w:val="54"/>
        </w:rPr>
        <w:fldChar w:fldCharType="separate"/>
      </w:r>
      <w:r>
        <w:rPr>
          <w:rStyle w:val="54"/>
        </w:rPr>
        <w:t>54</w:t>
      </w:r>
      <w:r>
        <w:rPr>
          <w:rStyle w:val="54"/>
        </w:rPr>
        <w:fldChar w:fldCharType="end"/>
      </w:r>
      <w:r>
        <w:rPr>
          <w:rStyle w:val="54"/>
        </w:rPr>
        <w:fldChar w:fldCharType="end"/>
      </w:r>
    </w:p>
    <w:p>
      <w:pPr>
        <w:pStyle w:val="33"/>
        <w:tabs>
          <w:tab w:val="right" w:leader="dot" w:pos="9746"/>
          <w:tab w:val="clear" w:pos="9060"/>
        </w:tabs>
        <w:ind w:left="0" w:leftChars="0"/>
        <w:rPr>
          <w:rFonts w:ascii="宋体" w:hAnsi="宋体"/>
        </w:rPr>
      </w:pPr>
      <w:r>
        <w:fldChar w:fldCharType="begin"/>
      </w:r>
      <w:r>
        <w:instrText xml:space="preserve"> HYPERLINK "file:///D:\\存储\\WeChat%20Files\\wxid_sw2tjk8n70c512\\FileStorage\\File\\2022-06\\招标文件.doc" \l "_Toc6585" </w:instrText>
      </w:r>
      <w:r>
        <w:fldChar w:fldCharType="separate"/>
      </w:r>
      <w:r>
        <w:rPr>
          <w:rStyle w:val="54"/>
          <w:rFonts w:hint="eastAsia" w:ascii="黑体" w:hAnsi="华文中宋" w:eastAsia="黑体" w:cs="华文中宋"/>
          <w:szCs w:val="32"/>
        </w:rPr>
        <w:t>第五章  投标文件格式</w:t>
      </w:r>
      <w:r>
        <w:rPr>
          <w:rStyle w:val="54"/>
        </w:rPr>
        <w:tab/>
      </w:r>
      <w:r>
        <w:rPr>
          <w:rStyle w:val="54"/>
        </w:rPr>
        <w:fldChar w:fldCharType="begin"/>
      </w:r>
      <w:r>
        <w:rPr>
          <w:rStyle w:val="54"/>
        </w:rPr>
        <w:instrText xml:space="preserve"> PAGEREF _Toc6585 \h </w:instrText>
      </w:r>
      <w:r>
        <w:rPr>
          <w:rStyle w:val="54"/>
        </w:rPr>
        <w:fldChar w:fldCharType="separate"/>
      </w:r>
      <w:r>
        <w:rPr>
          <w:rStyle w:val="54"/>
        </w:rPr>
        <w:t>63</w:t>
      </w:r>
      <w:r>
        <w:rPr>
          <w:rStyle w:val="54"/>
        </w:rPr>
        <w:fldChar w:fldCharType="end"/>
      </w:r>
      <w:r>
        <w:rPr>
          <w:rStyle w:val="54"/>
        </w:rPr>
        <w:fldChar w:fldCharType="end"/>
      </w:r>
    </w:p>
    <w:p/>
    <w:p/>
    <w:p/>
    <w:p>
      <w:pPr>
        <w:spacing w:line="360" w:lineRule="auto"/>
        <w:jc w:val="center"/>
        <w:outlineLvl w:val="0"/>
        <w:rPr>
          <w:rFonts w:ascii="黑体" w:hAnsi="华文中宋" w:eastAsia="黑体" w:cs="华文中宋"/>
          <w:b/>
          <w:bCs/>
          <w:sz w:val="32"/>
          <w:szCs w:val="32"/>
        </w:rPr>
      </w:pPr>
      <w:r>
        <w:rPr>
          <w:rFonts w:hint="eastAsia" w:ascii="宋体" w:hAnsi="宋体"/>
        </w:rPr>
        <w:fldChar w:fldCharType="end"/>
      </w:r>
      <w:bookmarkStart w:id="0" w:name="_Toc12270"/>
      <w:r>
        <w:rPr>
          <w:rFonts w:hint="eastAsia" w:ascii="宋体" w:hAnsi="宋体"/>
          <w:sz w:val="44"/>
        </w:rPr>
        <w:br w:type="page"/>
      </w:r>
      <w:bookmarkStart w:id="1" w:name="_Toc453957422"/>
      <w:r>
        <w:rPr>
          <w:rFonts w:hint="eastAsia" w:ascii="黑体" w:hAnsi="华文中宋" w:eastAsia="黑体" w:cs="华文中宋"/>
          <w:b/>
          <w:bCs/>
          <w:sz w:val="32"/>
          <w:szCs w:val="32"/>
        </w:rPr>
        <w:t>第一章  投标邀请</w:t>
      </w:r>
      <w:bookmarkEnd w:id="0"/>
      <w:bookmarkEnd w:id="1"/>
    </w:p>
    <w:p>
      <w:pPr>
        <w:spacing w:line="360" w:lineRule="auto"/>
        <w:ind w:firstLine="420" w:firstLineChars="200"/>
        <w:rPr>
          <w:rFonts w:ascii="宋体"/>
          <w:bCs/>
          <w:color w:val="000000"/>
          <w:sz w:val="21"/>
          <w:szCs w:val="21"/>
        </w:rPr>
      </w:pPr>
      <w:r>
        <w:rPr>
          <w:rFonts w:hint="eastAsia" w:ascii="宋体"/>
          <w:bCs/>
          <w:color w:val="FF0000"/>
          <w:sz w:val="21"/>
          <w:szCs w:val="21"/>
        </w:rPr>
        <w:t>广州宝诚招标代理咨询有限公司</w:t>
      </w:r>
      <w:r>
        <w:rPr>
          <w:rFonts w:hint="eastAsia" w:ascii="宋体"/>
          <w:bCs/>
          <w:color w:val="000000"/>
          <w:sz w:val="21"/>
          <w:szCs w:val="21"/>
        </w:rPr>
        <w:t>（以下简称"采购代理机构"）受</w:t>
      </w:r>
      <w:r>
        <w:rPr>
          <w:rFonts w:hint="eastAsia" w:ascii="宋体"/>
          <w:bCs/>
          <w:color w:val="FF0000"/>
          <w:sz w:val="21"/>
          <w:szCs w:val="21"/>
        </w:rPr>
        <w:t>广东正和银行业保险业消费者权益保护中心</w:t>
      </w:r>
      <w:r>
        <w:rPr>
          <w:rFonts w:hint="eastAsia" w:ascii="宋体"/>
          <w:bCs/>
          <w:sz w:val="21"/>
          <w:szCs w:val="21"/>
        </w:rPr>
        <w:t>（</w:t>
      </w:r>
      <w:r>
        <w:rPr>
          <w:rFonts w:hint="eastAsia" w:ascii="宋体"/>
          <w:bCs/>
          <w:color w:val="000000"/>
          <w:sz w:val="21"/>
          <w:szCs w:val="21"/>
        </w:rPr>
        <w:t>以下简称"采购人"）委托，对</w:t>
      </w:r>
      <w:r>
        <w:rPr>
          <w:rFonts w:hint="eastAsia" w:ascii="微软雅黑" w:hAnsi="微软雅黑" w:cs="微软雅黑"/>
          <w:bCs/>
          <w:color w:val="FF0000"/>
          <w:sz w:val="21"/>
          <w:szCs w:val="21"/>
          <w:u w:val="single"/>
        </w:rPr>
        <w:t>正和消保中心数字化平台建设服务采购项目</w:t>
      </w:r>
      <w:r>
        <w:rPr>
          <w:rFonts w:hint="eastAsia" w:ascii="宋体"/>
          <w:bCs/>
          <w:color w:val="000000"/>
          <w:sz w:val="21"/>
          <w:szCs w:val="21"/>
        </w:rPr>
        <w:t>进行国内公开招标，详情请参见招标文件。现将该项目招标文件（GZBC22FG06002）进行公示，公示期为2022年6月23日至2022年6月30日。欢迎符合条件的合格投标人参加投标，有关事项如下：</w:t>
      </w:r>
    </w:p>
    <w:p>
      <w:pPr>
        <w:widowControl w:val="0"/>
        <w:numPr>
          <w:ilvl w:val="0"/>
          <w:numId w:val="6"/>
        </w:numPr>
        <w:autoSpaceDN w:val="0"/>
        <w:adjustRightInd/>
        <w:spacing w:after="0" w:line="360" w:lineRule="auto"/>
        <w:jc w:val="both"/>
        <w:rPr>
          <w:rFonts w:ascii="宋体"/>
          <w:bCs/>
          <w:sz w:val="21"/>
          <w:szCs w:val="21"/>
        </w:rPr>
      </w:pPr>
      <w:r>
        <w:rPr>
          <w:rFonts w:hint="eastAsia" w:ascii="宋体"/>
          <w:bCs/>
          <w:sz w:val="21"/>
          <w:szCs w:val="21"/>
        </w:rPr>
        <w:t>本项目投标</w:t>
      </w:r>
      <w:r>
        <w:rPr>
          <w:rFonts w:hint="eastAsia"/>
          <w:sz w:val="21"/>
          <w:szCs w:val="21"/>
        </w:rPr>
        <w:t>邀请</w:t>
      </w:r>
      <w:r>
        <w:rPr>
          <w:rFonts w:hint="eastAsia" w:ascii="宋体"/>
          <w:bCs/>
          <w:sz w:val="21"/>
          <w:szCs w:val="21"/>
        </w:rPr>
        <w:t>及招标文件中所有时间均为24小时制北京时间，所有货币单位均为人民币元，所使用的计量单位均以《</w:t>
      </w:r>
      <w:r>
        <w:rPr>
          <w:rFonts w:hint="eastAsia"/>
          <w:sz w:val="21"/>
          <w:szCs w:val="21"/>
        </w:rPr>
        <w:t>中华人民共和国法定计量单位</w:t>
      </w:r>
      <w:r>
        <w:rPr>
          <w:rFonts w:hint="eastAsia" w:ascii="宋体"/>
          <w:bCs/>
          <w:sz w:val="21"/>
          <w:szCs w:val="21"/>
        </w:rPr>
        <w:t>》为准（特别注明除外）。</w:t>
      </w:r>
    </w:p>
    <w:p>
      <w:pPr>
        <w:widowControl w:val="0"/>
        <w:numPr>
          <w:ilvl w:val="0"/>
          <w:numId w:val="6"/>
        </w:numPr>
        <w:autoSpaceDN w:val="0"/>
        <w:adjustRightInd/>
        <w:spacing w:after="0" w:line="360" w:lineRule="auto"/>
        <w:jc w:val="both"/>
        <w:rPr>
          <w:rFonts w:ascii="宋体"/>
          <w:bCs/>
          <w:color w:val="000000"/>
          <w:sz w:val="21"/>
          <w:szCs w:val="21"/>
        </w:rPr>
      </w:pPr>
      <w:r>
        <w:rPr>
          <w:rFonts w:hint="eastAsia" w:ascii="宋体"/>
          <w:bCs/>
          <w:sz w:val="21"/>
          <w:szCs w:val="21"/>
        </w:rPr>
        <w:t>项目</w:t>
      </w:r>
      <w:r>
        <w:rPr>
          <w:rFonts w:hint="eastAsia" w:ascii="宋体"/>
          <w:bCs/>
          <w:color w:val="000000"/>
          <w:sz w:val="21"/>
          <w:szCs w:val="21"/>
        </w:rPr>
        <w:t>编号：GZBC22FG06002</w:t>
      </w:r>
    </w:p>
    <w:p>
      <w:pPr>
        <w:widowControl w:val="0"/>
        <w:numPr>
          <w:ilvl w:val="0"/>
          <w:numId w:val="6"/>
        </w:numPr>
        <w:autoSpaceDN w:val="0"/>
        <w:adjustRightInd/>
        <w:spacing w:after="0" w:line="360" w:lineRule="auto"/>
        <w:jc w:val="both"/>
        <w:rPr>
          <w:rFonts w:ascii="宋体"/>
          <w:b/>
          <w:bCs/>
          <w:sz w:val="21"/>
          <w:szCs w:val="21"/>
        </w:rPr>
      </w:pPr>
      <w:r>
        <w:rPr>
          <w:rFonts w:hint="eastAsia" w:ascii="宋体"/>
          <w:bCs/>
          <w:color w:val="000000"/>
          <w:sz w:val="21"/>
          <w:szCs w:val="21"/>
        </w:rPr>
        <w:t>项目名</w:t>
      </w:r>
      <w:r>
        <w:rPr>
          <w:rFonts w:hint="eastAsia" w:ascii="宋体"/>
          <w:bCs/>
          <w:sz w:val="21"/>
          <w:szCs w:val="21"/>
        </w:rPr>
        <w:t>称：</w:t>
      </w:r>
      <w:r>
        <w:rPr>
          <w:rFonts w:hint="eastAsia" w:ascii="微软雅黑" w:hAnsi="微软雅黑" w:cs="微软雅黑"/>
          <w:bCs/>
          <w:sz w:val="21"/>
          <w:szCs w:val="21"/>
          <w:u w:val="single"/>
        </w:rPr>
        <w:t>正和消保中心数字化平台建设服务采购项目</w:t>
      </w:r>
    </w:p>
    <w:p>
      <w:pPr>
        <w:widowControl w:val="0"/>
        <w:numPr>
          <w:ilvl w:val="0"/>
          <w:numId w:val="6"/>
        </w:numPr>
        <w:autoSpaceDN w:val="0"/>
        <w:adjustRightInd/>
        <w:spacing w:after="0" w:line="360" w:lineRule="auto"/>
        <w:jc w:val="both"/>
        <w:rPr>
          <w:rFonts w:ascii="宋体"/>
          <w:b/>
          <w:bCs/>
          <w:sz w:val="21"/>
          <w:szCs w:val="21"/>
        </w:rPr>
      </w:pPr>
      <w:r>
        <w:rPr>
          <w:rFonts w:hint="eastAsia" w:ascii="宋体"/>
          <w:bCs/>
          <w:sz w:val="21"/>
          <w:szCs w:val="21"/>
        </w:rPr>
        <w:t>项目类型：服务类</w:t>
      </w:r>
    </w:p>
    <w:tbl>
      <w:tblPr>
        <w:tblStyle w:val="45"/>
        <w:tblpPr w:leftFromText="180" w:rightFromText="180" w:vertAnchor="text" w:horzAnchor="page" w:tblpX="1517" w:tblpY="51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07"/>
        <w:gridCol w:w="3341"/>
        <w:gridCol w:w="31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3107" w:type="dxa"/>
            <w:tcBorders>
              <w:top w:val="single" w:color="auto" w:sz="12" w:space="0"/>
              <w:left w:val="single" w:color="auto" w:sz="12" w:space="0"/>
              <w:bottom w:val="double" w:color="auto" w:sz="4" w:space="0"/>
              <w:right w:val="single" w:color="auto" w:sz="4" w:space="0"/>
            </w:tcBorders>
            <w:shd w:val="clear" w:color="auto" w:fill="EEECE1"/>
            <w:vAlign w:val="center"/>
          </w:tcPr>
          <w:p>
            <w:pPr>
              <w:spacing w:line="360" w:lineRule="auto"/>
              <w:jc w:val="center"/>
              <w:rPr>
                <w:rFonts w:ascii="微软雅黑" w:hAnsi="微软雅黑" w:cs="微软雅黑"/>
                <w:b/>
                <w:sz w:val="20"/>
                <w:szCs w:val="20"/>
              </w:rPr>
            </w:pPr>
            <w:r>
              <w:rPr>
                <w:rFonts w:hint="eastAsia" w:ascii="微软雅黑" w:hAnsi="微软雅黑" w:cs="微软雅黑"/>
                <w:b/>
                <w:sz w:val="20"/>
                <w:szCs w:val="20"/>
              </w:rPr>
              <w:t>项目内容</w:t>
            </w:r>
          </w:p>
        </w:tc>
        <w:tc>
          <w:tcPr>
            <w:tcW w:w="3341" w:type="dxa"/>
            <w:tcBorders>
              <w:top w:val="single" w:color="auto" w:sz="12" w:space="0"/>
              <w:left w:val="single" w:color="auto" w:sz="4" w:space="0"/>
              <w:bottom w:val="double" w:color="auto" w:sz="4" w:space="0"/>
              <w:right w:val="single" w:color="auto" w:sz="4" w:space="0"/>
            </w:tcBorders>
            <w:shd w:val="clear" w:color="auto" w:fill="EEECE1"/>
            <w:vAlign w:val="center"/>
          </w:tcPr>
          <w:p>
            <w:pPr>
              <w:spacing w:line="360" w:lineRule="auto"/>
              <w:jc w:val="center"/>
              <w:rPr>
                <w:rFonts w:ascii="微软雅黑" w:hAnsi="微软雅黑" w:cs="微软雅黑"/>
                <w:b/>
                <w:sz w:val="20"/>
                <w:szCs w:val="20"/>
              </w:rPr>
            </w:pPr>
            <w:r>
              <w:rPr>
                <w:rFonts w:hint="eastAsia" w:ascii="微软雅黑" w:hAnsi="微软雅黑" w:cs="微软雅黑"/>
                <w:b/>
                <w:sz w:val="20"/>
                <w:szCs w:val="20"/>
              </w:rPr>
              <w:t>合同期</w:t>
            </w:r>
          </w:p>
        </w:tc>
        <w:tc>
          <w:tcPr>
            <w:tcW w:w="3180" w:type="dxa"/>
            <w:tcBorders>
              <w:top w:val="single" w:color="auto" w:sz="12" w:space="0"/>
              <w:left w:val="single" w:color="auto" w:sz="4" w:space="0"/>
              <w:bottom w:val="double" w:color="auto" w:sz="4" w:space="0"/>
              <w:right w:val="single" w:color="auto" w:sz="12" w:space="0"/>
            </w:tcBorders>
            <w:shd w:val="clear" w:color="auto" w:fill="EEECE1"/>
            <w:vAlign w:val="center"/>
          </w:tcPr>
          <w:p>
            <w:pPr>
              <w:spacing w:line="360" w:lineRule="auto"/>
              <w:jc w:val="center"/>
              <w:rPr>
                <w:rFonts w:ascii="微软雅黑" w:hAnsi="微软雅黑" w:cs="微软雅黑"/>
                <w:b/>
                <w:sz w:val="20"/>
                <w:szCs w:val="20"/>
              </w:rPr>
            </w:pPr>
            <w:r>
              <w:rPr>
                <w:rFonts w:hint="eastAsia" w:ascii="微软雅黑" w:hAnsi="微软雅黑" w:cs="微软雅黑"/>
                <w:b/>
                <w:sz w:val="20"/>
                <w:szCs w:val="20"/>
              </w:rPr>
              <w:t>最高限价（人民币）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93" w:hRule="atLeast"/>
        </w:trPr>
        <w:tc>
          <w:tcPr>
            <w:tcW w:w="3107"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宋体"/>
                <w:bCs/>
                <w:color w:val="000000"/>
                <w:sz w:val="21"/>
                <w:szCs w:val="21"/>
              </w:rPr>
            </w:pPr>
            <w:r>
              <w:rPr>
                <w:rFonts w:hint="eastAsia" w:ascii="宋体"/>
                <w:bCs/>
                <w:color w:val="000000"/>
                <w:sz w:val="21"/>
                <w:szCs w:val="21"/>
              </w:rPr>
              <w:t>数字化平台建设</w:t>
            </w:r>
          </w:p>
        </w:tc>
        <w:tc>
          <w:tcPr>
            <w:tcW w:w="3341"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宋体"/>
                <w:bCs/>
                <w:color w:val="000000"/>
                <w:sz w:val="21"/>
                <w:szCs w:val="21"/>
              </w:rPr>
            </w:pPr>
            <w:r>
              <w:rPr>
                <w:rFonts w:hint="eastAsia" w:ascii="宋体"/>
                <w:bCs/>
                <w:color w:val="000000"/>
                <w:sz w:val="21"/>
                <w:szCs w:val="21"/>
              </w:rPr>
              <w:t>自合同签订之日起</w:t>
            </w:r>
            <w:r>
              <w:rPr>
                <w:rFonts w:ascii="宋体"/>
                <w:bCs/>
                <w:color w:val="000000"/>
                <w:sz w:val="21"/>
                <w:szCs w:val="21"/>
              </w:rPr>
              <w:t>270</w:t>
            </w:r>
            <w:r>
              <w:rPr>
                <w:rFonts w:hint="eastAsia" w:ascii="宋体"/>
                <w:bCs/>
                <w:color w:val="000000"/>
                <w:sz w:val="21"/>
                <w:szCs w:val="21"/>
              </w:rPr>
              <w:t>天内完成，包括测试调试等</w:t>
            </w:r>
          </w:p>
        </w:tc>
        <w:tc>
          <w:tcPr>
            <w:tcW w:w="3180"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宋体"/>
                <w:bCs/>
                <w:color w:val="000000"/>
                <w:sz w:val="21"/>
                <w:szCs w:val="21"/>
              </w:rPr>
            </w:pPr>
            <w:r>
              <w:rPr>
                <w:rFonts w:hint="eastAsia" w:ascii="微软雅黑" w:hAnsi="微软雅黑" w:cs="微软雅黑"/>
                <w:bCs/>
                <w:sz w:val="21"/>
                <w:szCs w:val="21"/>
              </w:rPr>
              <w:t>2</w:t>
            </w:r>
            <w:r>
              <w:rPr>
                <w:rFonts w:ascii="微软雅黑" w:hAnsi="微软雅黑" w:cs="微软雅黑"/>
                <w:bCs/>
                <w:sz w:val="21"/>
                <w:szCs w:val="21"/>
              </w:rPr>
              <w:t>10</w:t>
            </w:r>
            <w:r>
              <w:rPr>
                <w:rFonts w:hint="eastAsia" w:ascii="微软雅黑" w:hAnsi="微软雅黑" w:cs="微软雅黑"/>
                <w:bCs/>
                <w:sz w:val="21"/>
                <w:szCs w:val="21"/>
              </w:rPr>
              <w:t>万元</w:t>
            </w:r>
          </w:p>
        </w:tc>
      </w:tr>
    </w:tbl>
    <w:p>
      <w:pPr>
        <w:widowControl w:val="0"/>
        <w:numPr>
          <w:ilvl w:val="0"/>
          <w:numId w:val="6"/>
        </w:numPr>
        <w:autoSpaceDN w:val="0"/>
        <w:adjustRightInd/>
        <w:spacing w:after="0" w:line="360" w:lineRule="auto"/>
        <w:jc w:val="both"/>
        <w:rPr>
          <w:rFonts w:ascii="微软雅黑" w:hAnsi="微软雅黑" w:cs="微软雅黑"/>
          <w:bCs/>
          <w:sz w:val="21"/>
          <w:szCs w:val="21"/>
        </w:rPr>
      </w:pPr>
      <w:r>
        <w:rPr>
          <w:rFonts w:hint="eastAsia" w:ascii="微软雅黑" w:hAnsi="微软雅黑" w:cs="微软雅黑"/>
          <w:bCs/>
          <w:sz w:val="21"/>
          <w:szCs w:val="21"/>
        </w:rPr>
        <w:t>项目情况一览表：</w:t>
      </w:r>
    </w:p>
    <w:p>
      <w:pPr>
        <w:spacing w:line="360" w:lineRule="auto"/>
        <w:ind w:firstLine="420" w:firstLineChars="200"/>
        <w:rPr>
          <w:rFonts w:ascii="微软雅黑" w:hAnsi="微软雅黑" w:cs="微软雅黑"/>
          <w:bCs/>
          <w:sz w:val="21"/>
          <w:szCs w:val="21"/>
          <w:u w:val="single"/>
        </w:rPr>
      </w:pPr>
      <w:r>
        <w:rPr>
          <w:rFonts w:hint="eastAsia" w:ascii="微软雅黑" w:hAnsi="微软雅黑" w:cs="微软雅黑"/>
          <w:bCs/>
          <w:sz w:val="21"/>
          <w:szCs w:val="21"/>
        </w:rPr>
        <w:t>备注：服务详细内容、要求及执行标准详见招标文件中的</w:t>
      </w:r>
      <w:r>
        <w:rPr>
          <w:rFonts w:hint="eastAsia" w:ascii="微软雅黑" w:hAnsi="微软雅黑" w:cs="微软雅黑"/>
          <w:bCs/>
          <w:sz w:val="21"/>
          <w:szCs w:val="21"/>
          <w:u w:val="single"/>
        </w:rPr>
        <w:t>“用户需求书”</w:t>
      </w:r>
      <w:r>
        <w:rPr>
          <w:rFonts w:hint="eastAsia" w:ascii="微软雅黑" w:hAnsi="微软雅黑" w:cs="微软雅黑"/>
          <w:bCs/>
          <w:sz w:val="21"/>
          <w:szCs w:val="21"/>
        </w:rPr>
        <w:t>。</w:t>
      </w:r>
    </w:p>
    <w:p>
      <w:pPr>
        <w:widowControl w:val="0"/>
        <w:numPr>
          <w:ilvl w:val="0"/>
          <w:numId w:val="6"/>
        </w:numPr>
        <w:tabs>
          <w:tab w:val="left" w:pos="5760"/>
        </w:tabs>
        <w:autoSpaceDN w:val="0"/>
        <w:adjustRightInd/>
        <w:spacing w:after="0" w:line="360" w:lineRule="auto"/>
        <w:jc w:val="both"/>
        <w:rPr>
          <w:rFonts w:ascii="微软雅黑" w:hAnsi="微软雅黑" w:cs="微软雅黑"/>
          <w:b/>
          <w:sz w:val="21"/>
          <w:szCs w:val="21"/>
        </w:rPr>
      </w:pPr>
      <w:r>
        <w:rPr>
          <w:rFonts w:hint="eastAsia" w:ascii="微软雅黑" w:hAnsi="微软雅黑" w:cs="微软雅黑"/>
          <w:b/>
          <w:bCs/>
          <w:sz w:val="21"/>
          <w:szCs w:val="21"/>
        </w:rPr>
        <w:t>合格投标人资格要求：</w:t>
      </w:r>
    </w:p>
    <w:p>
      <w:pPr>
        <w:widowControl w:val="0"/>
        <w:numPr>
          <w:ilvl w:val="2"/>
          <w:numId w:val="6"/>
        </w:numPr>
        <w:autoSpaceDN w:val="0"/>
        <w:adjustRightInd/>
        <w:spacing w:after="0" w:line="360" w:lineRule="auto"/>
        <w:jc w:val="both"/>
        <w:rPr>
          <w:rFonts w:ascii="微软雅黑" w:hAnsi="微软雅黑" w:cs="微软雅黑"/>
          <w:bCs/>
          <w:sz w:val="20"/>
          <w:szCs w:val="20"/>
        </w:rPr>
      </w:pPr>
      <w:r>
        <w:rPr>
          <w:rFonts w:hint="eastAsia" w:ascii="微软雅黑" w:hAnsi="微软雅黑" w:cs="微软雅黑"/>
          <w:bCs/>
          <w:sz w:val="20"/>
          <w:szCs w:val="20"/>
        </w:rPr>
        <w:t>具有独立承担民事责任的能力；</w:t>
      </w:r>
    </w:p>
    <w:p>
      <w:pPr>
        <w:widowControl w:val="0"/>
        <w:numPr>
          <w:ilvl w:val="2"/>
          <w:numId w:val="6"/>
        </w:numPr>
        <w:autoSpaceDN w:val="0"/>
        <w:adjustRightInd/>
        <w:spacing w:after="0" w:line="360" w:lineRule="auto"/>
        <w:jc w:val="both"/>
        <w:rPr>
          <w:rFonts w:ascii="微软雅黑" w:hAnsi="微软雅黑" w:cs="微软雅黑"/>
          <w:bCs/>
          <w:sz w:val="20"/>
          <w:szCs w:val="20"/>
        </w:rPr>
      </w:pPr>
      <w:r>
        <w:rPr>
          <w:rFonts w:hint="eastAsia" w:ascii="微软雅黑" w:hAnsi="微软雅黑" w:cs="微软雅黑"/>
          <w:bCs/>
          <w:sz w:val="20"/>
          <w:szCs w:val="20"/>
        </w:rPr>
        <w:t>具有良好的商业信誉和健全的财务会计制度；</w:t>
      </w:r>
    </w:p>
    <w:p>
      <w:pPr>
        <w:widowControl w:val="0"/>
        <w:numPr>
          <w:ilvl w:val="2"/>
          <w:numId w:val="6"/>
        </w:numPr>
        <w:autoSpaceDN w:val="0"/>
        <w:adjustRightInd/>
        <w:spacing w:after="0" w:line="360" w:lineRule="auto"/>
        <w:jc w:val="both"/>
        <w:rPr>
          <w:rFonts w:ascii="微软雅黑" w:hAnsi="微软雅黑" w:cs="微软雅黑"/>
          <w:b/>
          <w:bCs/>
          <w:sz w:val="20"/>
          <w:szCs w:val="20"/>
        </w:rPr>
      </w:pPr>
      <w:r>
        <w:rPr>
          <w:rFonts w:hint="eastAsia" w:ascii="微软雅黑" w:hAnsi="微软雅黑" w:cs="微软雅黑"/>
          <w:bCs/>
          <w:sz w:val="20"/>
          <w:szCs w:val="20"/>
        </w:rPr>
        <w:t>具有履行合同所必需的设备和专业技术能力；</w:t>
      </w:r>
    </w:p>
    <w:p>
      <w:pPr>
        <w:widowControl w:val="0"/>
        <w:numPr>
          <w:ilvl w:val="2"/>
          <w:numId w:val="6"/>
        </w:numPr>
        <w:autoSpaceDN w:val="0"/>
        <w:adjustRightInd/>
        <w:spacing w:after="0" w:line="360" w:lineRule="auto"/>
        <w:jc w:val="both"/>
        <w:rPr>
          <w:rFonts w:ascii="微软雅黑" w:hAnsi="微软雅黑" w:cs="微软雅黑"/>
          <w:bCs/>
          <w:sz w:val="20"/>
          <w:szCs w:val="20"/>
        </w:rPr>
      </w:pPr>
      <w:r>
        <w:rPr>
          <w:rFonts w:hint="eastAsia" w:ascii="微软雅黑" w:hAnsi="微软雅黑" w:cs="微软雅黑"/>
          <w:bCs/>
          <w:sz w:val="20"/>
          <w:szCs w:val="20"/>
        </w:rPr>
        <w:t>有依法缴纳税收和社会保障资金的良好记录；</w:t>
      </w:r>
    </w:p>
    <w:p>
      <w:pPr>
        <w:widowControl w:val="0"/>
        <w:numPr>
          <w:ilvl w:val="2"/>
          <w:numId w:val="6"/>
        </w:numPr>
        <w:autoSpaceDN w:val="0"/>
        <w:adjustRightInd/>
        <w:spacing w:after="0" w:line="360" w:lineRule="auto"/>
        <w:jc w:val="both"/>
        <w:rPr>
          <w:rFonts w:ascii="微软雅黑" w:hAnsi="微软雅黑" w:cs="微软雅黑"/>
          <w:bCs/>
          <w:sz w:val="20"/>
          <w:szCs w:val="20"/>
        </w:rPr>
      </w:pPr>
      <w:r>
        <w:rPr>
          <w:rFonts w:hint="eastAsia" w:ascii="微软雅黑" w:hAnsi="微软雅黑" w:cs="微软雅黑"/>
          <w:bCs/>
          <w:sz w:val="20"/>
          <w:szCs w:val="20"/>
        </w:rPr>
        <w:t>参加采购活动前三年内，在经营活动中没有重大违法记录；</w:t>
      </w:r>
    </w:p>
    <w:p>
      <w:pPr>
        <w:widowControl w:val="0"/>
        <w:numPr>
          <w:ilvl w:val="2"/>
          <w:numId w:val="6"/>
        </w:numPr>
        <w:autoSpaceDN w:val="0"/>
        <w:adjustRightInd/>
        <w:spacing w:after="0" w:line="360" w:lineRule="auto"/>
        <w:jc w:val="both"/>
        <w:rPr>
          <w:rFonts w:ascii="微软雅黑" w:hAnsi="微软雅黑" w:cs="微软雅黑"/>
          <w:sz w:val="20"/>
          <w:szCs w:val="20"/>
        </w:rPr>
      </w:pPr>
      <w:r>
        <w:rPr>
          <w:rFonts w:hint="eastAsia" w:ascii="微软雅黑" w:hAnsi="微软雅黑" w:cs="微软雅黑"/>
          <w:bCs/>
          <w:sz w:val="20"/>
          <w:szCs w:val="20"/>
        </w:rPr>
        <w:t>法律、行政法规规定的其他条件。</w:t>
      </w:r>
    </w:p>
    <w:p>
      <w:pPr>
        <w:widowControl w:val="0"/>
        <w:numPr>
          <w:ilvl w:val="2"/>
          <w:numId w:val="6"/>
        </w:numPr>
        <w:autoSpaceDN w:val="0"/>
        <w:adjustRightInd/>
        <w:spacing w:after="0" w:line="360" w:lineRule="auto"/>
        <w:jc w:val="both"/>
        <w:rPr>
          <w:rFonts w:ascii="微软雅黑" w:hAnsi="微软雅黑" w:cs="微软雅黑"/>
          <w:bCs/>
          <w:sz w:val="20"/>
          <w:szCs w:val="20"/>
        </w:rPr>
      </w:pPr>
      <w:r>
        <w:rPr>
          <w:rFonts w:hint="eastAsia" w:ascii="微软雅黑" w:hAnsi="微软雅黑" w:cs="微软雅黑"/>
          <w:bCs/>
          <w:sz w:val="20"/>
          <w:szCs w:val="20"/>
        </w:rPr>
        <w:t>投标人须为在中国境内注册并合法存续的独立法人或非法人组织；</w:t>
      </w:r>
    </w:p>
    <w:p>
      <w:pPr>
        <w:widowControl w:val="0"/>
        <w:numPr>
          <w:ilvl w:val="2"/>
          <w:numId w:val="6"/>
        </w:numPr>
        <w:autoSpaceDN w:val="0"/>
        <w:adjustRightInd/>
        <w:spacing w:after="0" w:line="360" w:lineRule="auto"/>
        <w:jc w:val="both"/>
        <w:rPr>
          <w:rFonts w:ascii="微软雅黑" w:hAnsi="微软雅黑" w:cs="微软雅黑"/>
          <w:sz w:val="20"/>
          <w:szCs w:val="20"/>
        </w:rPr>
      </w:pPr>
      <w:r>
        <w:rPr>
          <w:rFonts w:hint="eastAsia" w:ascii="微软雅黑" w:hAnsi="微软雅黑" w:cs="微软雅黑"/>
          <w:sz w:val="20"/>
          <w:szCs w:val="20"/>
        </w:rPr>
        <w:t>投标人没有处于被责令停业或破产状态，且资产未被重组、接管和冻结，声明在经营活动及投标活动中三年内没有重大违法活动和涉嫌违规行为。</w:t>
      </w:r>
    </w:p>
    <w:p>
      <w:pPr>
        <w:widowControl w:val="0"/>
        <w:numPr>
          <w:ilvl w:val="2"/>
          <w:numId w:val="6"/>
        </w:numPr>
        <w:autoSpaceDN w:val="0"/>
        <w:adjustRightInd/>
        <w:spacing w:after="0" w:line="360" w:lineRule="auto"/>
        <w:jc w:val="both"/>
        <w:rPr>
          <w:rFonts w:ascii="微软雅黑" w:hAnsi="微软雅黑" w:cs="微软雅黑"/>
          <w:sz w:val="20"/>
          <w:szCs w:val="20"/>
        </w:rPr>
      </w:pPr>
      <w:r>
        <w:rPr>
          <w:rFonts w:hint="eastAsia" w:ascii="微软雅黑" w:hAnsi="微软雅黑" w:cs="微软雅黑"/>
          <w:sz w:val="20"/>
          <w:szCs w:val="20"/>
        </w:rPr>
        <w:t>投标人没有列入失信被执行人、重大税收违法案件当事人名单、政府采购严重违法失信行为记录名单，相关主体信用记录通过“信用中国”网站（www.creditchina.gov.cn）、中国政府采购网（www.ccgp.gov.cn）等渠道查询；</w:t>
      </w:r>
    </w:p>
    <w:p>
      <w:pPr>
        <w:widowControl w:val="0"/>
        <w:numPr>
          <w:ilvl w:val="2"/>
          <w:numId w:val="6"/>
        </w:numPr>
        <w:autoSpaceDN w:val="0"/>
        <w:adjustRightInd/>
        <w:spacing w:after="0" w:line="360" w:lineRule="auto"/>
        <w:jc w:val="both"/>
        <w:rPr>
          <w:rFonts w:ascii="微软雅黑" w:hAnsi="微软雅黑" w:cs="微软雅黑"/>
          <w:sz w:val="20"/>
          <w:szCs w:val="20"/>
        </w:rPr>
      </w:pPr>
      <w:r>
        <w:rPr>
          <w:rFonts w:hint="eastAsia" w:ascii="微软雅黑" w:hAnsi="微软雅黑" w:cs="微软雅黑"/>
          <w:bCs/>
          <w:sz w:val="20"/>
          <w:szCs w:val="20"/>
        </w:rPr>
        <w:t>本项目不接受联合体投标。</w:t>
      </w:r>
    </w:p>
    <w:p>
      <w:pPr>
        <w:widowControl w:val="0"/>
        <w:numPr>
          <w:ilvl w:val="0"/>
          <w:numId w:val="6"/>
        </w:numPr>
        <w:tabs>
          <w:tab w:val="left" w:pos="5760"/>
        </w:tabs>
        <w:autoSpaceDN w:val="0"/>
        <w:adjustRightInd/>
        <w:spacing w:after="0" w:line="360" w:lineRule="auto"/>
        <w:jc w:val="both"/>
        <w:rPr>
          <w:rFonts w:ascii="微软雅黑" w:hAnsi="微软雅黑" w:cs="微软雅黑"/>
          <w:sz w:val="21"/>
          <w:szCs w:val="21"/>
        </w:rPr>
      </w:pPr>
      <w:r>
        <w:rPr>
          <w:rFonts w:hint="eastAsia" w:ascii="微软雅黑" w:hAnsi="微软雅黑" w:cs="微软雅黑"/>
          <w:b/>
          <w:sz w:val="21"/>
          <w:szCs w:val="21"/>
        </w:rPr>
        <w:t>采购代理机构只接受办理报名及登记手续购买本招标文件的投标人的投标。</w:t>
      </w:r>
    </w:p>
    <w:p>
      <w:pPr>
        <w:widowControl w:val="0"/>
        <w:numPr>
          <w:ilvl w:val="0"/>
          <w:numId w:val="6"/>
        </w:numPr>
        <w:tabs>
          <w:tab w:val="left" w:pos="5760"/>
        </w:tabs>
        <w:autoSpaceDN w:val="0"/>
        <w:adjustRightInd/>
        <w:spacing w:after="0" w:line="360" w:lineRule="auto"/>
        <w:jc w:val="both"/>
        <w:rPr>
          <w:rFonts w:ascii="微软雅黑" w:hAnsi="微软雅黑" w:cs="微软雅黑"/>
          <w:sz w:val="21"/>
          <w:szCs w:val="21"/>
        </w:rPr>
      </w:pPr>
      <w:r>
        <w:rPr>
          <w:rFonts w:hint="eastAsia" w:ascii="微软雅黑" w:hAnsi="微软雅黑" w:cs="微软雅黑"/>
          <w:b/>
          <w:sz w:val="21"/>
          <w:szCs w:val="21"/>
        </w:rPr>
        <w:t>获取招标文件的时间、地点、方式及招标文件售价：</w:t>
      </w:r>
    </w:p>
    <w:p>
      <w:pPr>
        <w:widowControl w:val="0"/>
        <w:tabs>
          <w:tab w:val="left" w:pos="5760"/>
        </w:tabs>
        <w:autoSpaceDN w:val="0"/>
        <w:adjustRightInd/>
        <w:spacing w:after="0" w:line="360" w:lineRule="auto"/>
        <w:jc w:val="both"/>
        <w:rPr>
          <w:rFonts w:ascii="微软雅黑" w:hAnsi="微软雅黑" w:cs="微软雅黑"/>
          <w:sz w:val="20"/>
          <w:szCs w:val="20"/>
        </w:rPr>
      </w:pPr>
      <w:r>
        <w:rPr>
          <w:rFonts w:hint="eastAsia" w:ascii="微软雅黑" w:hAnsi="微软雅黑" w:cs="微软雅黑"/>
          <w:sz w:val="20"/>
          <w:szCs w:val="20"/>
        </w:rPr>
        <w:t>8.1  获取招标文件时间：</w:t>
      </w:r>
      <w:r>
        <w:rPr>
          <w:rFonts w:hint="eastAsia" w:ascii="微软雅黑" w:hAnsi="微软雅黑" w:cs="微软雅黑"/>
          <w:color w:val="000000"/>
          <w:sz w:val="20"/>
          <w:szCs w:val="20"/>
        </w:rPr>
        <w:t>2022年</w:t>
      </w:r>
      <w:r>
        <w:rPr>
          <w:rFonts w:hint="eastAsia" w:ascii="微软雅黑" w:hAnsi="微软雅黑" w:cs="微软雅黑"/>
          <w:bCs/>
          <w:color w:val="000000"/>
          <w:sz w:val="20"/>
          <w:szCs w:val="20"/>
        </w:rPr>
        <w:t>6</w:t>
      </w:r>
      <w:r>
        <w:rPr>
          <w:rFonts w:hint="eastAsia" w:ascii="微软雅黑" w:hAnsi="微软雅黑" w:cs="微软雅黑"/>
          <w:color w:val="000000"/>
          <w:sz w:val="20"/>
          <w:szCs w:val="20"/>
        </w:rPr>
        <w:t>月</w:t>
      </w:r>
      <w:r>
        <w:rPr>
          <w:rFonts w:hint="eastAsia" w:ascii="微软雅黑" w:hAnsi="微软雅黑" w:cs="微软雅黑"/>
          <w:bCs/>
          <w:color w:val="000000"/>
          <w:sz w:val="20"/>
          <w:szCs w:val="20"/>
        </w:rPr>
        <w:t>23</w:t>
      </w:r>
      <w:r>
        <w:rPr>
          <w:rFonts w:hint="eastAsia" w:ascii="微软雅黑" w:hAnsi="微软雅黑" w:cs="微软雅黑"/>
          <w:color w:val="000000"/>
          <w:sz w:val="20"/>
          <w:szCs w:val="20"/>
        </w:rPr>
        <w:t>日至2022年</w:t>
      </w:r>
      <w:r>
        <w:rPr>
          <w:rFonts w:hint="eastAsia" w:ascii="微软雅黑" w:hAnsi="微软雅黑" w:cs="微软雅黑"/>
          <w:bCs/>
          <w:color w:val="000000"/>
          <w:sz w:val="20"/>
          <w:szCs w:val="20"/>
        </w:rPr>
        <w:t>6</w:t>
      </w:r>
      <w:r>
        <w:rPr>
          <w:rFonts w:hint="eastAsia" w:ascii="微软雅黑" w:hAnsi="微软雅黑" w:cs="微软雅黑"/>
          <w:color w:val="000000"/>
          <w:sz w:val="20"/>
          <w:szCs w:val="20"/>
        </w:rPr>
        <w:t>月</w:t>
      </w:r>
      <w:r>
        <w:rPr>
          <w:rFonts w:hint="eastAsia" w:ascii="微软雅黑" w:hAnsi="微软雅黑" w:cs="微软雅黑"/>
          <w:bCs/>
          <w:color w:val="000000"/>
          <w:sz w:val="20"/>
          <w:szCs w:val="20"/>
        </w:rPr>
        <w:t>30</w:t>
      </w:r>
      <w:r>
        <w:rPr>
          <w:rFonts w:hint="eastAsia" w:ascii="微软雅黑" w:hAnsi="微软雅黑" w:cs="微软雅黑"/>
          <w:color w:val="000000"/>
          <w:sz w:val="20"/>
          <w:szCs w:val="20"/>
        </w:rPr>
        <w:t>日</w:t>
      </w:r>
      <w:r>
        <w:rPr>
          <w:rFonts w:hint="eastAsia" w:ascii="微软雅黑" w:hAnsi="微软雅黑" w:cs="微软雅黑"/>
          <w:sz w:val="20"/>
          <w:szCs w:val="20"/>
        </w:rPr>
        <w:t>，工作日9：00-12：00，14：00-17：00（法定节假日除外）</w:t>
      </w:r>
    </w:p>
    <w:p>
      <w:pPr>
        <w:widowControl w:val="0"/>
        <w:tabs>
          <w:tab w:val="left" w:pos="5760"/>
        </w:tabs>
        <w:autoSpaceDN w:val="0"/>
        <w:adjustRightInd/>
        <w:spacing w:after="0" w:line="360" w:lineRule="auto"/>
        <w:jc w:val="both"/>
        <w:rPr>
          <w:rFonts w:ascii="微软雅黑" w:hAnsi="微软雅黑" w:cs="微软雅黑"/>
          <w:sz w:val="20"/>
          <w:szCs w:val="20"/>
        </w:rPr>
      </w:pPr>
      <w:r>
        <w:rPr>
          <w:rFonts w:hint="eastAsia" w:ascii="微软雅黑" w:hAnsi="微软雅黑" w:cs="微软雅黑"/>
          <w:sz w:val="20"/>
          <w:szCs w:val="20"/>
        </w:rPr>
        <w:t>8.2  获取招标文件地点：广州市番禺区南村镇敏捷上城国际一期2栋1806</w:t>
      </w:r>
    </w:p>
    <w:p>
      <w:pPr>
        <w:adjustRightInd/>
        <w:spacing w:line="360" w:lineRule="auto"/>
        <w:jc w:val="both"/>
        <w:rPr>
          <w:rFonts w:ascii="微软雅黑" w:hAnsi="微软雅黑" w:cs="微软雅黑"/>
          <w:sz w:val="20"/>
          <w:szCs w:val="20"/>
        </w:rPr>
      </w:pPr>
      <w:r>
        <w:rPr>
          <w:rFonts w:hint="eastAsia" w:ascii="微软雅黑" w:hAnsi="微软雅黑" w:cs="微软雅黑"/>
          <w:sz w:val="20"/>
          <w:szCs w:val="20"/>
        </w:rPr>
        <w:t>8.3  获取招标文件方式：</w:t>
      </w:r>
      <w:r>
        <w:rPr>
          <w:rFonts w:hint="eastAsia" w:ascii="微软雅黑" w:hAnsi="微软雅黑" w:cs="微软雅黑"/>
          <w:b/>
          <w:bCs/>
          <w:sz w:val="20"/>
          <w:szCs w:val="20"/>
        </w:rPr>
        <w:t>（投标人凭以下资料加盖单位公章购买招标文件）</w:t>
      </w:r>
    </w:p>
    <w:p>
      <w:pPr>
        <w:adjustRightInd/>
        <w:spacing w:line="360" w:lineRule="auto"/>
        <w:jc w:val="both"/>
        <w:rPr>
          <w:rFonts w:ascii="微软雅黑" w:hAnsi="微软雅黑" w:cs="微软雅黑"/>
          <w:bCs/>
          <w:sz w:val="20"/>
          <w:szCs w:val="20"/>
        </w:rPr>
      </w:pPr>
      <w:r>
        <w:rPr>
          <w:rFonts w:hint="eastAsia" w:ascii="微软雅黑" w:hAnsi="微软雅黑" w:cs="微软雅黑"/>
          <w:bCs/>
          <w:sz w:val="20"/>
          <w:szCs w:val="20"/>
        </w:rPr>
        <w:t>8.3.1  有效的营业执照副本</w:t>
      </w:r>
      <w:r>
        <w:rPr>
          <w:rFonts w:hint="eastAsia" w:ascii="微软雅黑" w:hAnsi="微软雅黑" w:cs="微软雅黑"/>
          <w:sz w:val="20"/>
          <w:szCs w:val="20"/>
        </w:rPr>
        <w:t>或事业单位法人证书</w:t>
      </w:r>
      <w:r>
        <w:rPr>
          <w:rFonts w:hint="eastAsia" w:ascii="微软雅黑" w:hAnsi="微软雅黑" w:cs="微软雅黑"/>
          <w:bCs/>
          <w:sz w:val="20"/>
          <w:szCs w:val="20"/>
        </w:rPr>
        <w:t>复印件；</w:t>
      </w:r>
    </w:p>
    <w:p>
      <w:pPr>
        <w:widowControl w:val="0"/>
        <w:autoSpaceDN w:val="0"/>
        <w:adjustRightInd/>
        <w:spacing w:after="0" w:line="360" w:lineRule="auto"/>
        <w:jc w:val="both"/>
        <w:rPr>
          <w:rFonts w:ascii="微软雅黑" w:hAnsi="微软雅黑" w:cs="微软雅黑"/>
          <w:bCs/>
          <w:sz w:val="20"/>
          <w:szCs w:val="20"/>
        </w:rPr>
      </w:pPr>
      <w:r>
        <w:rPr>
          <w:rFonts w:hint="eastAsia" w:ascii="微软雅黑" w:hAnsi="微软雅黑" w:cs="微软雅黑"/>
          <w:bCs/>
          <w:sz w:val="20"/>
          <w:szCs w:val="20"/>
        </w:rPr>
        <w:t xml:space="preserve">8.3.2 </w:t>
      </w:r>
      <w:r>
        <w:rPr>
          <w:rFonts w:hint="eastAsia" w:ascii="微软雅黑" w:hAnsi="微软雅黑" w:cs="微软雅黑"/>
          <w:sz w:val="20"/>
          <w:szCs w:val="20"/>
        </w:rPr>
        <w:t xml:space="preserve"> </w:t>
      </w:r>
      <w:r>
        <w:rPr>
          <w:rFonts w:hint="eastAsia" w:ascii="微软雅黑" w:hAnsi="微软雅黑" w:cs="微软雅黑"/>
          <w:bCs/>
          <w:sz w:val="20"/>
          <w:szCs w:val="20"/>
        </w:rPr>
        <w:t>投标人没有列入失信被执行人、重大税收违法案件当事人名单、政府采购严重违法失信行为记录名单，相关主体信用记录通过“信用中国”网站（www.creditchina.gov.cn）、中国政府采购网（www.ccgp.gov.cn）等渠道查询；</w:t>
      </w:r>
    </w:p>
    <w:p>
      <w:pPr>
        <w:adjustRightInd/>
        <w:spacing w:line="360" w:lineRule="auto"/>
        <w:jc w:val="both"/>
        <w:rPr>
          <w:rFonts w:ascii="微软雅黑" w:hAnsi="微软雅黑" w:cs="微软雅黑"/>
          <w:sz w:val="20"/>
          <w:szCs w:val="20"/>
        </w:rPr>
      </w:pPr>
      <w:r>
        <w:rPr>
          <w:rFonts w:hint="eastAsia" w:ascii="微软雅黑" w:hAnsi="微软雅黑" w:cs="微软雅黑"/>
          <w:sz w:val="20"/>
          <w:szCs w:val="20"/>
        </w:rPr>
        <w:t>8.3.3   购买招标文件经办人，需提供：</w:t>
      </w:r>
    </w:p>
    <w:p>
      <w:pPr>
        <w:adjustRightInd/>
        <w:spacing w:line="360" w:lineRule="auto"/>
        <w:jc w:val="both"/>
        <w:rPr>
          <w:rFonts w:ascii="微软雅黑" w:hAnsi="微软雅黑" w:cs="微软雅黑"/>
          <w:sz w:val="20"/>
          <w:szCs w:val="20"/>
        </w:rPr>
      </w:pPr>
      <w:r>
        <w:rPr>
          <w:rFonts w:hint="eastAsia" w:ascii="微软雅黑" w:hAnsi="微软雅黑" w:cs="微软雅黑"/>
          <w:sz w:val="20"/>
          <w:szCs w:val="20"/>
        </w:rPr>
        <w:t>经办人如是法定代表人，需提供法定代表人证明书及法定代表人身份证复印件；</w:t>
      </w:r>
    </w:p>
    <w:p>
      <w:pPr>
        <w:adjustRightInd/>
        <w:spacing w:line="360" w:lineRule="auto"/>
        <w:jc w:val="both"/>
        <w:rPr>
          <w:rFonts w:ascii="微软雅黑" w:hAnsi="微软雅黑" w:cs="微软雅黑"/>
          <w:sz w:val="20"/>
          <w:szCs w:val="20"/>
        </w:rPr>
      </w:pPr>
      <w:r>
        <w:rPr>
          <w:rFonts w:hint="eastAsia" w:ascii="微软雅黑" w:hAnsi="微软雅黑" w:cs="微软雅黑"/>
          <w:sz w:val="20"/>
          <w:szCs w:val="20"/>
        </w:rPr>
        <w:t>经办人如是投标人授权代表，需提供法定代表人授权委托书及授权代表身份证复印件；</w:t>
      </w:r>
    </w:p>
    <w:p>
      <w:pPr>
        <w:tabs>
          <w:tab w:val="left" w:pos="1440"/>
        </w:tabs>
        <w:spacing w:line="360" w:lineRule="auto"/>
        <w:rPr>
          <w:rFonts w:ascii="微软雅黑" w:hAnsi="微软雅黑" w:cs="微软雅黑"/>
          <w:b/>
          <w:sz w:val="20"/>
          <w:szCs w:val="20"/>
        </w:rPr>
      </w:pPr>
      <w:r>
        <w:rPr>
          <w:rFonts w:hint="eastAsia" w:ascii="微软雅黑" w:hAnsi="微软雅黑" w:cs="微软雅黑"/>
          <w:b/>
          <w:sz w:val="20"/>
          <w:szCs w:val="20"/>
        </w:rPr>
        <w:t>备注：1、以上资料参与正式投标时须放入投标文件中。</w:t>
      </w:r>
    </w:p>
    <w:p>
      <w:pPr>
        <w:tabs>
          <w:tab w:val="left" w:pos="1440"/>
        </w:tabs>
        <w:spacing w:line="360" w:lineRule="auto"/>
        <w:ind w:firstLine="600" w:firstLineChars="300"/>
        <w:rPr>
          <w:rFonts w:ascii="微软雅黑" w:hAnsi="微软雅黑" w:cs="微软雅黑"/>
          <w:b/>
          <w:color w:val="FF0000"/>
          <w:sz w:val="20"/>
          <w:szCs w:val="20"/>
        </w:rPr>
      </w:pPr>
      <w:r>
        <w:rPr>
          <w:rFonts w:hint="eastAsia" w:ascii="微软雅黑" w:hAnsi="微软雅黑" w:cs="微软雅黑"/>
          <w:b/>
          <w:color w:val="FF0000"/>
          <w:sz w:val="20"/>
          <w:szCs w:val="20"/>
        </w:rPr>
        <w:t>2、已办理报名并成功购买招标文件的投标人参加投标的，不代表通过资格、符合性评审。</w:t>
      </w:r>
    </w:p>
    <w:p>
      <w:pPr>
        <w:tabs>
          <w:tab w:val="left" w:pos="1440"/>
        </w:tabs>
        <w:spacing w:line="360" w:lineRule="auto"/>
        <w:rPr>
          <w:rFonts w:ascii="微软雅黑" w:hAnsi="微软雅黑" w:cs="微软雅黑"/>
          <w:b/>
          <w:sz w:val="20"/>
          <w:szCs w:val="20"/>
        </w:rPr>
      </w:pPr>
      <w:r>
        <w:rPr>
          <w:rFonts w:hint="eastAsia" w:ascii="微软雅黑" w:hAnsi="微软雅黑" w:cs="微软雅黑"/>
          <w:b/>
          <w:sz w:val="20"/>
          <w:szCs w:val="20"/>
        </w:rPr>
        <w:t>为了提高效率，投标人可先下载“招标文件发售登记表（</w:t>
      </w:r>
      <w:r>
        <w:fldChar w:fldCharType="begin"/>
      </w:r>
      <w:r>
        <w:instrText xml:space="preserve"> HYPERLINK "http://www.baochengdaili.com/downs.asp?ID=23" </w:instrText>
      </w:r>
      <w:r>
        <w:fldChar w:fldCharType="separate"/>
      </w:r>
      <w:r>
        <w:rPr>
          <w:rStyle w:val="54"/>
          <w:rFonts w:hint="eastAsia" w:ascii="微软雅黑" w:hAnsi="微软雅黑" w:cs="微软雅黑"/>
          <w:b/>
          <w:sz w:val="20"/>
          <w:szCs w:val="20"/>
        </w:rPr>
        <w:t>点击打开</w:t>
      </w:r>
      <w:r>
        <w:rPr>
          <w:rStyle w:val="54"/>
          <w:rFonts w:hint="eastAsia" w:ascii="微软雅黑" w:hAnsi="微软雅黑" w:cs="微软雅黑"/>
          <w:b/>
          <w:sz w:val="20"/>
          <w:szCs w:val="20"/>
        </w:rPr>
        <w:fldChar w:fldCharType="end"/>
      </w:r>
      <w:r>
        <w:rPr>
          <w:rFonts w:hint="eastAsia" w:ascii="微软雅黑" w:hAnsi="微软雅黑" w:cs="微软雅黑"/>
          <w:b/>
          <w:sz w:val="20"/>
          <w:szCs w:val="20"/>
        </w:rPr>
        <w:t>）”，填写后打印并与以上资料一并携带购买招标文件。</w:t>
      </w:r>
    </w:p>
    <w:p>
      <w:pPr>
        <w:adjustRightInd/>
        <w:spacing w:line="360" w:lineRule="auto"/>
        <w:jc w:val="both"/>
        <w:rPr>
          <w:rFonts w:ascii="微软雅黑" w:hAnsi="微软雅黑" w:cs="微软雅黑"/>
          <w:bCs/>
          <w:sz w:val="20"/>
          <w:szCs w:val="20"/>
        </w:rPr>
      </w:pPr>
      <w:r>
        <w:rPr>
          <w:rFonts w:hint="eastAsia" w:ascii="微软雅黑" w:hAnsi="微软雅黑" w:cs="微软雅黑"/>
          <w:sz w:val="20"/>
          <w:szCs w:val="20"/>
        </w:rPr>
        <w:t>投标人购买招标文件需按要求提供以上资料并经审查，只接受通过以上方式正式获取招标文件</w:t>
      </w:r>
      <w:r>
        <w:rPr>
          <w:rFonts w:hint="eastAsia" w:ascii="微软雅黑" w:hAnsi="微软雅黑" w:cs="微软雅黑"/>
          <w:bCs/>
          <w:sz w:val="20"/>
          <w:szCs w:val="20"/>
        </w:rPr>
        <w:t>的投标人的投标。</w:t>
      </w:r>
    </w:p>
    <w:p>
      <w:pPr>
        <w:adjustRightInd/>
        <w:spacing w:line="360" w:lineRule="auto"/>
        <w:jc w:val="both"/>
        <w:rPr>
          <w:rFonts w:ascii="微软雅黑" w:hAnsi="微软雅黑" w:cs="微软雅黑"/>
          <w:sz w:val="20"/>
          <w:szCs w:val="20"/>
        </w:rPr>
      </w:pPr>
      <w:r>
        <w:rPr>
          <w:rFonts w:hint="eastAsia" w:ascii="微软雅黑" w:hAnsi="微软雅黑" w:cs="微软雅黑"/>
          <w:sz w:val="20"/>
          <w:szCs w:val="20"/>
        </w:rPr>
        <w:t>招标文件售价：招标文件每份人民币300.00元整，售后不退。（如需邮寄另加人民币50元特快专递费，售后不退。在任何情况下代理机构对邮寄过程中发生的迟交或遗失都不承担责任）。</w:t>
      </w:r>
    </w:p>
    <w:p>
      <w:pPr>
        <w:spacing w:line="360" w:lineRule="auto"/>
        <w:jc w:val="both"/>
        <w:rPr>
          <w:rFonts w:ascii="微软雅黑" w:hAnsi="微软雅黑" w:cs="微软雅黑"/>
          <w:b/>
          <w:bCs/>
          <w:color w:val="FF0000"/>
          <w:sz w:val="20"/>
          <w:szCs w:val="20"/>
        </w:rPr>
      </w:pPr>
      <w:r>
        <w:rPr>
          <w:rFonts w:ascii="微软雅黑" w:hAnsi="微软雅黑" w:cs="微软雅黑"/>
          <w:b/>
          <w:bCs/>
          <w:sz w:val="20"/>
          <w:szCs w:val="20"/>
        </w:rPr>
        <w:t>9.</w:t>
      </w:r>
      <w:r>
        <w:rPr>
          <w:rFonts w:ascii="微软雅黑" w:hAnsi="微软雅黑" w:cs="微软雅黑"/>
          <w:b/>
          <w:bCs/>
          <w:sz w:val="20"/>
          <w:szCs w:val="20"/>
        </w:rPr>
        <w:tab/>
      </w:r>
      <w:r>
        <w:rPr>
          <w:rFonts w:hint="eastAsia" w:ascii="微软雅黑" w:hAnsi="微软雅黑" w:cs="微软雅黑"/>
          <w:b/>
          <w:bCs/>
          <w:sz w:val="20"/>
          <w:szCs w:val="20"/>
        </w:rPr>
        <w:t>投标、开标时间及地点：</w:t>
      </w:r>
    </w:p>
    <w:p>
      <w:pPr>
        <w:adjustRightInd/>
        <w:spacing w:line="360" w:lineRule="auto"/>
        <w:jc w:val="both"/>
        <w:rPr>
          <w:rFonts w:ascii="微软雅黑" w:hAnsi="微软雅黑" w:cs="微软雅黑"/>
          <w:sz w:val="20"/>
          <w:szCs w:val="20"/>
        </w:rPr>
      </w:pPr>
      <w:r>
        <w:rPr>
          <w:rFonts w:hint="eastAsia" w:ascii="微软雅黑" w:hAnsi="微软雅黑" w:cs="微软雅黑"/>
          <w:sz w:val="20"/>
          <w:szCs w:val="20"/>
        </w:rPr>
        <w:t>9.1 投标文件递交时间：</w:t>
      </w:r>
      <w:r>
        <w:rPr>
          <w:rFonts w:hint="eastAsia" w:ascii="微软雅黑" w:hAnsi="微软雅黑" w:cs="微软雅黑"/>
          <w:color w:val="000000"/>
          <w:sz w:val="20"/>
          <w:szCs w:val="20"/>
        </w:rPr>
        <w:t>2022年</w:t>
      </w:r>
      <w:r>
        <w:rPr>
          <w:rFonts w:hint="eastAsia" w:ascii="微软雅黑" w:hAnsi="微软雅黑" w:cs="微软雅黑"/>
          <w:bCs/>
          <w:sz w:val="20"/>
          <w:szCs w:val="20"/>
        </w:rPr>
        <w:t>7</w:t>
      </w:r>
      <w:r>
        <w:rPr>
          <w:rFonts w:hint="eastAsia" w:ascii="微软雅黑" w:hAnsi="微软雅黑" w:cs="微软雅黑"/>
          <w:sz w:val="20"/>
          <w:szCs w:val="20"/>
        </w:rPr>
        <w:t>月</w:t>
      </w:r>
      <w:r>
        <w:rPr>
          <w:rFonts w:hint="eastAsia" w:ascii="微软雅黑" w:hAnsi="微软雅黑" w:cs="微软雅黑"/>
          <w:bCs/>
          <w:sz w:val="20"/>
          <w:szCs w:val="20"/>
        </w:rPr>
        <w:t>15</w:t>
      </w:r>
      <w:r>
        <w:rPr>
          <w:rFonts w:hint="eastAsia" w:ascii="微软雅黑" w:hAnsi="微软雅黑" w:cs="微软雅黑"/>
          <w:sz w:val="20"/>
          <w:szCs w:val="20"/>
        </w:rPr>
        <w:t>日09：00-09：30</w:t>
      </w:r>
    </w:p>
    <w:p>
      <w:pPr>
        <w:adjustRightInd/>
        <w:spacing w:line="360" w:lineRule="auto"/>
        <w:jc w:val="both"/>
        <w:rPr>
          <w:rFonts w:ascii="微软雅黑" w:hAnsi="微软雅黑" w:cs="微软雅黑"/>
          <w:sz w:val="20"/>
          <w:szCs w:val="20"/>
        </w:rPr>
      </w:pPr>
      <w:r>
        <w:rPr>
          <w:rFonts w:hint="eastAsia" w:ascii="微软雅黑" w:hAnsi="微软雅黑" w:cs="微软雅黑"/>
          <w:sz w:val="20"/>
          <w:szCs w:val="20"/>
        </w:rPr>
        <w:t>9.2 投标截止及开标时间：2022年</w:t>
      </w:r>
      <w:r>
        <w:rPr>
          <w:rFonts w:hint="eastAsia" w:ascii="微软雅黑" w:hAnsi="微软雅黑" w:cs="微软雅黑"/>
          <w:bCs/>
          <w:sz w:val="20"/>
          <w:szCs w:val="20"/>
        </w:rPr>
        <w:t>7</w:t>
      </w:r>
      <w:r>
        <w:rPr>
          <w:rFonts w:hint="eastAsia" w:ascii="微软雅黑" w:hAnsi="微软雅黑" w:cs="微软雅黑"/>
          <w:sz w:val="20"/>
          <w:szCs w:val="20"/>
        </w:rPr>
        <w:t>月</w:t>
      </w:r>
      <w:r>
        <w:rPr>
          <w:rFonts w:hint="eastAsia" w:ascii="微软雅黑" w:hAnsi="微软雅黑" w:cs="微软雅黑"/>
          <w:bCs/>
          <w:sz w:val="20"/>
          <w:szCs w:val="20"/>
        </w:rPr>
        <w:t>15</w:t>
      </w:r>
      <w:r>
        <w:rPr>
          <w:rFonts w:hint="eastAsia" w:ascii="微软雅黑" w:hAnsi="微软雅黑" w:cs="微软雅黑"/>
          <w:sz w:val="20"/>
          <w:szCs w:val="20"/>
        </w:rPr>
        <w:t>日09：30</w:t>
      </w:r>
    </w:p>
    <w:p>
      <w:pPr>
        <w:adjustRightInd/>
        <w:spacing w:line="360" w:lineRule="auto"/>
        <w:jc w:val="both"/>
        <w:rPr>
          <w:rFonts w:ascii="微软雅黑" w:hAnsi="微软雅黑" w:cs="微软雅黑"/>
          <w:b/>
          <w:sz w:val="20"/>
          <w:szCs w:val="20"/>
        </w:rPr>
      </w:pPr>
      <w:r>
        <w:rPr>
          <w:rFonts w:hint="eastAsia" w:ascii="微软雅黑" w:hAnsi="微软雅黑" w:cs="微软雅黑"/>
          <w:b/>
          <w:sz w:val="20"/>
          <w:szCs w:val="20"/>
        </w:rPr>
        <w:t>9.3 投标文件递交及开标地点：</w:t>
      </w:r>
      <w:r>
        <w:rPr>
          <w:rFonts w:hint="eastAsia" w:ascii="微软雅黑" w:hAnsi="微软雅黑" w:cs="微软雅黑"/>
          <w:sz w:val="20"/>
          <w:szCs w:val="20"/>
        </w:rPr>
        <w:t>广州市番禺区南村镇敏捷上城国际一期2栋1806</w:t>
      </w:r>
    </w:p>
    <w:p>
      <w:pPr>
        <w:adjustRightInd/>
        <w:spacing w:line="360" w:lineRule="auto"/>
        <w:jc w:val="both"/>
        <w:rPr>
          <w:rFonts w:ascii="微软雅黑" w:hAnsi="微软雅黑" w:cs="微软雅黑"/>
          <w:b/>
          <w:bCs/>
          <w:color w:val="000000"/>
          <w:sz w:val="20"/>
          <w:szCs w:val="20"/>
        </w:rPr>
      </w:pPr>
      <w:r>
        <w:rPr>
          <w:rFonts w:hint="eastAsia" w:ascii="微软雅黑" w:hAnsi="微软雅黑" w:cs="微软雅黑"/>
          <w:b/>
          <w:bCs/>
          <w:color w:val="000000"/>
          <w:sz w:val="20"/>
          <w:szCs w:val="20"/>
        </w:rPr>
        <w:t>10</w:t>
      </w:r>
      <w:r>
        <w:rPr>
          <w:rFonts w:ascii="微软雅黑" w:hAnsi="微软雅黑" w:cs="微软雅黑"/>
          <w:b/>
          <w:bCs/>
          <w:color w:val="000000"/>
          <w:sz w:val="20"/>
          <w:szCs w:val="20"/>
        </w:rPr>
        <w:t>.</w:t>
      </w:r>
      <w:r>
        <w:rPr>
          <w:rFonts w:ascii="微软雅黑" w:hAnsi="微软雅黑" w:cs="微软雅黑"/>
          <w:b/>
          <w:bCs/>
          <w:color w:val="000000"/>
          <w:sz w:val="20"/>
          <w:szCs w:val="20"/>
        </w:rPr>
        <w:tab/>
      </w:r>
      <w:r>
        <w:rPr>
          <w:rFonts w:hint="eastAsia" w:ascii="微软雅黑" w:hAnsi="微软雅黑" w:cs="微软雅黑"/>
          <w:b/>
          <w:bCs/>
          <w:color w:val="000000"/>
          <w:sz w:val="20"/>
          <w:szCs w:val="20"/>
        </w:rPr>
        <w:t>本项目相关公告在以下媒体发布：</w:t>
      </w:r>
    </w:p>
    <w:p>
      <w:pPr>
        <w:adjustRightInd/>
        <w:spacing w:line="360" w:lineRule="auto"/>
        <w:jc w:val="both"/>
        <w:rPr>
          <w:rFonts w:ascii="微软雅黑" w:hAnsi="微软雅黑" w:cs="微软雅黑"/>
          <w:bCs/>
          <w:color w:val="000000"/>
          <w:sz w:val="20"/>
          <w:szCs w:val="20"/>
        </w:rPr>
      </w:pPr>
      <w:r>
        <w:rPr>
          <w:rFonts w:hint="eastAsia" w:ascii="微软雅黑" w:hAnsi="微软雅黑" w:cs="微软雅黑"/>
          <w:bCs/>
          <w:color w:val="000000"/>
          <w:sz w:val="20"/>
          <w:szCs w:val="20"/>
        </w:rPr>
        <w:t>10.1法定媒体：中国采购与招标网</w:t>
      </w:r>
      <w:r>
        <w:rPr>
          <w:rFonts w:hint="eastAsia" w:ascii="微软雅黑" w:hAnsi="微软雅黑" w:cs="微软雅黑"/>
          <w:bCs/>
          <w:sz w:val="20"/>
          <w:szCs w:val="20"/>
        </w:rPr>
        <w:t>（http://www.chinabidding.com.cn/)。</w:t>
      </w:r>
      <w:r>
        <w:rPr>
          <w:rFonts w:hint="eastAsia" w:ascii="微软雅黑" w:hAnsi="微软雅黑" w:cs="微软雅黑"/>
          <w:bCs/>
          <w:color w:val="000000"/>
          <w:sz w:val="20"/>
          <w:szCs w:val="20"/>
        </w:rPr>
        <w:t>相关公告在法定媒体上公布之日即视为有效送达，不再另行通知。</w:t>
      </w:r>
    </w:p>
    <w:p>
      <w:pPr>
        <w:adjustRightInd/>
        <w:spacing w:line="360" w:lineRule="auto"/>
        <w:jc w:val="both"/>
        <w:rPr>
          <w:rFonts w:ascii="微软雅黑" w:hAnsi="微软雅黑" w:cs="微软雅黑"/>
          <w:bCs/>
          <w:color w:val="000000"/>
          <w:sz w:val="20"/>
          <w:szCs w:val="20"/>
        </w:rPr>
      </w:pPr>
      <w:r>
        <w:rPr>
          <w:rFonts w:hint="eastAsia" w:ascii="微软雅黑" w:hAnsi="微软雅黑" w:cs="微软雅黑"/>
          <w:bCs/>
          <w:color w:val="000000"/>
          <w:sz w:val="20"/>
          <w:szCs w:val="20"/>
        </w:rPr>
        <w:t>10.2 补充媒体：采购代理机构网站（baochengdaili.com）上公布。</w:t>
      </w:r>
    </w:p>
    <w:p>
      <w:pPr>
        <w:adjustRightInd/>
        <w:spacing w:line="360" w:lineRule="auto"/>
        <w:jc w:val="both"/>
        <w:rPr>
          <w:rFonts w:ascii="微软雅黑" w:hAnsi="微软雅黑" w:cs="微软雅黑"/>
          <w:color w:val="000000"/>
          <w:sz w:val="20"/>
          <w:szCs w:val="20"/>
        </w:rPr>
      </w:pPr>
      <w:r>
        <w:rPr>
          <w:rFonts w:hint="eastAsia" w:ascii="微软雅黑" w:hAnsi="微软雅黑" w:cs="微软雅黑"/>
          <w:color w:val="000000"/>
          <w:sz w:val="20"/>
          <w:szCs w:val="20"/>
        </w:rPr>
        <w:t>11</w:t>
      </w:r>
      <w:r>
        <w:rPr>
          <w:rFonts w:ascii="微软雅黑" w:hAnsi="微软雅黑" w:cs="微软雅黑"/>
          <w:color w:val="000000"/>
          <w:sz w:val="20"/>
          <w:szCs w:val="20"/>
        </w:rPr>
        <w:t>.</w:t>
      </w:r>
      <w:r>
        <w:rPr>
          <w:rFonts w:hint="eastAsia" w:ascii="微软雅黑" w:hAnsi="微软雅黑" w:cs="微软雅黑"/>
          <w:color w:val="000000"/>
          <w:sz w:val="20"/>
          <w:szCs w:val="20"/>
        </w:rPr>
        <w:t xml:space="preserve"> 投标人认为招标文件的内容损害其权益的，可以在公示期间或者自期满之日起七个工作日内以书面形式（加盖单位公章，电话咨询或传真或电邮形式无效）向采购人或者我司提出质疑，质疑书应包括的内容：具体的质疑事项、事实依据及相关确凿的证明材料、投标人名称及地址、授权代表姓名及其联系电话、质疑时间。质疑书应当署名并由法定代表人或授权代表签字并加盖公章。投标人递交质疑书时需提供质疑书原件、法定代表人授权委托书（应载明委托代理的具体权限及事项）及授权代表身份证复印件。</w:t>
      </w:r>
    </w:p>
    <w:p>
      <w:pPr>
        <w:spacing w:line="360" w:lineRule="auto"/>
        <w:rPr>
          <w:rFonts w:ascii="微软雅黑" w:hAnsi="微软雅黑" w:cs="微软雅黑"/>
          <w:bCs/>
          <w:sz w:val="20"/>
          <w:szCs w:val="20"/>
        </w:rPr>
      </w:pPr>
      <w:r>
        <w:rPr>
          <w:rFonts w:hint="eastAsia" w:ascii="微软雅黑" w:hAnsi="微软雅黑" w:cs="微软雅黑"/>
          <w:color w:val="000000"/>
          <w:sz w:val="20"/>
          <w:szCs w:val="20"/>
        </w:rPr>
        <w:t>采购人名称：</w:t>
      </w:r>
      <w:r>
        <w:rPr>
          <w:rFonts w:hint="eastAsia" w:ascii="微软雅黑" w:hAnsi="微软雅黑" w:cs="微软雅黑"/>
          <w:bCs/>
          <w:sz w:val="20"/>
          <w:szCs w:val="20"/>
        </w:rPr>
        <w:t>广东正和银行业保险业消费者权益保护中心</w:t>
      </w:r>
    </w:p>
    <w:p>
      <w:pPr>
        <w:spacing w:line="360" w:lineRule="auto"/>
        <w:rPr>
          <w:rFonts w:ascii="微软雅黑" w:hAnsi="微软雅黑" w:cs="微软雅黑"/>
          <w:color w:val="000000"/>
          <w:sz w:val="20"/>
          <w:szCs w:val="20"/>
        </w:rPr>
      </w:pPr>
      <w:r>
        <w:rPr>
          <w:rFonts w:hint="eastAsia" w:ascii="微软雅黑" w:hAnsi="微软雅黑" w:cs="微软雅黑"/>
          <w:color w:val="000000"/>
          <w:sz w:val="20"/>
          <w:szCs w:val="20"/>
        </w:rPr>
        <w:t>采购代理机构：广州宝诚招标代理咨询有限公司</w:t>
      </w:r>
    </w:p>
    <w:p>
      <w:pPr>
        <w:spacing w:line="360" w:lineRule="auto"/>
        <w:rPr>
          <w:rFonts w:ascii="微软雅黑" w:hAnsi="微软雅黑" w:cs="微软雅黑"/>
          <w:color w:val="000000"/>
          <w:sz w:val="20"/>
          <w:szCs w:val="20"/>
        </w:rPr>
      </w:pPr>
      <w:r>
        <w:rPr>
          <w:rFonts w:hint="eastAsia" w:ascii="微软雅黑" w:hAnsi="微软雅黑" w:cs="微软雅黑"/>
          <w:color w:val="000000"/>
          <w:sz w:val="20"/>
          <w:szCs w:val="20"/>
        </w:rPr>
        <w:t>地址：广州市番禺区南村镇敏捷上城国际一期2栋1806</w:t>
      </w:r>
    </w:p>
    <w:p>
      <w:pPr>
        <w:spacing w:line="360" w:lineRule="auto"/>
        <w:rPr>
          <w:rFonts w:ascii="微软雅黑" w:hAnsi="微软雅黑" w:cs="微软雅黑"/>
          <w:color w:val="000000"/>
          <w:sz w:val="20"/>
          <w:szCs w:val="20"/>
        </w:rPr>
      </w:pPr>
      <w:r>
        <w:rPr>
          <w:rFonts w:hint="eastAsia" w:ascii="微软雅黑" w:hAnsi="微软雅黑" w:cs="微软雅黑"/>
          <w:color w:val="000000"/>
          <w:sz w:val="20"/>
          <w:szCs w:val="20"/>
        </w:rPr>
        <w:t>联系人：高先生</w:t>
      </w:r>
    </w:p>
    <w:p>
      <w:pPr>
        <w:spacing w:line="360" w:lineRule="auto"/>
        <w:rPr>
          <w:rFonts w:ascii="微软雅黑" w:hAnsi="微软雅黑" w:cs="微软雅黑"/>
          <w:color w:val="000000"/>
          <w:sz w:val="20"/>
          <w:szCs w:val="20"/>
        </w:rPr>
      </w:pPr>
      <w:r>
        <w:rPr>
          <w:rFonts w:hint="eastAsia" w:ascii="微软雅黑" w:hAnsi="微软雅黑" w:cs="微软雅黑"/>
          <w:color w:val="000000"/>
          <w:sz w:val="20"/>
          <w:szCs w:val="20"/>
        </w:rPr>
        <w:t>联系方式：</w:t>
      </w:r>
      <w:r>
        <w:rPr>
          <w:rFonts w:hint="eastAsia" w:ascii="微软雅黑" w:hAnsi="微软雅黑" w:cs="微软雅黑"/>
          <w:sz w:val="20"/>
          <w:szCs w:val="20"/>
        </w:rPr>
        <w:t>020-37887429</w:t>
      </w:r>
    </w:p>
    <w:p>
      <w:pPr>
        <w:spacing w:line="360" w:lineRule="auto"/>
        <w:rPr>
          <w:rFonts w:ascii="微软雅黑" w:hAnsi="微软雅黑" w:cs="微软雅黑"/>
          <w:color w:val="000000"/>
          <w:sz w:val="20"/>
          <w:szCs w:val="20"/>
        </w:rPr>
      </w:pPr>
      <w:r>
        <w:rPr>
          <w:rFonts w:hint="eastAsia" w:ascii="微软雅黑" w:hAnsi="微软雅黑" w:cs="微软雅黑"/>
          <w:color w:val="000000"/>
          <w:sz w:val="20"/>
          <w:szCs w:val="20"/>
        </w:rPr>
        <w:t>电邮：GZBCZB@163.com</w:t>
      </w:r>
    </w:p>
    <w:p>
      <w:pPr>
        <w:spacing w:line="360" w:lineRule="auto"/>
        <w:rPr>
          <w:rFonts w:ascii="微软雅黑" w:hAnsi="微软雅黑" w:cs="微软雅黑"/>
          <w:b/>
          <w:bCs/>
          <w:sz w:val="20"/>
          <w:szCs w:val="20"/>
        </w:rPr>
      </w:pPr>
      <w:r>
        <w:rPr>
          <w:rFonts w:hint="eastAsia" w:ascii="微软雅黑" w:hAnsi="微软雅黑" w:cs="微软雅黑"/>
          <w:color w:val="000000"/>
          <w:sz w:val="20"/>
          <w:szCs w:val="20"/>
        </w:rPr>
        <w:t>网址：</w:t>
      </w:r>
      <w:r>
        <w:fldChar w:fldCharType="begin"/>
      </w:r>
      <w:r>
        <w:instrText xml:space="preserve"> HYPERLINK "http://www.chinapsp.cn" </w:instrText>
      </w:r>
      <w:r>
        <w:fldChar w:fldCharType="separate"/>
      </w:r>
      <w:r>
        <w:rPr>
          <w:rStyle w:val="54"/>
          <w:rFonts w:hint="eastAsia" w:ascii="微软雅黑" w:hAnsi="微软雅黑" w:cs="微软雅黑"/>
          <w:color w:val="000000"/>
          <w:sz w:val="20"/>
          <w:szCs w:val="20"/>
        </w:rPr>
        <w:t>baochengdaili.com</w:t>
      </w:r>
      <w:r>
        <w:rPr>
          <w:rStyle w:val="54"/>
          <w:rFonts w:hint="eastAsia" w:ascii="微软雅黑" w:hAnsi="微软雅黑" w:cs="微软雅黑"/>
          <w:color w:val="000000"/>
          <w:sz w:val="20"/>
          <w:szCs w:val="20"/>
        </w:rPr>
        <w:fldChar w:fldCharType="end"/>
      </w:r>
    </w:p>
    <w:p>
      <w:pPr>
        <w:spacing w:line="360" w:lineRule="auto"/>
        <w:ind w:firstLine="315" w:firstLineChars="98"/>
        <w:jc w:val="center"/>
        <w:rPr>
          <w:rFonts w:ascii="黑体" w:hAnsi="华文中宋" w:eastAsia="黑体" w:cs="华文中宋"/>
          <w:b/>
          <w:bCs/>
          <w:sz w:val="32"/>
          <w:szCs w:val="32"/>
        </w:rPr>
      </w:pPr>
    </w:p>
    <w:p/>
    <w:p>
      <w:pPr>
        <w:spacing w:line="360" w:lineRule="auto"/>
        <w:jc w:val="both"/>
        <w:rPr>
          <w:rFonts w:ascii="黑体" w:hAnsi="华文中宋" w:eastAsia="黑体" w:cs="华文中宋"/>
          <w:b/>
          <w:bCs/>
          <w:sz w:val="32"/>
          <w:szCs w:val="32"/>
        </w:rPr>
      </w:pPr>
    </w:p>
    <w:p>
      <w:pPr>
        <w:spacing w:line="360" w:lineRule="auto"/>
        <w:ind w:firstLine="315" w:firstLineChars="98"/>
        <w:jc w:val="center"/>
        <w:outlineLvl w:val="0"/>
        <w:rPr>
          <w:rFonts w:ascii="黑体" w:hAnsi="华文中宋" w:eastAsia="黑体" w:cs="华文中宋"/>
          <w:b/>
          <w:bCs/>
          <w:sz w:val="32"/>
          <w:szCs w:val="32"/>
        </w:rPr>
      </w:pPr>
      <w:r>
        <w:rPr>
          <w:rFonts w:hint="eastAsia" w:ascii="黑体" w:hAnsi="华文中宋" w:eastAsia="黑体" w:cs="华文中宋"/>
          <w:b/>
          <w:bCs/>
          <w:sz w:val="32"/>
          <w:szCs w:val="32"/>
        </w:rPr>
        <w:br w:type="page"/>
      </w:r>
      <w:bookmarkStart w:id="2" w:name="_Toc165"/>
      <w:r>
        <w:rPr>
          <w:rFonts w:hint="eastAsia" w:ascii="黑体" w:hAnsi="华文中宋" w:eastAsia="黑体" w:cs="华文中宋"/>
          <w:b/>
          <w:bCs/>
          <w:sz w:val="32"/>
          <w:szCs w:val="32"/>
        </w:rPr>
        <w:t>第二章  投标资料表</w:t>
      </w:r>
      <w:bookmarkEnd w:id="2"/>
    </w:p>
    <w:p>
      <w:pPr>
        <w:rPr>
          <w:rFonts w:ascii="黑体" w:hAnsi="华文中宋" w:eastAsia="黑体" w:cs="华文中宋"/>
          <w:b/>
          <w:bCs/>
          <w:sz w:val="32"/>
          <w:szCs w:val="32"/>
        </w:rPr>
      </w:pPr>
      <w:r>
        <w:rPr>
          <w:rFonts w:hint="eastAsia"/>
          <w:sz w:val="21"/>
          <w:szCs w:val="21"/>
        </w:rPr>
        <w:t>该资料表的条款项号是《投标人须知》及《合同通用条款》条款项号对应的，或增加的条款，是对《投标人须知》及《合同通用条款》的补充、修改和完善，如果有矛盾的话，应以本资料表为准。</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9"/>
        <w:gridCol w:w="87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12"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条款项号</w:t>
            </w:r>
          </w:p>
        </w:tc>
        <w:tc>
          <w:tcPr>
            <w:tcW w:w="8793" w:type="dxa"/>
            <w:tcBorders>
              <w:top w:val="single" w:color="auto" w:sz="12" w:space="0"/>
              <w:left w:val="single" w:color="auto" w:sz="6" w:space="0"/>
              <w:bottom w:val="single" w:color="auto" w:sz="6" w:space="0"/>
              <w:right w:val="single" w:color="auto" w:sz="12" w:space="0"/>
            </w:tcBorders>
            <w:vAlign w:val="center"/>
          </w:tcPr>
          <w:p>
            <w:pPr>
              <w:jc w:val="center"/>
              <w:rPr>
                <w:rFonts w:ascii="微软雅黑" w:hAnsi="微软雅黑" w:cs="微软雅黑"/>
                <w:b/>
                <w:sz w:val="20"/>
                <w:szCs w:val="20"/>
                <w:highlight w:val="magenta"/>
              </w:rPr>
            </w:pPr>
            <w:r>
              <w:rPr>
                <w:rFonts w:hint="eastAsia" w:ascii="微软雅黑" w:hAnsi="微软雅黑" w:cs="微软雅黑"/>
                <w:b/>
                <w:sz w:val="20"/>
                <w:szCs w:val="20"/>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rPr>
                <w:rFonts w:ascii="微软雅黑" w:hAnsi="微软雅黑" w:cs="微软雅黑"/>
                <w:b/>
                <w:sz w:val="20"/>
                <w:szCs w:val="20"/>
              </w:rPr>
            </w:pPr>
            <w:r>
              <w:rPr>
                <w:rFonts w:hint="eastAsia" w:ascii="微软雅黑" w:hAnsi="微软雅黑" w:cs="微软雅黑"/>
                <w:sz w:val="20"/>
                <w:szCs w:val="20"/>
              </w:rPr>
              <w:t>对《投标人须知》的修改及补充：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jc w:val="center"/>
              <w:rPr>
                <w:rFonts w:ascii="微软雅黑" w:hAnsi="微软雅黑" w:cs="微软雅黑"/>
                <w:b/>
                <w:sz w:val="20"/>
                <w:szCs w:val="20"/>
              </w:rPr>
            </w:pPr>
            <w:r>
              <w:rPr>
                <w:rFonts w:hint="eastAsia" w:ascii="微软雅黑" w:hAnsi="微软雅黑" w:cs="微软雅黑"/>
                <w:b/>
                <w:sz w:val="20"/>
                <w:szCs w:val="20"/>
              </w:rPr>
              <w:t>一、说明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1.1</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主管部门：中国银行保险监督管理委员会广东监管局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1.2</w:t>
            </w:r>
          </w:p>
        </w:tc>
        <w:tc>
          <w:tcPr>
            <w:tcW w:w="8793" w:type="dxa"/>
            <w:tcBorders>
              <w:top w:val="single" w:color="auto" w:sz="6" w:space="0"/>
              <w:left w:val="single" w:color="auto" w:sz="6" w:space="0"/>
              <w:bottom w:val="single" w:color="auto" w:sz="6" w:space="0"/>
              <w:right w:val="single" w:color="auto" w:sz="12" w:space="0"/>
            </w:tcBorders>
            <w:vAlign w:val="center"/>
          </w:tcPr>
          <w:p>
            <w:pPr>
              <w:pStyle w:val="3"/>
              <w:rPr>
                <w:rFonts w:ascii="微软雅黑" w:hAnsi="微软雅黑" w:eastAsia="微软雅黑" w:cs="微软雅黑"/>
                <w:b w:val="0"/>
                <w:bCs w:val="0"/>
                <w:sz w:val="20"/>
                <w:szCs w:val="20"/>
              </w:rPr>
            </w:pPr>
            <w:bookmarkStart w:id="3" w:name="_Toc5726"/>
            <w:r>
              <w:rPr>
                <w:rFonts w:hint="eastAsia" w:ascii="微软雅黑" w:hAnsi="微软雅黑" w:eastAsia="微软雅黑" w:cs="微软雅黑"/>
                <w:b w:val="0"/>
                <w:bCs w:val="0"/>
                <w:sz w:val="20"/>
                <w:szCs w:val="20"/>
              </w:rPr>
              <w:t>一、采购人名称：</w:t>
            </w:r>
            <w:bookmarkEnd w:id="3"/>
            <w:r>
              <w:rPr>
                <w:rFonts w:hint="eastAsia" w:ascii="微软雅黑" w:hAnsi="微软雅黑" w:eastAsia="微软雅黑" w:cs="微软雅黑"/>
                <w:b w:val="0"/>
                <w:bCs w:val="0"/>
                <w:sz w:val="20"/>
                <w:szCs w:val="20"/>
              </w:rPr>
              <w:t>广东正和银行业保险业消费者权益保护中心</w:t>
            </w:r>
          </w:p>
          <w:p>
            <w:pPr>
              <w:pStyle w:val="3"/>
              <w:rPr>
                <w:rFonts w:ascii="微软雅黑" w:hAnsi="微软雅黑" w:eastAsia="微软雅黑" w:cs="微软雅黑"/>
                <w:b w:val="0"/>
                <w:bCs w:val="0"/>
                <w:color w:val="FF0000"/>
                <w:sz w:val="20"/>
                <w:szCs w:val="20"/>
              </w:rPr>
            </w:pPr>
            <w:bookmarkStart w:id="4" w:name="_Toc15751"/>
            <w:r>
              <w:rPr>
                <w:rFonts w:hint="eastAsia" w:ascii="微软雅黑" w:hAnsi="微软雅黑" w:eastAsia="微软雅黑" w:cs="微软雅黑"/>
                <w:b w:val="0"/>
                <w:bCs w:val="0"/>
                <w:color w:val="FF0000"/>
                <w:sz w:val="20"/>
                <w:szCs w:val="20"/>
              </w:rPr>
              <w:t>资金来源：</w:t>
            </w:r>
            <w:bookmarkEnd w:id="4"/>
            <w:r>
              <w:rPr>
                <w:rFonts w:hint="eastAsia" w:ascii="微软雅黑" w:hAnsi="微软雅黑" w:eastAsia="微软雅黑" w:cs="微软雅黑"/>
                <w:b w:val="0"/>
                <w:bCs w:val="0"/>
                <w:color w:val="FF0000"/>
                <w:sz w:val="20"/>
                <w:szCs w:val="20"/>
              </w:rPr>
              <w:t>非财政资金</w:t>
            </w:r>
          </w:p>
          <w:p>
            <w:pPr>
              <w:adjustRightInd/>
              <w:spacing w:after="0"/>
              <w:rPr>
                <w:rFonts w:ascii="微软雅黑" w:hAnsi="微软雅黑" w:cs="微软雅黑"/>
                <w:sz w:val="20"/>
                <w:szCs w:val="20"/>
              </w:rPr>
            </w:pPr>
            <w:r>
              <w:rPr>
                <w:rFonts w:hint="eastAsia" w:ascii="微软雅黑" w:hAnsi="微软雅黑" w:cs="微软雅黑"/>
                <w:sz w:val="20"/>
                <w:szCs w:val="20"/>
              </w:rPr>
              <w:t>最高限价：</w:t>
            </w:r>
            <w:r>
              <w:rPr>
                <w:rFonts w:hint="eastAsia" w:ascii="微软雅黑" w:hAnsi="微软雅黑" w:cs="微软雅黑"/>
                <w:bCs/>
                <w:sz w:val="21"/>
                <w:szCs w:val="21"/>
                <w:u w:val="single"/>
              </w:rPr>
              <w:t>2,100,000.00元</w:t>
            </w:r>
          </w:p>
          <w:p>
            <w:pPr>
              <w:adjustRightInd/>
              <w:spacing w:after="0"/>
              <w:rPr>
                <w:rFonts w:ascii="微软雅黑" w:hAnsi="微软雅黑" w:cs="微软雅黑"/>
                <w:sz w:val="20"/>
                <w:szCs w:val="20"/>
              </w:rPr>
            </w:pPr>
          </w:p>
          <w:p>
            <w:pPr>
              <w:adjustRightInd/>
              <w:spacing w:after="0"/>
              <w:rPr>
                <w:rFonts w:ascii="微软雅黑" w:hAnsi="微软雅黑" w:cs="微软雅黑"/>
                <w:sz w:val="20"/>
                <w:szCs w:val="20"/>
              </w:rPr>
            </w:pPr>
            <w:r>
              <w:rPr>
                <w:rFonts w:hint="eastAsia" w:ascii="微软雅黑" w:hAnsi="微软雅黑" w:cs="微软雅黑"/>
                <w:sz w:val="20"/>
                <w:szCs w:val="20"/>
              </w:rPr>
              <w:t>二、单价限价详见报价明细表。</w:t>
            </w:r>
          </w:p>
          <w:p>
            <w:pPr>
              <w:adjustRightInd/>
              <w:spacing w:after="0"/>
              <w:rPr>
                <w:rFonts w:ascii="微软雅黑" w:hAnsi="微软雅黑" w:cs="微软雅黑"/>
                <w:b/>
                <w:bCs/>
                <w:sz w:val="20"/>
                <w:szCs w:val="20"/>
              </w:rPr>
            </w:pPr>
            <w:r>
              <w:rPr>
                <w:rFonts w:hint="eastAsia" w:ascii="微软雅黑" w:hAnsi="微软雅黑" w:cs="微软雅黑"/>
                <w:sz w:val="20"/>
                <w:szCs w:val="20"/>
              </w:rPr>
              <w:t>采购总价报价或采购单价报价中任一项超出相应限价时，采购文件无效。</w:t>
            </w:r>
          </w:p>
          <w:p>
            <w:pPr>
              <w:pStyle w:val="3"/>
              <w:rPr>
                <w:rFonts w:ascii="微软雅黑" w:hAnsi="微软雅黑" w:eastAsia="微软雅黑" w:cs="微软雅黑"/>
                <w:sz w:val="20"/>
                <w:szCs w:val="20"/>
              </w:rPr>
            </w:pPr>
            <w:r>
              <w:rPr>
                <w:rFonts w:hint="eastAsia" w:ascii="微软雅黑" w:hAnsi="微软雅黑" w:eastAsia="微软雅黑" w:cs="微软雅黑"/>
                <w:color w:val="FF0000"/>
                <w:sz w:val="20"/>
                <w:szCs w:val="20"/>
              </w:rPr>
              <w:t>备注：评标委员会认为投标人的报价明显低于其他通过符合性审查投标人的报价，有可能影响本项目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1.3</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80" w:lineRule="exact"/>
              <w:rPr>
                <w:rFonts w:ascii="微软雅黑" w:hAnsi="微软雅黑" w:cs="微软雅黑"/>
                <w:sz w:val="20"/>
                <w:szCs w:val="20"/>
              </w:rPr>
            </w:pPr>
            <w:r>
              <w:rPr>
                <w:rFonts w:hint="eastAsia" w:ascii="微软雅黑" w:hAnsi="微软雅黑" w:cs="微软雅黑"/>
                <w:sz w:val="20"/>
                <w:szCs w:val="20"/>
              </w:rPr>
              <w:t>采购代理机构：广州宝诚招标代理咨询有限公司</w:t>
            </w:r>
          </w:p>
          <w:p>
            <w:pPr>
              <w:spacing w:line="380" w:lineRule="exact"/>
              <w:rPr>
                <w:rFonts w:ascii="微软雅黑" w:hAnsi="微软雅黑" w:cs="微软雅黑"/>
                <w:sz w:val="20"/>
                <w:szCs w:val="20"/>
              </w:rPr>
            </w:pPr>
            <w:r>
              <w:rPr>
                <w:rFonts w:hint="eastAsia" w:ascii="微软雅黑" w:hAnsi="微软雅黑" w:cs="微软雅黑"/>
                <w:sz w:val="20"/>
                <w:szCs w:val="20"/>
              </w:rPr>
              <w:t>地址：</w:t>
            </w:r>
            <w:r>
              <w:rPr>
                <w:rFonts w:hint="eastAsia" w:ascii="微软雅黑" w:hAnsi="微软雅黑" w:cs="微软雅黑"/>
                <w:color w:val="000000"/>
                <w:sz w:val="20"/>
                <w:szCs w:val="20"/>
              </w:rPr>
              <w:t>广州市番禺区南村镇敏捷上城国际一期2栋1806</w:t>
            </w:r>
          </w:p>
          <w:p>
            <w:pPr>
              <w:spacing w:line="380" w:lineRule="exact"/>
              <w:rPr>
                <w:rFonts w:ascii="微软雅黑" w:hAnsi="微软雅黑" w:cs="微软雅黑"/>
                <w:sz w:val="20"/>
                <w:szCs w:val="20"/>
              </w:rPr>
            </w:pPr>
            <w:r>
              <w:rPr>
                <w:rFonts w:hint="eastAsia" w:ascii="微软雅黑" w:hAnsi="微软雅黑" w:cs="微软雅黑"/>
                <w:sz w:val="20"/>
                <w:szCs w:val="20"/>
              </w:rPr>
              <w:t>电话： 020-37887429。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jc w:val="center"/>
              <w:rPr>
                <w:rFonts w:ascii="微软雅黑" w:hAnsi="微软雅黑" w:cs="微软雅黑"/>
                <w:sz w:val="20"/>
                <w:szCs w:val="20"/>
              </w:rPr>
            </w:pPr>
            <w:r>
              <w:rPr>
                <w:rFonts w:hint="eastAsia" w:ascii="微软雅黑" w:hAnsi="微软雅黑" w:cs="微软雅黑"/>
                <w:b/>
                <w:sz w:val="20"/>
                <w:szCs w:val="20"/>
              </w:rPr>
              <w:t>二、招标文件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2.1</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80" w:lineRule="exact"/>
              <w:rPr>
                <w:rFonts w:ascii="微软雅黑" w:hAnsi="微软雅黑" w:cs="微软雅黑"/>
                <w:color w:val="000000"/>
                <w:sz w:val="20"/>
                <w:szCs w:val="20"/>
              </w:rPr>
            </w:pPr>
            <w:r>
              <w:rPr>
                <w:rFonts w:hint="eastAsia" w:ascii="微软雅黑" w:hAnsi="微软雅黑" w:cs="微软雅黑"/>
                <w:color w:val="000000"/>
                <w:sz w:val="20"/>
                <w:szCs w:val="20"/>
              </w:rPr>
              <w:t>集中答疑会或现场考察：不举行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2.2</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投标截止日期和时间：按招标文件规定。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jc w:val="center"/>
              <w:rPr>
                <w:rFonts w:ascii="微软雅黑" w:hAnsi="微软雅黑" w:cs="微软雅黑"/>
                <w:b/>
                <w:color w:val="000000"/>
                <w:sz w:val="20"/>
                <w:szCs w:val="20"/>
              </w:rPr>
            </w:pPr>
            <w:r>
              <w:rPr>
                <w:rFonts w:hint="eastAsia" w:ascii="微软雅黑" w:hAnsi="微软雅黑" w:cs="微软雅黑"/>
                <w:b/>
                <w:color w:val="000000"/>
                <w:sz w:val="20"/>
                <w:szCs w:val="20"/>
              </w:rPr>
              <w:t>三、投标文件的编制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3.1</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投标人所报的投标价在合同执行过程中是固定不变的，不得以任何理由予以变更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3.2</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不允许有备选方案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3.3</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不允许附加条件报价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3.4</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80" w:lineRule="exact"/>
              <w:ind w:left="300" w:hanging="300" w:hangingChars="150"/>
              <w:rPr>
                <w:rFonts w:ascii="微软雅黑" w:hAnsi="微软雅黑" w:cs="微软雅黑"/>
                <w:sz w:val="20"/>
                <w:szCs w:val="20"/>
              </w:rPr>
            </w:pPr>
            <w:r>
              <w:rPr>
                <w:rFonts w:hint="eastAsia" w:ascii="微软雅黑" w:hAnsi="微软雅黑" w:cs="微软雅黑"/>
                <w:color w:val="000000"/>
                <w:sz w:val="20"/>
                <w:szCs w:val="20"/>
              </w:rPr>
              <w:t>本项目无需递交投标保证金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3.5</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投标有效期：90天。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3.6</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投标文件份数：正本一份，副本四份，电子文件一份。（电子文件为 U 盘介质，内含 WORD 文档一份，PDF 格式一份，PDF 内容必须是纸质响应文件正本扫描件（含盖章、签署）， 不留密码，无病毒，不压缩。）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jc w:val="center"/>
              <w:rPr>
                <w:rFonts w:ascii="微软雅黑" w:hAnsi="微软雅黑" w:cs="微软雅黑"/>
                <w:b/>
                <w:color w:val="000000"/>
                <w:sz w:val="20"/>
                <w:szCs w:val="20"/>
              </w:rPr>
            </w:pPr>
            <w:r>
              <w:rPr>
                <w:rFonts w:hint="eastAsia" w:ascii="微软雅黑" w:hAnsi="微软雅黑" w:cs="微软雅黑"/>
                <w:b/>
                <w:color w:val="000000"/>
                <w:sz w:val="20"/>
                <w:szCs w:val="20"/>
              </w:rPr>
              <w:t>四、投标文件的递交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4.1</w:t>
            </w:r>
          </w:p>
        </w:tc>
        <w:tc>
          <w:tcPr>
            <w:tcW w:w="8793" w:type="dxa"/>
            <w:tcBorders>
              <w:top w:val="single" w:color="auto" w:sz="6" w:space="0"/>
              <w:left w:val="single" w:color="auto" w:sz="6" w:space="0"/>
              <w:bottom w:val="single" w:color="auto" w:sz="6" w:space="0"/>
              <w:right w:val="single" w:color="auto" w:sz="12" w:space="0"/>
            </w:tcBorders>
            <w:vAlign w:val="center"/>
          </w:tcPr>
          <w:p>
            <w:pPr>
              <w:ind w:left="100" w:hanging="100" w:hangingChars="50"/>
              <w:rPr>
                <w:rFonts w:ascii="微软雅黑" w:hAnsi="微软雅黑" w:cs="微软雅黑"/>
                <w:color w:val="000000"/>
                <w:sz w:val="20"/>
                <w:szCs w:val="20"/>
              </w:rPr>
            </w:pPr>
            <w:r>
              <w:rPr>
                <w:rFonts w:hint="eastAsia" w:ascii="微软雅黑" w:hAnsi="微软雅黑" w:cs="微软雅黑"/>
                <w:color w:val="000000"/>
                <w:sz w:val="20"/>
                <w:szCs w:val="20"/>
              </w:rPr>
              <w:t>投标文件递交地址：按招标文件投标邀请中规定。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4.2</w:t>
            </w:r>
          </w:p>
        </w:tc>
        <w:tc>
          <w:tcPr>
            <w:tcW w:w="8793" w:type="dxa"/>
            <w:tcBorders>
              <w:top w:val="single" w:color="auto" w:sz="6" w:space="0"/>
              <w:left w:val="single" w:color="auto" w:sz="6" w:space="0"/>
              <w:bottom w:val="single" w:color="auto" w:sz="6" w:space="0"/>
              <w:right w:val="single" w:color="auto" w:sz="12"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开标日期、时间和地点：按招标文件投标邀请中规定。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jc w:val="center"/>
              <w:rPr>
                <w:rFonts w:ascii="微软雅黑" w:hAnsi="微软雅黑" w:cs="微软雅黑"/>
                <w:color w:val="000000"/>
                <w:sz w:val="20"/>
                <w:szCs w:val="20"/>
              </w:rPr>
            </w:pPr>
            <w:r>
              <w:rPr>
                <w:rFonts w:hint="eastAsia" w:ascii="微软雅黑" w:hAnsi="微软雅黑" w:cs="微软雅黑"/>
                <w:b/>
                <w:color w:val="000000"/>
                <w:sz w:val="20"/>
                <w:szCs w:val="20"/>
              </w:rPr>
              <w:t>五、开标与评标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5.1</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80" w:lineRule="exact"/>
              <w:rPr>
                <w:rFonts w:ascii="微软雅黑" w:hAnsi="微软雅黑" w:cs="微软雅黑"/>
                <w:sz w:val="20"/>
                <w:szCs w:val="20"/>
              </w:rPr>
            </w:pPr>
            <w:r>
              <w:rPr>
                <w:rFonts w:hint="eastAsia" w:ascii="微软雅黑" w:hAnsi="微软雅黑" w:cs="微软雅黑"/>
                <w:sz w:val="20"/>
                <w:szCs w:val="20"/>
                <w:lang w:val="zh-CN"/>
              </w:rPr>
              <w:t>评委委员会由</w:t>
            </w:r>
            <w:r>
              <w:rPr>
                <w:rFonts w:hint="eastAsia" w:ascii="微软雅黑" w:hAnsi="微软雅黑" w:cs="微软雅黑"/>
                <w:sz w:val="20"/>
                <w:szCs w:val="20"/>
              </w:rPr>
              <w:t>5</w:t>
            </w:r>
            <w:r>
              <w:rPr>
                <w:rFonts w:hint="eastAsia" w:ascii="微软雅黑" w:hAnsi="微软雅黑" w:cs="微软雅黑"/>
                <w:sz w:val="20"/>
                <w:szCs w:val="20"/>
                <w:lang w:val="zh-CN"/>
              </w:rPr>
              <w:t>名单数组成 ，若有业主代表参与评标则由专家库抽取的专家与采购人代表组成</w:t>
            </w:r>
            <w:r>
              <w:rPr>
                <w:rFonts w:hint="eastAsia" w:ascii="微软雅黑" w:hAnsi="微软雅黑" w:cs="微软雅黑"/>
                <w:sz w:val="20"/>
                <w:szCs w:val="20"/>
              </w:rPr>
              <w:t>；</w:t>
            </w:r>
            <w:r>
              <w:rPr>
                <w:rFonts w:hint="eastAsia" w:ascii="微软雅黑" w:hAnsi="微软雅黑" w:cs="微软雅黑"/>
                <w:sz w:val="20"/>
                <w:szCs w:val="20"/>
                <w:lang w:val="zh-CN"/>
              </w:rPr>
              <w:t>若无采购人代表参与评标，则由从专家库随机抽取的专家组成评标委员会。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5.2</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80" w:lineRule="exact"/>
              <w:rPr>
                <w:rFonts w:ascii="微软雅黑" w:hAnsi="微软雅黑" w:cs="微软雅黑"/>
                <w:bCs/>
                <w:color w:val="000000"/>
                <w:sz w:val="20"/>
                <w:szCs w:val="20"/>
              </w:rPr>
            </w:pPr>
            <w:r>
              <w:rPr>
                <w:rFonts w:hint="eastAsia" w:ascii="微软雅黑" w:hAnsi="微软雅黑" w:cs="微软雅黑"/>
                <w:bCs/>
                <w:color w:val="000000"/>
                <w:sz w:val="20"/>
                <w:szCs w:val="20"/>
              </w:rPr>
              <w:t xml:space="preserve">评标方法：采用综合评分法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5.3</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80" w:lineRule="exact"/>
              <w:rPr>
                <w:rFonts w:ascii="微软雅黑" w:hAnsi="微软雅黑" w:cs="微软雅黑"/>
                <w:sz w:val="20"/>
                <w:szCs w:val="20"/>
              </w:rPr>
            </w:pPr>
            <w:r>
              <w:rPr>
                <w:rFonts w:hint="eastAsia" w:ascii="微软雅黑" w:hAnsi="微软雅黑" w:cs="微软雅黑"/>
                <w:sz w:val="20"/>
                <w:szCs w:val="20"/>
              </w:rPr>
              <w:t>评标原则：</w:t>
            </w:r>
          </w:p>
          <w:p>
            <w:pPr>
              <w:spacing w:line="380" w:lineRule="exact"/>
              <w:rPr>
                <w:rFonts w:ascii="微软雅黑" w:hAnsi="微软雅黑" w:cs="微软雅黑"/>
                <w:bCs/>
                <w:color w:val="000000"/>
                <w:sz w:val="20"/>
                <w:szCs w:val="20"/>
              </w:rPr>
            </w:pPr>
            <w:r>
              <w:rPr>
                <w:rFonts w:hint="eastAsia" w:ascii="微软雅黑" w:hAnsi="微软雅黑" w:cs="微软雅黑"/>
                <w:sz w:val="20"/>
                <w:szCs w:val="20"/>
              </w:rPr>
              <w:t>本项目确定1家供应方。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jc w:val="center"/>
              <w:rPr>
                <w:rFonts w:ascii="微软雅黑" w:hAnsi="微软雅黑" w:cs="微软雅黑"/>
                <w:sz w:val="20"/>
                <w:szCs w:val="20"/>
              </w:rPr>
            </w:pPr>
            <w:r>
              <w:rPr>
                <w:rFonts w:hint="eastAsia" w:ascii="微软雅黑" w:hAnsi="微软雅黑" w:cs="微软雅黑"/>
                <w:b/>
                <w:sz w:val="20"/>
                <w:szCs w:val="20"/>
              </w:rPr>
              <w:t>六、授予合同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6.1</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00" w:lineRule="auto"/>
              <w:rPr>
                <w:rFonts w:ascii="微软雅黑" w:hAnsi="微软雅黑" w:cs="微软雅黑"/>
                <w:color w:val="000000"/>
                <w:sz w:val="20"/>
                <w:szCs w:val="20"/>
              </w:rPr>
            </w:pPr>
            <w:r>
              <w:rPr>
                <w:rFonts w:hint="eastAsia" w:ascii="微软雅黑" w:hAnsi="微软雅黑" w:cs="微软雅黑"/>
                <w:color w:val="000000"/>
                <w:sz w:val="20"/>
                <w:szCs w:val="20"/>
              </w:rPr>
              <w:t>合同签订时间：自《中标通知书》发出之日起三十个日历天内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6.2</w:t>
            </w:r>
          </w:p>
        </w:tc>
        <w:tc>
          <w:tcPr>
            <w:tcW w:w="8793" w:type="dxa"/>
            <w:tcBorders>
              <w:top w:val="single" w:color="auto" w:sz="6" w:space="0"/>
              <w:left w:val="single" w:color="auto" w:sz="6" w:space="0"/>
              <w:bottom w:val="single" w:color="auto" w:sz="6" w:space="0"/>
              <w:right w:val="single" w:color="auto" w:sz="12" w:space="0"/>
            </w:tcBorders>
            <w:vAlign w:val="center"/>
          </w:tcPr>
          <w:p>
            <w:pPr>
              <w:spacing w:line="360" w:lineRule="auto"/>
              <w:rPr>
                <w:rFonts w:ascii="微软雅黑" w:hAnsi="微软雅黑" w:cs="微软雅黑"/>
                <w:sz w:val="20"/>
                <w:szCs w:val="20"/>
              </w:rPr>
            </w:pPr>
            <w:r>
              <w:rPr>
                <w:rFonts w:hint="eastAsia" w:ascii="微软雅黑" w:hAnsi="微软雅黑" w:cs="微软雅黑"/>
                <w:sz w:val="20"/>
                <w:szCs w:val="20"/>
              </w:rPr>
              <w:t>履约担保：详见用户需求书、合同条款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69" w:type="dxa"/>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sz w:val="20"/>
                <w:szCs w:val="20"/>
              </w:rPr>
            </w:pPr>
            <w:r>
              <w:rPr>
                <w:rFonts w:hint="eastAsia" w:ascii="微软雅黑" w:hAnsi="微软雅黑" w:cs="微软雅黑"/>
                <w:sz w:val="20"/>
                <w:szCs w:val="20"/>
              </w:rPr>
              <w:t>6.3</w:t>
            </w:r>
          </w:p>
        </w:tc>
        <w:tc>
          <w:tcPr>
            <w:tcW w:w="8793" w:type="dxa"/>
            <w:tcBorders>
              <w:top w:val="single" w:color="auto" w:sz="6" w:space="0"/>
              <w:left w:val="single" w:color="auto" w:sz="6" w:space="0"/>
              <w:bottom w:val="single" w:color="auto" w:sz="6" w:space="0"/>
              <w:right w:val="single" w:color="auto" w:sz="12" w:space="0"/>
            </w:tcBorders>
            <w:vAlign w:val="center"/>
          </w:tcPr>
          <w:p>
            <w:pPr>
              <w:widowControl w:val="0"/>
              <w:autoSpaceDN w:val="0"/>
              <w:spacing w:after="0" w:line="360" w:lineRule="auto"/>
              <w:jc w:val="both"/>
              <w:rPr>
                <w:rFonts w:ascii="微软雅黑" w:hAnsi="微软雅黑" w:cs="微软雅黑"/>
                <w:b/>
                <w:sz w:val="20"/>
                <w:szCs w:val="20"/>
              </w:rPr>
            </w:pPr>
            <w:r>
              <w:rPr>
                <w:rFonts w:hint="eastAsia" w:ascii="微软雅黑" w:hAnsi="微软雅黑" w:cs="微软雅黑"/>
                <w:sz w:val="20"/>
                <w:szCs w:val="20"/>
              </w:rPr>
              <w:t>1. 中标人须向</w:t>
            </w:r>
            <w:r>
              <w:rPr>
                <w:rFonts w:hint="eastAsia" w:ascii="微软雅黑" w:hAnsi="微软雅黑" w:cs="微软雅黑"/>
                <w:b/>
                <w:sz w:val="20"/>
                <w:szCs w:val="20"/>
              </w:rPr>
              <w:t>广州宝诚招标代理咨询有限公司</w:t>
            </w:r>
            <w:r>
              <w:rPr>
                <w:rFonts w:hint="eastAsia" w:ascii="微软雅黑" w:hAnsi="微软雅黑" w:cs="微软雅黑"/>
                <w:color w:val="000000"/>
                <w:sz w:val="20"/>
                <w:szCs w:val="20"/>
              </w:rPr>
              <w:t>按如下标准和规定缴纳招标代理服务费：</w:t>
            </w:r>
            <w:r>
              <w:rPr>
                <w:rFonts w:hint="eastAsia" w:ascii="微软雅黑" w:hAnsi="微软雅黑" w:cs="微软雅黑"/>
                <w:b/>
                <w:sz w:val="20"/>
                <w:szCs w:val="20"/>
              </w:rPr>
              <w:t xml:space="preserve"> </w:t>
            </w:r>
          </w:p>
          <w:p>
            <w:pPr>
              <w:spacing w:line="360" w:lineRule="auto"/>
              <w:ind w:firstLine="400" w:firstLineChars="200"/>
              <w:jc w:val="both"/>
              <w:outlineLvl w:val="0"/>
              <w:rPr>
                <w:rFonts w:ascii="微软雅黑" w:hAnsi="微软雅黑" w:cs="微软雅黑"/>
                <w:b/>
                <w:bCs/>
                <w:sz w:val="20"/>
                <w:szCs w:val="20"/>
              </w:rPr>
            </w:pPr>
            <w:bookmarkStart w:id="5" w:name="_Toc27284"/>
            <w:r>
              <w:rPr>
                <w:rFonts w:hint="eastAsia" w:ascii="微软雅黑" w:hAnsi="微软雅黑" w:cs="微软雅黑"/>
                <w:sz w:val="20"/>
                <w:szCs w:val="20"/>
              </w:rPr>
              <w:t>(1)本次招标代理服务费为：按第六章第36条</w:t>
            </w:r>
            <w:r>
              <w:rPr>
                <w:rFonts w:hint="eastAsia" w:ascii="微软雅黑" w:hAnsi="微软雅黑" w:cs="微软雅黑"/>
                <w:b/>
                <w:bCs/>
                <w:sz w:val="20"/>
                <w:szCs w:val="20"/>
              </w:rPr>
              <w:t>招标代理服务费</w:t>
            </w:r>
            <w:r>
              <w:rPr>
                <w:rFonts w:hint="eastAsia" w:ascii="微软雅黑" w:hAnsi="微软雅黑" w:cs="微软雅黑"/>
                <w:bCs/>
                <w:sz w:val="20"/>
                <w:szCs w:val="20"/>
              </w:rPr>
              <w:t>规定计算。</w:t>
            </w:r>
            <w:bookmarkEnd w:id="5"/>
          </w:p>
          <w:p>
            <w:pPr>
              <w:widowControl w:val="0"/>
              <w:autoSpaceDN w:val="0"/>
              <w:spacing w:after="0" w:line="380" w:lineRule="exact"/>
              <w:jc w:val="both"/>
              <w:rPr>
                <w:rFonts w:ascii="微软雅黑" w:hAnsi="微软雅黑" w:cs="微软雅黑"/>
                <w:sz w:val="20"/>
                <w:szCs w:val="20"/>
              </w:rPr>
            </w:pPr>
            <w:r>
              <w:rPr>
                <w:rFonts w:hint="eastAsia" w:ascii="微软雅黑" w:hAnsi="微软雅黑" w:cs="微软雅黑"/>
                <w:color w:val="000000"/>
                <w:sz w:val="20"/>
                <w:szCs w:val="20"/>
              </w:rPr>
              <w:t>2.投标人应签署所附格式的招标代理服</w:t>
            </w:r>
            <w:r>
              <w:rPr>
                <w:rFonts w:hint="eastAsia" w:ascii="微软雅黑" w:hAnsi="微软雅黑" w:cs="微软雅黑"/>
                <w:sz w:val="20"/>
                <w:szCs w:val="20"/>
              </w:rPr>
              <w:t>务费承诺书，作为投标文件的一部分。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spacing w:line="380" w:lineRule="exact"/>
              <w:rPr>
                <w:rFonts w:ascii="微软雅黑" w:hAnsi="微软雅黑" w:cs="微软雅黑"/>
                <w:color w:val="FF0000"/>
                <w:sz w:val="20"/>
                <w:szCs w:val="20"/>
              </w:rPr>
            </w:pPr>
            <w:r>
              <w:rPr>
                <w:rFonts w:hint="eastAsia" w:ascii="微软雅黑" w:hAnsi="微软雅黑" w:cs="微软雅黑"/>
                <w:sz w:val="20"/>
                <w:szCs w:val="20"/>
              </w:rPr>
              <w:t>《合同通用条款》仅供参考，合同具体细则以采购人及中标人双方协定为准。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962" w:type="dxa"/>
            <w:gridSpan w:val="2"/>
            <w:tcBorders>
              <w:top w:val="single" w:color="auto" w:sz="6" w:space="0"/>
              <w:left w:val="single" w:color="auto" w:sz="12" w:space="0"/>
              <w:bottom w:val="single" w:color="auto" w:sz="6" w:space="0"/>
              <w:right w:val="single" w:color="auto" w:sz="12" w:space="0"/>
            </w:tcBorders>
            <w:vAlign w:val="center"/>
          </w:tcPr>
          <w:p>
            <w:pPr>
              <w:spacing w:line="380" w:lineRule="exact"/>
              <w:rPr>
                <w:rFonts w:ascii="微软雅黑" w:hAnsi="微软雅黑" w:cs="微软雅黑"/>
                <w:color w:val="FF0000"/>
                <w:sz w:val="20"/>
                <w:szCs w:val="20"/>
              </w:rPr>
            </w:pPr>
            <w:r>
              <w:rPr>
                <w:rFonts w:hint="eastAsia" w:ascii="微软雅黑" w:hAnsi="微软雅黑" w:cs="微软雅黑"/>
                <w:sz w:val="20"/>
                <w:szCs w:val="20"/>
              </w:rPr>
              <w:t>补充条款：评审结果确定后，采购人根据需要通知评标委员会推荐的</w:t>
            </w:r>
            <w:r>
              <w:rPr>
                <w:rFonts w:hint="eastAsia" w:ascii="微软雅黑" w:hAnsi="微软雅黑" w:cs="微软雅黑"/>
                <w:color w:val="FF0000"/>
                <w:sz w:val="20"/>
                <w:szCs w:val="20"/>
              </w:rPr>
              <w:t>供应方</w:t>
            </w:r>
            <w:r>
              <w:rPr>
                <w:rFonts w:hint="eastAsia" w:ascii="微软雅黑" w:hAnsi="微软雅黑" w:cs="微软雅黑"/>
                <w:sz w:val="20"/>
                <w:szCs w:val="20"/>
              </w:rPr>
              <w:t>在2个工作日内，按投标文件中所列清单中的相关证件、证明文件、合同等文件的原件送采购人核对与投标人投标文件中的复印件是否一致。采购人在接到原件之日起3个工作日内，核对没有不一致的，须确认中标人；核对发现有不一致或第一中标候选人无正当理由不按时提供原件的，书面向采购代理机构提出，并报同级或上级主管部门核实后按投标无效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 w:hRule="atLeast"/>
          <w:jc w:val="center"/>
        </w:trPr>
        <w:tc>
          <w:tcPr>
            <w:tcW w:w="9962" w:type="dxa"/>
            <w:gridSpan w:val="2"/>
            <w:tcBorders>
              <w:top w:val="single" w:color="auto" w:sz="6" w:space="0"/>
              <w:left w:val="single" w:color="auto" w:sz="12" w:space="0"/>
              <w:bottom w:val="single" w:color="auto" w:sz="12" w:space="0"/>
              <w:right w:val="single" w:color="auto" w:sz="12" w:space="0"/>
            </w:tcBorders>
            <w:vAlign w:val="center"/>
          </w:tcPr>
          <w:p>
            <w:pPr>
              <w:spacing w:line="380" w:lineRule="exact"/>
              <w:rPr>
                <w:rFonts w:ascii="微软雅黑" w:hAnsi="微软雅黑" w:cs="微软雅黑"/>
                <w:sz w:val="20"/>
                <w:szCs w:val="20"/>
              </w:rPr>
            </w:pPr>
          </w:p>
        </w:tc>
      </w:tr>
    </w:tbl>
    <w:p>
      <w:pPr>
        <w:spacing w:line="360" w:lineRule="auto"/>
        <w:jc w:val="center"/>
        <w:outlineLvl w:val="0"/>
        <w:rPr>
          <w:rFonts w:ascii="黑体" w:hAnsi="华文中宋" w:eastAsia="黑体" w:cs="华文中宋"/>
          <w:b/>
          <w:bCs/>
          <w:sz w:val="32"/>
          <w:szCs w:val="32"/>
        </w:rPr>
      </w:pPr>
      <w:r>
        <w:br w:type="page"/>
      </w:r>
      <w:bookmarkStart w:id="6" w:name="_Toc453957423"/>
      <w:bookmarkStart w:id="7" w:name="_Toc9228"/>
      <w:r>
        <w:rPr>
          <w:rFonts w:hint="eastAsia" w:ascii="黑体" w:hAnsi="华文中宋" w:eastAsia="黑体" w:cs="华文中宋"/>
          <w:b/>
          <w:bCs/>
          <w:sz w:val="32"/>
          <w:szCs w:val="32"/>
        </w:rPr>
        <w:t>第三章  用户需求书</w:t>
      </w:r>
      <w:bookmarkEnd w:id="6"/>
      <w:bookmarkEnd w:id="7"/>
    </w:p>
    <w:p>
      <w:pPr>
        <w:spacing w:line="360" w:lineRule="auto"/>
        <w:rPr>
          <w:rFonts w:ascii="宋体" w:hAnsi="宋体"/>
          <w:b/>
          <w:bCs/>
          <w:szCs w:val="21"/>
        </w:rPr>
      </w:pPr>
      <w:bookmarkStart w:id="8" w:name="_Toc481568964"/>
      <w:bookmarkEnd w:id="8"/>
      <w:bookmarkStart w:id="9" w:name="_Toc481573436"/>
      <w:bookmarkEnd w:id="9"/>
      <w:bookmarkStart w:id="10" w:name="_Toc481572505"/>
      <w:bookmarkEnd w:id="10"/>
      <w:bookmarkStart w:id="11" w:name="_Toc481572437"/>
      <w:bookmarkEnd w:id="11"/>
      <w:bookmarkStart w:id="12" w:name="_Toc417815090"/>
      <w:bookmarkEnd w:id="12"/>
      <w:bookmarkStart w:id="13" w:name="_Toc481573260"/>
      <w:bookmarkEnd w:id="13"/>
      <w:bookmarkStart w:id="14" w:name="_Toc485021627"/>
      <w:bookmarkEnd w:id="14"/>
      <w:bookmarkStart w:id="15" w:name="_Toc481573187"/>
      <w:bookmarkEnd w:id="15"/>
      <w:bookmarkStart w:id="16" w:name="_Toc417632660"/>
      <w:bookmarkEnd w:id="16"/>
      <w:bookmarkStart w:id="17" w:name="_Toc417327176"/>
      <w:bookmarkEnd w:id="17"/>
      <w:bookmarkStart w:id="18" w:name="_Toc485022571"/>
      <w:bookmarkEnd w:id="18"/>
      <w:bookmarkStart w:id="19" w:name="_Toc485021757"/>
      <w:bookmarkEnd w:id="19"/>
      <w:bookmarkStart w:id="20" w:name="_Toc481572756"/>
      <w:bookmarkEnd w:id="20"/>
      <w:bookmarkStart w:id="21" w:name="_Toc481573382"/>
      <w:bookmarkEnd w:id="21"/>
      <w:bookmarkStart w:id="22" w:name="_Toc417815087"/>
      <w:bookmarkEnd w:id="22"/>
      <w:bookmarkStart w:id="23" w:name="_Toc485024041"/>
      <w:bookmarkEnd w:id="23"/>
      <w:bookmarkStart w:id="24" w:name="_Toc396921878"/>
      <w:bookmarkEnd w:id="24"/>
      <w:bookmarkStart w:id="25" w:name="_Toc481572917"/>
      <w:bookmarkEnd w:id="25"/>
      <w:bookmarkStart w:id="26" w:name="_Toc485021724"/>
      <w:bookmarkEnd w:id="26"/>
      <w:bookmarkStart w:id="27" w:name="_Toc481566544"/>
      <w:bookmarkEnd w:id="27"/>
      <w:bookmarkStart w:id="28" w:name="_Toc481566425"/>
      <w:bookmarkEnd w:id="28"/>
      <w:bookmarkStart w:id="29" w:name="_Toc481566464"/>
      <w:bookmarkEnd w:id="29"/>
      <w:bookmarkStart w:id="30" w:name="_Toc481572025"/>
      <w:bookmarkEnd w:id="30"/>
      <w:bookmarkStart w:id="31" w:name="_Toc417814840"/>
      <w:bookmarkEnd w:id="31"/>
      <w:bookmarkStart w:id="32" w:name="_Toc481573367"/>
      <w:bookmarkEnd w:id="32"/>
      <w:bookmarkStart w:id="33" w:name="_Toc481573614"/>
      <w:bookmarkEnd w:id="33"/>
      <w:bookmarkStart w:id="34" w:name="_Toc484792617"/>
      <w:bookmarkEnd w:id="34"/>
      <w:bookmarkStart w:id="35" w:name="_Toc481573493"/>
      <w:bookmarkEnd w:id="35"/>
      <w:bookmarkStart w:id="36" w:name="_Toc485023202"/>
      <w:bookmarkEnd w:id="36"/>
      <w:bookmarkStart w:id="37" w:name="_Toc481572567"/>
      <w:bookmarkEnd w:id="37"/>
      <w:bookmarkStart w:id="38" w:name="_Toc481568929"/>
      <w:bookmarkEnd w:id="38"/>
      <w:bookmarkStart w:id="39" w:name="_Toc485023853"/>
      <w:bookmarkEnd w:id="39"/>
      <w:bookmarkStart w:id="40" w:name="_Toc484792537"/>
      <w:bookmarkEnd w:id="40"/>
      <w:bookmarkStart w:id="41" w:name="_Toc481573266"/>
      <w:bookmarkEnd w:id="41"/>
      <w:bookmarkStart w:id="42" w:name="_Toc481572737"/>
      <w:bookmarkEnd w:id="42"/>
      <w:bookmarkStart w:id="43" w:name="_Toc485021929"/>
      <w:bookmarkEnd w:id="43"/>
      <w:bookmarkStart w:id="44" w:name="_Toc484792422"/>
      <w:bookmarkEnd w:id="44"/>
      <w:bookmarkStart w:id="45" w:name="_Toc417632707"/>
      <w:bookmarkEnd w:id="45"/>
      <w:bookmarkStart w:id="46" w:name="_Toc484792438"/>
      <w:bookmarkEnd w:id="46"/>
      <w:bookmarkStart w:id="47" w:name="_Toc485024102"/>
      <w:bookmarkEnd w:id="47"/>
      <w:bookmarkStart w:id="48" w:name="_Toc481502395"/>
      <w:bookmarkEnd w:id="48"/>
      <w:bookmarkStart w:id="49" w:name="_Toc485022195"/>
      <w:bookmarkEnd w:id="49"/>
      <w:bookmarkStart w:id="50" w:name="_Toc485023802"/>
      <w:bookmarkEnd w:id="50"/>
      <w:bookmarkStart w:id="51" w:name="_Toc481569075"/>
      <w:bookmarkEnd w:id="51"/>
      <w:bookmarkStart w:id="52" w:name="_Toc485022104"/>
      <w:bookmarkEnd w:id="52"/>
      <w:bookmarkStart w:id="53" w:name="_Toc417818500"/>
      <w:bookmarkEnd w:id="53"/>
      <w:bookmarkStart w:id="54" w:name="_Toc485023903"/>
      <w:bookmarkEnd w:id="54"/>
      <w:bookmarkStart w:id="55" w:name="_Toc485022145"/>
      <w:bookmarkEnd w:id="55"/>
      <w:bookmarkStart w:id="56" w:name="_Toc485023153"/>
      <w:bookmarkEnd w:id="56"/>
      <w:bookmarkStart w:id="57" w:name="_Toc417327264"/>
      <w:bookmarkEnd w:id="57"/>
      <w:bookmarkStart w:id="58" w:name="_Toc481566369"/>
      <w:bookmarkEnd w:id="58"/>
      <w:bookmarkStart w:id="59" w:name="_Toc481569004"/>
      <w:bookmarkEnd w:id="59"/>
      <w:bookmarkStart w:id="60" w:name="_Toc417637129"/>
      <w:bookmarkEnd w:id="60"/>
      <w:bookmarkStart w:id="61" w:name="_Toc484792727"/>
      <w:bookmarkEnd w:id="61"/>
      <w:bookmarkStart w:id="62" w:name="_Toc485022232"/>
      <w:bookmarkEnd w:id="62"/>
      <w:bookmarkStart w:id="63" w:name="_Toc481502037"/>
      <w:bookmarkEnd w:id="63"/>
      <w:bookmarkStart w:id="64" w:name="_Toc485021979"/>
      <w:bookmarkEnd w:id="64"/>
      <w:bookmarkStart w:id="65" w:name="_Toc481569038"/>
      <w:bookmarkEnd w:id="65"/>
      <w:bookmarkStart w:id="66" w:name="_Toc481573423"/>
      <w:bookmarkEnd w:id="66"/>
      <w:bookmarkStart w:id="67" w:name="_Toc481573091"/>
      <w:bookmarkEnd w:id="67"/>
      <w:bookmarkStart w:id="68" w:name="_Toc481573604"/>
      <w:bookmarkEnd w:id="68"/>
      <w:bookmarkStart w:id="69" w:name="_Toc481573616"/>
      <w:bookmarkEnd w:id="69"/>
      <w:bookmarkStart w:id="70" w:name="_Toc481502224"/>
      <w:bookmarkEnd w:id="70"/>
      <w:bookmarkStart w:id="71" w:name="_Toc481568951"/>
      <w:bookmarkEnd w:id="71"/>
      <w:bookmarkStart w:id="72" w:name="_Toc484792576"/>
      <w:bookmarkEnd w:id="72"/>
      <w:bookmarkStart w:id="73" w:name="_Toc485022402"/>
      <w:bookmarkEnd w:id="73"/>
      <w:bookmarkStart w:id="74" w:name="_Toc481572219"/>
      <w:bookmarkEnd w:id="74"/>
      <w:bookmarkStart w:id="75" w:name="_Toc485022354"/>
      <w:bookmarkEnd w:id="75"/>
      <w:bookmarkStart w:id="76" w:name="_Toc481569067"/>
      <w:bookmarkEnd w:id="76"/>
      <w:bookmarkStart w:id="77" w:name="_Toc485021775"/>
      <w:bookmarkEnd w:id="77"/>
      <w:bookmarkStart w:id="78" w:name="_Toc481572952"/>
      <w:bookmarkEnd w:id="78"/>
      <w:bookmarkStart w:id="79" w:name="_Toc481569079"/>
      <w:bookmarkEnd w:id="79"/>
      <w:bookmarkStart w:id="80" w:name="_Toc485023761"/>
      <w:bookmarkEnd w:id="80"/>
      <w:bookmarkStart w:id="81" w:name="_Toc481572524"/>
      <w:bookmarkEnd w:id="81"/>
      <w:bookmarkStart w:id="82" w:name="_Toc485022199"/>
      <w:bookmarkEnd w:id="82"/>
      <w:bookmarkStart w:id="83" w:name="_Toc484792379"/>
      <w:bookmarkEnd w:id="83"/>
      <w:bookmarkStart w:id="84" w:name="_Toc485022077"/>
      <w:bookmarkEnd w:id="84"/>
      <w:bookmarkStart w:id="85" w:name="_Toc481569119"/>
      <w:bookmarkEnd w:id="85"/>
      <w:bookmarkStart w:id="86" w:name="_Toc485022700"/>
      <w:bookmarkEnd w:id="86"/>
      <w:bookmarkStart w:id="87" w:name="_Toc484792536"/>
      <w:bookmarkEnd w:id="87"/>
      <w:bookmarkStart w:id="88" w:name="_Toc481573222"/>
      <w:bookmarkEnd w:id="88"/>
      <w:bookmarkStart w:id="89" w:name="_Toc484792594"/>
      <w:bookmarkEnd w:id="89"/>
      <w:bookmarkStart w:id="90" w:name="_Toc481502208"/>
      <w:bookmarkEnd w:id="90"/>
      <w:bookmarkStart w:id="91" w:name="_Toc485021761"/>
      <w:bookmarkEnd w:id="91"/>
      <w:bookmarkStart w:id="92" w:name="_Toc417815271"/>
      <w:bookmarkEnd w:id="92"/>
      <w:bookmarkStart w:id="93" w:name="_Toc485023223"/>
      <w:bookmarkEnd w:id="93"/>
      <w:bookmarkStart w:id="94" w:name="_Toc485024106"/>
      <w:bookmarkEnd w:id="94"/>
      <w:bookmarkStart w:id="95" w:name="_Toc484792448"/>
      <w:bookmarkEnd w:id="95"/>
      <w:bookmarkStart w:id="96" w:name="_Toc481573391"/>
      <w:bookmarkEnd w:id="96"/>
      <w:bookmarkStart w:id="97" w:name="_Toc417814710"/>
      <w:bookmarkEnd w:id="97"/>
      <w:bookmarkStart w:id="98" w:name="_Toc481573257"/>
      <w:bookmarkEnd w:id="98"/>
      <w:bookmarkStart w:id="99" w:name="_Toc484792754"/>
      <w:bookmarkEnd w:id="99"/>
      <w:bookmarkStart w:id="100" w:name="_Toc485021676"/>
      <w:bookmarkEnd w:id="100"/>
      <w:bookmarkStart w:id="101" w:name="_Toc417819107"/>
      <w:bookmarkEnd w:id="101"/>
      <w:bookmarkStart w:id="102" w:name="_Toc462071136"/>
      <w:bookmarkEnd w:id="102"/>
      <w:bookmarkStart w:id="103" w:name="_Toc485023184"/>
      <w:bookmarkEnd w:id="103"/>
      <w:bookmarkStart w:id="104" w:name="_Toc485023801"/>
      <w:bookmarkEnd w:id="104"/>
      <w:bookmarkStart w:id="105" w:name="_Toc485022016"/>
      <w:bookmarkEnd w:id="105"/>
      <w:bookmarkStart w:id="106" w:name="_Toc485022416"/>
      <w:bookmarkEnd w:id="106"/>
      <w:bookmarkStart w:id="107" w:name="_Toc484792597"/>
      <w:bookmarkEnd w:id="107"/>
      <w:bookmarkStart w:id="108" w:name="_Toc485024229"/>
      <w:bookmarkEnd w:id="108"/>
      <w:bookmarkStart w:id="109" w:name="_Toc485022618"/>
      <w:bookmarkEnd w:id="109"/>
      <w:bookmarkStart w:id="110" w:name="_Toc485024359"/>
      <w:bookmarkEnd w:id="110"/>
      <w:bookmarkStart w:id="111" w:name="_Toc485024375"/>
      <w:bookmarkEnd w:id="111"/>
      <w:bookmarkStart w:id="112" w:name="_Toc485023177"/>
      <w:bookmarkEnd w:id="112"/>
      <w:bookmarkStart w:id="113" w:name="_Toc485022633"/>
      <w:bookmarkEnd w:id="113"/>
      <w:bookmarkStart w:id="114" w:name="_Toc485022301"/>
      <w:bookmarkEnd w:id="114"/>
      <w:bookmarkStart w:id="115" w:name="_Toc481572796"/>
      <w:bookmarkEnd w:id="115"/>
      <w:bookmarkStart w:id="116" w:name="_Toc485022268"/>
      <w:bookmarkEnd w:id="116"/>
      <w:bookmarkStart w:id="117" w:name="_Toc481572971"/>
      <w:bookmarkEnd w:id="117"/>
      <w:bookmarkStart w:id="118" w:name="_Toc485022146"/>
      <w:bookmarkEnd w:id="118"/>
      <w:bookmarkStart w:id="119" w:name="_Toc481501726"/>
      <w:bookmarkEnd w:id="119"/>
      <w:bookmarkStart w:id="120" w:name="_Toc481502243"/>
      <w:bookmarkEnd w:id="120"/>
      <w:bookmarkStart w:id="121" w:name="_Toc481572560"/>
      <w:bookmarkEnd w:id="121"/>
      <w:bookmarkStart w:id="122" w:name="_Toc481572206"/>
      <w:bookmarkEnd w:id="122"/>
      <w:bookmarkStart w:id="123" w:name="_Toc481572059"/>
      <w:bookmarkEnd w:id="123"/>
      <w:bookmarkStart w:id="124" w:name="_Toc481572586"/>
      <w:bookmarkEnd w:id="124"/>
      <w:bookmarkStart w:id="125" w:name="_Toc485022080"/>
      <w:bookmarkEnd w:id="125"/>
      <w:bookmarkStart w:id="126" w:name="_Toc481568954"/>
      <w:bookmarkEnd w:id="126"/>
      <w:bookmarkStart w:id="127" w:name="_Toc485023217"/>
      <w:bookmarkEnd w:id="127"/>
      <w:bookmarkStart w:id="128" w:name="_Toc481572201"/>
      <w:bookmarkEnd w:id="128"/>
      <w:bookmarkStart w:id="129" w:name="_Toc481502027"/>
      <w:bookmarkEnd w:id="129"/>
      <w:bookmarkStart w:id="130" w:name="_Toc481572258"/>
      <w:bookmarkEnd w:id="130"/>
      <w:bookmarkStart w:id="131" w:name="_Toc481573491"/>
      <w:bookmarkEnd w:id="131"/>
      <w:bookmarkStart w:id="132" w:name="_Toc485022598"/>
      <w:bookmarkEnd w:id="132"/>
      <w:bookmarkStart w:id="133" w:name="_Toc485022397"/>
      <w:bookmarkEnd w:id="133"/>
      <w:bookmarkStart w:id="134" w:name="_Toc485021675"/>
      <w:bookmarkEnd w:id="134"/>
      <w:bookmarkStart w:id="135" w:name="_Toc485024263"/>
      <w:bookmarkEnd w:id="135"/>
      <w:bookmarkStart w:id="136" w:name="_Toc481572022"/>
      <w:bookmarkEnd w:id="136"/>
      <w:bookmarkStart w:id="137" w:name="_Toc481568975"/>
      <w:bookmarkEnd w:id="137"/>
      <w:bookmarkStart w:id="138" w:name="_Toc417814612"/>
      <w:bookmarkEnd w:id="138"/>
      <w:bookmarkStart w:id="139" w:name="_Toc485021967"/>
      <w:bookmarkEnd w:id="139"/>
      <w:bookmarkStart w:id="140" w:name="_Toc417818740"/>
      <w:bookmarkEnd w:id="140"/>
      <w:bookmarkStart w:id="141" w:name="_Toc485022730"/>
      <w:bookmarkEnd w:id="141"/>
      <w:bookmarkStart w:id="142" w:name="_Toc485024269"/>
      <w:bookmarkEnd w:id="142"/>
      <w:bookmarkStart w:id="143" w:name="_Toc396921860"/>
      <w:bookmarkEnd w:id="143"/>
      <w:bookmarkStart w:id="144" w:name="_Toc481569002"/>
      <w:bookmarkEnd w:id="144"/>
      <w:bookmarkStart w:id="145" w:name="_Toc484792492"/>
      <w:bookmarkEnd w:id="145"/>
      <w:bookmarkStart w:id="146" w:name="_Toc481572020"/>
      <w:bookmarkEnd w:id="146"/>
      <w:bookmarkStart w:id="147" w:name="_Toc485021824"/>
      <w:bookmarkEnd w:id="147"/>
      <w:bookmarkStart w:id="148" w:name="_Toc485022617"/>
      <w:bookmarkEnd w:id="148"/>
      <w:bookmarkStart w:id="149" w:name="_Toc481502214"/>
      <w:bookmarkEnd w:id="149"/>
      <w:bookmarkStart w:id="150" w:name="_Toc417401495"/>
      <w:bookmarkEnd w:id="150"/>
      <w:bookmarkStart w:id="151" w:name="_Toc485022511"/>
      <w:bookmarkEnd w:id="151"/>
      <w:bookmarkStart w:id="152" w:name="_Toc481573112"/>
      <w:bookmarkEnd w:id="152"/>
      <w:bookmarkStart w:id="153" w:name="_Toc481572318"/>
      <w:bookmarkEnd w:id="153"/>
      <w:bookmarkStart w:id="154" w:name="_Toc481501853"/>
      <w:bookmarkEnd w:id="154"/>
      <w:bookmarkStart w:id="155" w:name="_Toc481572399"/>
      <w:bookmarkEnd w:id="155"/>
      <w:bookmarkStart w:id="156" w:name="_Toc485023197"/>
      <w:bookmarkEnd w:id="156"/>
      <w:bookmarkStart w:id="157" w:name="_Toc481573370"/>
      <w:bookmarkEnd w:id="157"/>
      <w:bookmarkStart w:id="158" w:name="_Toc481572793"/>
      <w:bookmarkEnd w:id="158"/>
      <w:bookmarkStart w:id="159" w:name="_Toc484792382"/>
      <w:bookmarkEnd w:id="159"/>
      <w:bookmarkStart w:id="160" w:name="_Toc485021923"/>
      <w:bookmarkEnd w:id="160"/>
      <w:bookmarkStart w:id="161" w:name="_Toc417513250"/>
      <w:bookmarkEnd w:id="161"/>
      <w:bookmarkStart w:id="162" w:name="_Toc485024334"/>
      <w:bookmarkEnd w:id="162"/>
      <w:bookmarkStart w:id="163" w:name="_Toc485022234"/>
      <w:bookmarkEnd w:id="163"/>
      <w:bookmarkStart w:id="164" w:name="_Toc396921850"/>
      <w:bookmarkEnd w:id="164"/>
      <w:bookmarkStart w:id="165" w:name="_Toc481573602"/>
      <w:bookmarkEnd w:id="165"/>
      <w:bookmarkStart w:id="166" w:name="_Toc485022512"/>
      <w:bookmarkEnd w:id="166"/>
      <w:bookmarkStart w:id="167" w:name="_Toc481572857"/>
      <w:bookmarkEnd w:id="167"/>
      <w:bookmarkStart w:id="168" w:name="_Toc481568969"/>
      <w:bookmarkEnd w:id="168"/>
      <w:bookmarkStart w:id="169" w:name="_Toc485024003"/>
      <w:bookmarkEnd w:id="169"/>
      <w:bookmarkStart w:id="170" w:name="_Toc481566368"/>
      <w:bookmarkEnd w:id="170"/>
      <w:bookmarkStart w:id="171" w:name="_Toc485024230"/>
      <w:bookmarkEnd w:id="171"/>
      <w:bookmarkStart w:id="172" w:name="_Toc485022352"/>
      <w:bookmarkEnd w:id="172"/>
      <w:bookmarkStart w:id="173" w:name="_Toc485023199"/>
      <w:bookmarkEnd w:id="173"/>
      <w:bookmarkStart w:id="174" w:name="_Toc485023201"/>
      <w:bookmarkEnd w:id="174"/>
      <w:bookmarkStart w:id="175" w:name="_Toc481502320"/>
      <w:bookmarkEnd w:id="175"/>
      <w:bookmarkStart w:id="176" w:name="_Toc481573220"/>
      <w:bookmarkEnd w:id="176"/>
      <w:bookmarkStart w:id="177" w:name="_Toc484792538"/>
      <w:bookmarkEnd w:id="177"/>
      <w:bookmarkStart w:id="178" w:name="_Toc485024103"/>
      <w:bookmarkEnd w:id="178"/>
      <w:bookmarkStart w:id="179" w:name="_Toc485024000"/>
      <w:bookmarkEnd w:id="179"/>
      <w:bookmarkStart w:id="180" w:name="_Toc485024085"/>
      <w:bookmarkEnd w:id="180"/>
      <w:bookmarkStart w:id="181" w:name="_Toc417513930"/>
      <w:bookmarkEnd w:id="181"/>
      <w:bookmarkStart w:id="182" w:name="_Toc485022198"/>
      <w:bookmarkEnd w:id="182"/>
      <w:bookmarkStart w:id="183" w:name="_Toc481572724"/>
      <w:bookmarkEnd w:id="183"/>
      <w:bookmarkStart w:id="184" w:name="_Toc485021984"/>
      <w:bookmarkEnd w:id="184"/>
      <w:bookmarkStart w:id="185" w:name="_Toc485021671"/>
      <w:bookmarkEnd w:id="185"/>
      <w:bookmarkStart w:id="186" w:name="_Toc481572370"/>
      <w:bookmarkEnd w:id="186"/>
      <w:bookmarkStart w:id="187" w:name="_Toc481573380"/>
      <w:bookmarkEnd w:id="187"/>
      <w:bookmarkStart w:id="188" w:name="_Toc481566430"/>
      <w:bookmarkEnd w:id="188"/>
      <w:bookmarkStart w:id="189" w:name="_Toc485022233"/>
      <w:bookmarkEnd w:id="189"/>
      <w:bookmarkStart w:id="190" w:name="_Toc485022293"/>
      <w:bookmarkEnd w:id="190"/>
      <w:bookmarkStart w:id="191" w:name="_Toc485021741"/>
      <w:bookmarkEnd w:id="191"/>
      <w:bookmarkStart w:id="192" w:name="_Toc481573150"/>
      <w:bookmarkEnd w:id="192"/>
      <w:bookmarkStart w:id="193" w:name="_Toc485022414"/>
      <w:bookmarkEnd w:id="193"/>
      <w:bookmarkStart w:id="194" w:name="_Toc481572325"/>
      <w:bookmarkEnd w:id="194"/>
      <w:bookmarkStart w:id="195" w:name="_Toc485022639"/>
      <w:bookmarkEnd w:id="195"/>
      <w:bookmarkStart w:id="196" w:name="_Toc481572953"/>
      <w:bookmarkEnd w:id="196"/>
      <w:bookmarkStart w:id="197" w:name="_Toc485024367"/>
      <w:bookmarkEnd w:id="197"/>
      <w:bookmarkStart w:id="198" w:name="_Toc481573186"/>
      <w:bookmarkEnd w:id="198"/>
      <w:bookmarkStart w:id="199" w:name="_Toc481572669"/>
      <w:bookmarkEnd w:id="199"/>
      <w:bookmarkStart w:id="200" w:name="_Toc484792604"/>
      <w:bookmarkEnd w:id="200"/>
      <w:bookmarkStart w:id="201" w:name="_Toc417815088"/>
      <w:bookmarkEnd w:id="201"/>
      <w:bookmarkStart w:id="202" w:name="_Toc485024222"/>
      <w:bookmarkEnd w:id="202"/>
      <w:bookmarkStart w:id="203" w:name="_Toc485022578"/>
      <w:bookmarkEnd w:id="203"/>
      <w:bookmarkStart w:id="204" w:name="_Toc481573025"/>
      <w:bookmarkEnd w:id="204"/>
      <w:bookmarkStart w:id="205" w:name="_Toc481573285"/>
      <w:bookmarkEnd w:id="205"/>
      <w:bookmarkStart w:id="206" w:name="_Toc481572159"/>
      <w:bookmarkEnd w:id="206"/>
      <w:bookmarkStart w:id="207" w:name="_Toc481573578"/>
      <w:bookmarkEnd w:id="207"/>
      <w:bookmarkStart w:id="208" w:name="_Toc485023268"/>
      <w:bookmarkEnd w:id="208"/>
      <w:bookmarkStart w:id="209" w:name="_Toc484792638"/>
      <w:bookmarkEnd w:id="209"/>
      <w:bookmarkStart w:id="210" w:name="_Toc481572439"/>
      <w:bookmarkEnd w:id="210"/>
      <w:bookmarkStart w:id="211" w:name="_Toc417818981"/>
      <w:bookmarkEnd w:id="211"/>
      <w:bookmarkStart w:id="212" w:name="_Toc417818645"/>
      <w:bookmarkEnd w:id="212"/>
      <w:bookmarkStart w:id="213" w:name="_Toc485021921"/>
      <w:bookmarkEnd w:id="213"/>
      <w:bookmarkStart w:id="214" w:name="_Toc485023973"/>
      <w:bookmarkEnd w:id="214"/>
      <w:bookmarkStart w:id="215" w:name="_Toc484792777"/>
      <w:bookmarkEnd w:id="215"/>
      <w:bookmarkStart w:id="216" w:name="_Toc485024249"/>
      <w:bookmarkEnd w:id="216"/>
      <w:bookmarkStart w:id="217" w:name="_Toc481572666"/>
      <w:bookmarkEnd w:id="217"/>
      <w:bookmarkStart w:id="218" w:name="_Toc417815089"/>
      <w:bookmarkEnd w:id="218"/>
      <w:bookmarkStart w:id="219" w:name="_Toc481573669"/>
      <w:bookmarkEnd w:id="219"/>
      <w:bookmarkStart w:id="220" w:name="_Toc417815024"/>
      <w:bookmarkEnd w:id="220"/>
      <w:bookmarkStart w:id="221" w:name="_Toc481572504"/>
      <w:bookmarkEnd w:id="221"/>
      <w:bookmarkStart w:id="222" w:name="_Toc481573689"/>
      <w:bookmarkEnd w:id="222"/>
      <w:bookmarkStart w:id="223" w:name="_Toc485022118"/>
      <w:bookmarkEnd w:id="223"/>
      <w:bookmarkStart w:id="224" w:name="_Toc485022334"/>
      <w:bookmarkEnd w:id="224"/>
      <w:bookmarkStart w:id="225" w:name="_Toc481572561"/>
      <w:bookmarkEnd w:id="225"/>
      <w:bookmarkStart w:id="226" w:name="_Toc481573010"/>
      <w:bookmarkEnd w:id="226"/>
      <w:bookmarkStart w:id="227" w:name="_Toc485024165"/>
      <w:bookmarkEnd w:id="227"/>
      <w:bookmarkStart w:id="228" w:name="_Toc484792402"/>
      <w:bookmarkEnd w:id="228"/>
      <w:bookmarkStart w:id="229" w:name="_Toc484792642"/>
      <w:bookmarkEnd w:id="229"/>
      <w:bookmarkStart w:id="230" w:name="_Toc481502021"/>
      <w:bookmarkEnd w:id="230"/>
      <w:bookmarkStart w:id="231" w:name="_Toc481572449"/>
      <w:bookmarkEnd w:id="231"/>
      <w:bookmarkStart w:id="232" w:name="_Toc484792758"/>
      <w:bookmarkEnd w:id="232"/>
      <w:bookmarkStart w:id="233" w:name="_Toc481573052"/>
      <w:bookmarkEnd w:id="233"/>
      <w:bookmarkStart w:id="234" w:name="_Toc481573322"/>
      <w:bookmarkEnd w:id="234"/>
      <w:bookmarkStart w:id="235" w:name="_Toc484792493"/>
      <w:bookmarkEnd w:id="235"/>
      <w:bookmarkStart w:id="236" w:name="_Toc481572738"/>
      <w:bookmarkEnd w:id="236"/>
      <w:bookmarkStart w:id="237" w:name="_Toc485022484"/>
      <w:bookmarkEnd w:id="237"/>
      <w:bookmarkStart w:id="238" w:name="_Toc485022017"/>
      <w:bookmarkEnd w:id="238"/>
      <w:bookmarkStart w:id="239" w:name="_Toc481571972"/>
      <w:bookmarkEnd w:id="239"/>
      <w:bookmarkStart w:id="240" w:name="_Toc481573185"/>
      <w:bookmarkEnd w:id="240"/>
      <w:bookmarkStart w:id="241" w:name="_Toc485023182"/>
      <w:bookmarkEnd w:id="241"/>
      <w:bookmarkStart w:id="242" w:name="_Toc485024017"/>
      <w:bookmarkEnd w:id="242"/>
      <w:bookmarkStart w:id="243" w:name="_Toc481572330"/>
      <w:bookmarkEnd w:id="243"/>
      <w:bookmarkStart w:id="244" w:name="_Toc485023798"/>
      <w:bookmarkEnd w:id="244"/>
      <w:bookmarkStart w:id="245" w:name="_Toc481572855"/>
      <w:bookmarkEnd w:id="245"/>
      <w:bookmarkStart w:id="246" w:name="_Toc485023288"/>
      <w:bookmarkEnd w:id="246"/>
      <w:bookmarkStart w:id="247" w:name="_Toc485022701"/>
      <w:bookmarkEnd w:id="247"/>
      <w:bookmarkStart w:id="248" w:name="_Toc484792595"/>
      <w:bookmarkEnd w:id="248"/>
      <w:bookmarkStart w:id="249" w:name="_Toc462071187"/>
      <w:bookmarkEnd w:id="249"/>
      <w:bookmarkStart w:id="250" w:name="_Toc485022569"/>
      <w:bookmarkEnd w:id="250"/>
      <w:bookmarkStart w:id="251" w:name="_Toc481572311"/>
      <w:bookmarkEnd w:id="251"/>
      <w:bookmarkStart w:id="252" w:name="_Toc481573455"/>
      <w:bookmarkEnd w:id="252"/>
      <w:bookmarkStart w:id="253" w:name="_Toc481566414"/>
      <w:bookmarkEnd w:id="253"/>
      <w:bookmarkStart w:id="254" w:name="_Toc481572777"/>
      <w:bookmarkEnd w:id="254"/>
      <w:bookmarkStart w:id="255" w:name="_Toc485024313"/>
      <w:bookmarkEnd w:id="255"/>
      <w:bookmarkStart w:id="256" w:name="_Toc481573134"/>
      <w:bookmarkEnd w:id="256"/>
      <w:bookmarkStart w:id="257" w:name="_Toc485021787"/>
      <w:bookmarkEnd w:id="257"/>
      <w:bookmarkStart w:id="258" w:name="_Toc481502447"/>
      <w:bookmarkEnd w:id="258"/>
      <w:bookmarkStart w:id="259" w:name="_Toc485021637"/>
      <w:bookmarkEnd w:id="259"/>
      <w:bookmarkStart w:id="260" w:name="_Toc481573029"/>
      <w:bookmarkEnd w:id="260"/>
      <w:bookmarkStart w:id="261" w:name="_Toc481573419"/>
      <w:bookmarkEnd w:id="261"/>
      <w:bookmarkStart w:id="262" w:name="_Toc485022494"/>
      <w:bookmarkEnd w:id="262"/>
      <w:bookmarkStart w:id="263" w:name="_Toc485022296"/>
      <w:bookmarkEnd w:id="263"/>
      <w:bookmarkStart w:id="264" w:name="_Toc485023970"/>
      <w:bookmarkEnd w:id="264"/>
      <w:bookmarkStart w:id="265" w:name="_Toc485024352"/>
      <w:bookmarkEnd w:id="265"/>
      <w:bookmarkStart w:id="266" w:name="_Toc417815082"/>
      <w:bookmarkEnd w:id="266"/>
      <w:bookmarkStart w:id="267" w:name="_Toc481501801"/>
      <w:bookmarkEnd w:id="267"/>
      <w:bookmarkStart w:id="268" w:name="_Toc417814843"/>
      <w:bookmarkEnd w:id="268"/>
      <w:bookmarkStart w:id="269" w:name="_Toc481572215"/>
      <w:bookmarkEnd w:id="269"/>
      <w:bookmarkStart w:id="270" w:name="_Toc481572327"/>
      <w:bookmarkEnd w:id="270"/>
      <w:bookmarkStart w:id="271" w:name="_Toc481573345"/>
      <w:bookmarkEnd w:id="271"/>
      <w:bookmarkStart w:id="272" w:name="_Toc485023737"/>
      <w:bookmarkEnd w:id="272"/>
      <w:bookmarkStart w:id="273" w:name="_Toc417815234"/>
      <w:bookmarkEnd w:id="273"/>
      <w:bookmarkStart w:id="274" w:name="_Toc485022184"/>
      <w:bookmarkEnd w:id="274"/>
      <w:bookmarkStart w:id="275" w:name="_Toc485023767"/>
      <w:bookmarkEnd w:id="275"/>
      <w:bookmarkStart w:id="276" w:name="_Toc481572792"/>
      <w:bookmarkEnd w:id="276"/>
      <w:bookmarkStart w:id="277" w:name="_Toc485022054"/>
      <w:bookmarkEnd w:id="277"/>
      <w:bookmarkStart w:id="278" w:name="_Toc481566410"/>
      <w:bookmarkEnd w:id="278"/>
      <w:bookmarkStart w:id="279" w:name="_Toc485024258"/>
      <w:bookmarkEnd w:id="279"/>
      <w:bookmarkStart w:id="280" w:name="_Toc485024031"/>
      <w:bookmarkEnd w:id="280"/>
      <w:bookmarkStart w:id="281" w:name="_Toc417818933"/>
      <w:bookmarkEnd w:id="281"/>
      <w:bookmarkStart w:id="282" w:name="_Toc481566500"/>
      <w:bookmarkEnd w:id="282"/>
      <w:bookmarkStart w:id="283" w:name="_Toc485022278"/>
      <w:bookmarkEnd w:id="283"/>
      <w:bookmarkStart w:id="284" w:name="_Toc485023180"/>
      <w:bookmarkEnd w:id="284"/>
      <w:bookmarkStart w:id="285" w:name="_Toc481573383"/>
      <w:bookmarkEnd w:id="285"/>
      <w:bookmarkStart w:id="286" w:name="_Toc485021982"/>
      <w:bookmarkEnd w:id="286"/>
      <w:bookmarkStart w:id="287" w:name="_Toc481571947"/>
      <w:bookmarkEnd w:id="287"/>
      <w:bookmarkStart w:id="288" w:name="_Toc481566376"/>
      <w:bookmarkEnd w:id="288"/>
      <w:bookmarkStart w:id="289" w:name="_Toc481572683"/>
      <w:bookmarkEnd w:id="289"/>
      <w:bookmarkStart w:id="290" w:name="_Toc485022594"/>
      <w:bookmarkEnd w:id="290"/>
      <w:bookmarkStart w:id="291" w:name="_Toc481573137"/>
      <w:bookmarkEnd w:id="291"/>
      <w:bookmarkStart w:id="292" w:name="_Toc485023770"/>
      <w:bookmarkEnd w:id="292"/>
      <w:bookmarkStart w:id="293" w:name="_Toc484792752"/>
      <w:bookmarkEnd w:id="293"/>
      <w:bookmarkStart w:id="294" w:name="_Toc481569074"/>
      <w:bookmarkEnd w:id="294"/>
      <w:bookmarkStart w:id="295" w:name="_Toc481572623"/>
      <w:bookmarkEnd w:id="295"/>
      <w:bookmarkStart w:id="296" w:name="_Toc417327449"/>
      <w:bookmarkEnd w:id="296"/>
      <w:bookmarkStart w:id="297" w:name="_Toc481573132"/>
      <w:bookmarkEnd w:id="297"/>
      <w:bookmarkStart w:id="298" w:name="_Toc484792562"/>
      <w:bookmarkEnd w:id="298"/>
      <w:bookmarkStart w:id="299" w:name="_Toc485021970"/>
      <w:bookmarkEnd w:id="299"/>
      <w:bookmarkStart w:id="300" w:name="_Toc481572353"/>
      <w:bookmarkEnd w:id="300"/>
      <w:bookmarkStart w:id="301" w:name="_Toc485023873"/>
      <w:bookmarkEnd w:id="301"/>
      <w:bookmarkStart w:id="302" w:name="_Toc484792728"/>
      <w:bookmarkEnd w:id="302"/>
      <w:bookmarkStart w:id="303" w:name="_Toc481573555"/>
      <w:bookmarkEnd w:id="303"/>
      <w:bookmarkStart w:id="304" w:name="_Toc485024139"/>
      <w:bookmarkEnd w:id="304"/>
      <w:bookmarkStart w:id="305" w:name="_Toc485023155"/>
      <w:bookmarkEnd w:id="305"/>
      <w:bookmarkStart w:id="306" w:name="_Toc485022450"/>
      <w:bookmarkEnd w:id="306"/>
      <w:bookmarkStart w:id="307" w:name="_Toc485023898"/>
      <w:bookmarkEnd w:id="307"/>
      <w:bookmarkStart w:id="308" w:name="_Toc484792742"/>
      <w:bookmarkEnd w:id="308"/>
      <w:bookmarkStart w:id="309" w:name="_Toc481573709"/>
      <w:bookmarkEnd w:id="309"/>
      <w:bookmarkStart w:id="310" w:name="_Toc485022137"/>
      <w:bookmarkEnd w:id="310"/>
      <w:bookmarkStart w:id="311" w:name="_Toc485021740"/>
      <w:bookmarkEnd w:id="311"/>
      <w:bookmarkStart w:id="312" w:name="_Toc485022411"/>
      <w:bookmarkEnd w:id="312"/>
      <w:bookmarkStart w:id="313" w:name="_Toc417819142"/>
      <w:bookmarkEnd w:id="313"/>
      <w:bookmarkStart w:id="314" w:name="_Toc481566580"/>
      <w:bookmarkEnd w:id="314"/>
      <w:bookmarkStart w:id="315" w:name="_Toc485023872"/>
      <w:bookmarkEnd w:id="315"/>
      <w:bookmarkStart w:id="316" w:name="_Toc417815217"/>
      <w:bookmarkEnd w:id="316"/>
      <w:bookmarkStart w:id="317" w:name="_Toc485022577"/>
      <w:bookmarkEnd w:id="317"/>
      <w:bookmarkStart w:id="318" w:name="_Toc481573751"/>
      <w:bookmarkEnd w:id="318"/>
      <w:bookmarkStart w:id="319" w:name="_Toc481572990"/>
      <w:bookmarkEnd w:id="319"/>
      <w:bookmarkStart w:id="320" w:name="_Toc417814835"/>
      <w:bookmarkEnd w:id="320"/>
      <w:bookmarkStart w:id="321" w:name="_Toc417401576"/>
      <w:bookmarkEnd w:id="321"/>
      <w:bookmarkStart w:id="322" w:name="_Toc481572525"/>
      <w:bookmarkEnd w:id="322"/>
      <w:bookmarkStart w:id="323" w:name="_Toc485023176"/>
      <w:bookmarkEnd w:id="323"/>
      <w:bookmarkStart w:id="324" w:name="_Toc485022399"/>
      <w:bookmarkEnd w:id="324"/>
      <w:bookmarkStart w:id="325" w:name="_Toc485022271"/>
      <w:bookmarkEnd w:id="325"/>
      <w:bookmarkStart w:id="326" w:name="_Toc485023313"/>
      <w:bookmarkEnd w:id="326"/>
      <w:bookmarkStart w:id="327" w:name="_Toc485022616"/>
      <w:bookmarkEnd w:id="327"/>
      <w:bookmarkStart w:id="328" w:name="_Toc481566367"/>
      <w:bookmarkEnd w:id="328"/>
      <w:bookmarkStart w:id="329" w:name="_Toc481572453"/>
      <w:bookmarkEnd w:id="329"/>
      <w:bookmarkStart w:id="330" w:name="_Toc484792425"/>
      <w:bookmarkEnd w:id="330"/>
      <w:bookmarkStart w:id="331" w:name="_Toc481573302"/>
      <w:bookmarkEnd w:id="331"/>
      <w:bookmarkStart w:id="332" w:name="_Toc481572794"/>
      <w:bookmarkEnd w:id="332"/>
      <w:bookmarkStart w:id="333" w:name="_Toc485023922"/>
      <w:bookmarkEnd w:id="333"/>
      <w:bookmarkStart w:id="334" w:name="_Toc396921790"/>
      <w:bookmarkEnd w:id="334"/>
      <w:bookmarkStart w:id="335" w:name="_Toc485022320"/>
      <w:bookmarkEnd w:id="335"/>
      <w:bookmarkStart w:id="336" w:name="_Toc481572692"/>
      <w:bookmarkEnd w:id="336"/>
      <w:bookmarkStart w:id="337" w:name="_Toc462231890"/>
      <w:bookmarkEnd w:id="337"/>
      <w:bookmarkStart w:id="338" w:name="_Toc481572720"/>
      <w:bookmarkEnd w:id="338"/>
      <w:bookmarkStart w:id="339" w:name="_Toc485023784"/>
      <w:bookmarkEnd w:id="339"/>
      <w:bookmarkStart w:id="340" w:name="_Toc485022753"/>
      <w:bookmarkEnd w:id="340"/>
      <w:bookmarkStart w:id="341" w:name="_Toc485022483"/>
      <w:bookmarkEnd w:id="341"/>
      <w:bookmarkStart w:id="342" w:name="_Toc485023899"/>
      <w:bookmarkEnd w:id="342"/>
      <w:bookmarkStart w:id="343" w:name="_Toc485021673"/>
      <w:bookmarkEnd w:id="343"/>
      <w:bookmarkStart w:id="344" w:name="_Toc481572097"/>
      <w:bookmarkEnd w:id="344"/>
      <w:bookmarkStart w:id="345" w:name="_Toc485022613"/>
      <w:bookmarkEnd w:id="345"/>
      <w:bookmarkStart w:id="346" w:name="_Toc485022250"/>
      <w:bookmarkEnd w:id="346"/>
      <w:bookmarkStart w:id="347" w:name="_Toc481573518"/>
      <w:bookmarkEnd w:id="347"/>
      <w:bookmarkStart w:id="348" w:name="_Toc417637333"/>
      <w:bookmarkEnd w:id="348"/>
      <w:bookmarkStart w:id="349" w:name="_Toc481572165"/>
      <w:bookmarkEnd w:id="349"/>
      <w:bookmarkStart w:id="350" w:name="_Toc485022467"/>
      <w:bookmarkEnd w:id="350"/>
      <w:bookmarkStart w:id="351" w:name="_Toc481572491"/>
      <w:bookmarkEnd w:id="351"/>
      <w:bookmarkStart w:id="352" w:name="_Toc481572137"/>
      <w:bookmarkEnd w:id="352"/>
      <w:bookmarkStart w:id="353" w:name="_Toc481566538"/>
      <w:bookmarkEnd w:id="353"/>
      <w:bookmarkStart w:id="354" w:name="_Toc481573453"/>
      <w:bookmarkEnd w:id="354"/>
      <w:bookmarkStart w:id="355" w:name="_Toc481573069"/>
      <w:bookmarkEnd w:id="355"/>
      <w:bookmarkStart w:id="356" w:name="_Toc481572326"/>
      <w:bookmarkEnd w:id="356"/>
      <w:bookmarkStart w:id="357" w:name="_Toc485023312"/>
      <w:bookmarkEnd w:id="357"/>
      <w:bookmarkStart w:id="358" w:name="_Toc485023835"/>
      <w:bookmarkEnd w:id="358"/>
      <w:bookmarkStart w:id="359" w:name="_Toc481572631"/>
      <w:bookmarkEnd w:id="359"/>
      <w:bookmarkStart w:id="360" w:name="_Toc485022251"/>
      <w:bookmarkEnd w:id="360"/>
      <w:bookmarkStart w:id="361" w:name="_Toc481502073"/>
      <w:bookmarkEnd w:id="361"/>
      <w:bookmarkStart w:id="362" w:name="_Toc481566390"/>
      <w:bookmarkEnd w:id="362"/>
      <w:bookmarkStart w:id="363" w:name="_Toc485022400"/>
      <w:bookmarkEnd w:id="363"/>
      <w:bookmarkStart w:id="364" w:name="_Toc485024224"/>
      <w:bookmarkEnd w:id="364"/>
      <w:bookmarkStart w:id="365" w:name="_Toc484792476"/>
      <w:bookmarkEnd w:id="365"/>
      <w:bookmarkStart w:id="366" w:name="_Toc485023214"/>
      <w:bookmarkEnd w:id="366"/>
      <w:bookmarkStart w:id="367" w:name="_Toc485023318"/>
      <w:bookmarkEnd w:id="367"/>
      <w:bookmarkStart w:id="368" w:name="_Toc417513251"/>
      <w:bookmarkEnd w:id="368"/>
      <w:bookmarkStart w:id="369" w:name="_Toc485023152"/>
      <w:bookmarkEnd w:id="369"/>
      <w:bookmarkStart w:id="370" w:name="_Toc481573456"/>
      <w:bookmarkEnd w:id="370"/>
      <w:bookmarkStart w:id="371" w:name="_Toc481572562"/>
      <w:bookmarkEnd w:id="371"/>
      <w:bookmarkStart w:id="372" w:name="_Toc484792750"/>
      <w:bookmarkEnd w:id="372"/>
      <w:bookmarkStart w:id="373" w:name="_Toc417632670"/>
      <w:bookmarkEnd w:id="373"/>
      <w:bookmarkStart w:id="374" w:name="_Toc485022034"/>
      <w:bookmarkEnd w:id="374"/>
      <w:bookmarkStart w:id="375" w:name="_Toc481572389"/>
      <w:bookmarkEnd w:id="375"/>
      <w:bookmarkStart w:id="376" w:name="_Toc481572078"/>
      <w:bookmarkEnd w:id="376"/>
      <w:bookmarkStart w:id="377" w:name="_Toc417815252"/>
      <w:bookmarkEnd w:id="377"/>
      <w:bookmarkStart w:id="378" w:name="_Toc481573601"/>
      <w:bookmarkEnd w:id="378"/>
      <w:bookmarkStart w:id="379" w:name="_Toc485023179"/>
      <w:bookmarkEnd w:id="379"/>
      <w:bookmarkStart w:id="380" w:name="_Toc485022453"/>
      <w:bookmarkEnd w:id="380"/>
      <w:bookmarkStart w:id="381" w:name="_Toc485022501"/>
      <w:bookmarkEnd w:id="381"/>
      <w:bookmarkStart w:id="382" w:name="_Toc485023287"/>
      <w:bookmarkEnd w:id="382"/>
      <w:bookmarkStart w:id="383" w:name="_Toc481573384"/>
      <w:bookmarkEnd w:id="383"/>
      <w:bookmarkStart w:id="384" w:name="_Toc485023183"/>
      <w:bookmarkEnd w:id="384"/>
      <w:bookmarkStart w:id="385" w:name="_Toc485021688"/>
      <w:bookmarkEnd w:id="385"/>
      <w:bookmarkStart w:id="386" w:name="_Toc485022615"/>
      <w:bookmarkEnd w:id="386"/>
      <w:bookmarkStart w:id="387" w:name="_Toc417819114"/>
      <w:bookmarkEnd w:id="387"/>
      <w:bookmarkStart w:id="388" w:name="_Toc484792641"/>
      <w:bookmarkEnd w:id="388"/>
      <w:bookmarkStart w:id="389" w:name="_Toc485024137"/>
      <w:bookmarkEnd w:id="389"/>
      <w:bookmarkStart w:id="390" w:name="_Toc485023178"/>
      <w:bookmarkEnd w:id="390"/>
      <w:bookmarkStart w:id="391" w:name="_Toc481572667"/>
      <w:bookmarkEnd w:id="391"/>
      <w:bookmarkStart w:id="392" w:name="_Toc417637048"/>
      <w:bookmarkEnd w:id="392"/>
      <w:bookmarkStart w:id="393" w:name="_Toc417814728"/>
      <w:bookmarkEnd w:id="393"/>
      <w:bookmarkStart w:id="394" w:name="_Toc417815036"/>
      <w:bookmarkEnd w:id="394"/>
      <w:bookmarkStart w:id="395" w:name="_Toc417327486"/>
      <w:bookmarkEnd w:id="395"/>
      <w:bookmarkStart w:id="396" w:name="_Toc485023213"/>
      <w:bookmarkEnd w:id="396"/>
      <w:bookmarkStart w:id="397" w:name="_Toc485022361"/>
      <w:bookmarkEnd w:id="397"/>
      <w:bookmarkStart w:id="398" w:name="_Toc485023887"/>
      <w:bookmarkEnd w:id="398"/>
      <w:bookmarkStart w:id="399" w:name="_Toc485022295"/>
      <w:bookmarkEnd w:id="399"/>
      <w:bookmarkStart w:id="400" w:name="_Toc481573617"/>
      <w:bookmarkEnd w:id="400"/>
      <w:bookmarkStart w:id="401" w:name="_Toc462231839"/>
      <w:bookmarkEnd w:id="401"/>
      <w:bookmarkStart w:id="402" w:name="_Toc485023782"/>
      <w:bookmarkEnd w:id="402"/>
      <w:bookmarkStart w:id="403" w:name="_Toc481572721"/>
      <w:bookmarkEnd w:id="403"/>
      <w:bookmarkStart w:id="404" w:name="_Toc485023286"/>
      <w:bookmarkEnd w:id="404"/>
      <w:bookmarkStart w:id="405" w:name="_Toc485023997"/>
      <w:bookmarkEnd w:id="405"/>
      <w:bookmarkStart w:id="406" w:name="_Toc417819171"/>
      <w:bookmarkEnd w:id="406"/>
      <w:bookmarkStart w:id="407" w:name="_Toc485021630"/>
      <w:bookmarkEnd w:id="407"/>
      <w:bookmarkStart w:id="408" w:name="_Toc485024261"/>
      <w:bookmarkEnd w:id="408"/>
      <w:bookmarkStart w:id="409" w:name="_Toc481501946"/>
      <w:bookmarkEnd w:id="409"/>
      <w:bookmarkStart w:id="410" w:name="_Toc485024021"/>
      <w:bookmarkEnd w:id="410"/>
      <w:bookmarkStart w:id="411" w:name="_Toc481572551"/>
      <w:bookmarkEnd w:id="411"/>
      <w:bookmarkStart w:id="412" w:name="_Toc485024141"/>
      <w:bookmarkEnd w:id="412"/>
      <w:bookmarkStart w:id="413" w:name="_Toc484792520"/>
      <w:bookmarkEnd w:id="413"/>
      <w:bookmarkStart w:id="414" w:name="_Toc481573135"/>
      <w:bookmarkEnd w:id="414"/>
      <w:bookmarkStart w:id="415" w:name="_Toc417401630"/>
      <w:bookmarkEnd w:id="415"/>
      <w:bookmarkStart w:id="416" w:name="_Toc417818867"/>
      <w:bookmarkEnd w:id="416"/>
      <w:bookmarkStart w:id="417" w:name="_Toc481572488"/>
      <w:bookmarkEnd w:id="417"/>
      <w:bookmarkStart w:id="418" w:name="_Toc481572156"/>
      <w:bookmarkEnd w:id="418"/>
      <w:bookmarkStart w:id="419" w:name="_Toc481571970"/>
      <w:bookmarkEnd w:id="419"/>
      <w:bookmarkStart w:id="420" w:name="_Toc484792475"/>
      <w:bookmarkEnd w:id="420"/>
      <w:bookmarkStart w:id="421" w:name="_Toc485023267"/>
      <w:bookmarkEnd w:id="421"/>
      <w:bookmarkStart w:id="422" w:name="_Toc481573331"/>
      <w:bookmarkEnd w:id="422"/>
      <w:bookmarkStart w:id="423" w:name="_Toc417814700"/>
      <w:bookmarkEnd w:id="423"/>
      <w:bookmarkStart w:id="424" w:name="_Toc484792657"/>
      <w:bookmarkEnd w:id="424"/>
      <w:bookmarkStart w:id="425" w:name="_Toc481573324"/>
      <w:bookmarkEnd w:id="425"/>
      <w:bookmarkStart w:id="426" w:name="_Toc484792423"/>
      <w:bookmarkEnd w:id="426"/>
      <w:bookmarkStart w:id="427" w:name="_Toc485024370"/>
      <w:bookmarkEnd w:id="427"/>
      <w:bookmarkStart w:id="428" w:name="_Toc481501807"/>
      <w:bookmarkEnd w:id="428"/>
      <w:bookmarkStart w:id="429" w:name="_Toc462071170"/>
      <w:bookmarkEnd w:id="429"/>
      <w:bookmarkStart w:id="430" w:name="_Toc481568915"/>
      <w:bookmarkEnd w:id="430"/>
      <w:bookmarkStart w:id="431" w:name="_Toc417327467"/>
      <w:bookmarkEnd w:id="431"/>
      <w:bookmarkStart w:id="432" w:name="_Toc481572925"/>
      <w:bookmarkEnd w:id="432"/>
      <w:bookmarkStart w:id="433" w:name="_Toc485022449"/>
      <w:bookmarkEnd w:id="433"/>
      <w:bookmarkStart w:id="434" w:name="_Toc485022734"/>
      <w:bookmarkEnd w:id="434"/>
      <w:bookmarkStart w:id="435" w:name="_Toc485024247"/>
      <w:bookmarkEnd w:id="435"/>
      <w:bookmarkStart w:id="436" w:name="_Toc485022269"/>
      <w:bookmarkEnd w:id="436"/>
      <w:bookmarkStart w:id="437" w:name="_Toc485023995"/>
      <w:bookmarkEnd w:id="437"/>
      <w:bookmarkStart w:id="438" w:name="_Toc481573147"/>
      <w:bookmarkEnd w:id="438"/>
      <w:bookmarkStart w:id="439" w:name="_Toc484792426"/>
      <w:bookmarkEnd w:id="439"/>
      <w:bookmarkStart w:id="440" w:name="_Toc481572991"/>
      <w:bookmarkEnd w:id="440"/>
      <w:bookmarkStart w:id="441" w:name="_Toc485024034"/>
      <w:bookmarkEnd w:id="441"/>
      <w:bookmarkStart w:id="442" w:name="_Toc481573152"/>
      <w:bookmarkEnd w:id="442"/>
      <w:bookmarkStart w:id="443" w:name="_Toc481572203"/>
      <w:bookmarkEnd w:id="443"/>
      <w:bookmarkStart w:id="444" w:name="_Toc485022182"/>
      <w:bookmarkEnd w:id="444"/>
      <w:bookmarkStart w:id="445" w:name="_Toc417513248"/>
      <w:bookmarkEnd w:id="445"/>
      <w:bookmarkStart w:id="446" w:name="_Toc417814987"/>
      <w:bookmarkEnd w:id="446"/>
      <w:bookmarkStart w:id="447" w:name="_Toc481572220"/>
      <w:bookmarkEnd w:id="447"/>
      <w:bookmarkStart w:id="448" w:name="_Toc481572672"/>
      <w:bookmarkEnd w:id="448"/>
      <w:bookmarkStart w:id="449" w:name="_Toc481572452"/>
      <w:bookmarkEnd w:id="449"/>
      <w:bookmarkStart w:id="450" w:name="_Toc417632600"/>
      <w:bookmarkEnd w:id="450"/>
      <w:bookmarkStart w:id="451" w:name="_Toc481566482"/>
      <w:bookmarkEnd w:id="451"/>
      <w:bookmarkStart w:id="452" w:name="_Toc484792725"/>
      <w:bookmarkEnd w:id="452"/>
      <w:bookmarkStart w:id="453" w:name="_Toc481502401"/>
      <w:bookmarkEnd w:id="453"/>
      <w:bookmarkStart w:id="454" w:name="_Toc481572255"/>
      <w:bookmarkEnd w:id="454"/>
      <w:bookmarkStart w:id="455" w:name="_Toc485022413"/>
      <w:bookmarkEnd w:id="455"/>
      <w:bookmarkStart w:id="456" w:name="_Toc485021686"/>
      <w:bookmarkEnd w:id="456"/>
      <w:bookmarkStart w:id="457" w:name="_Toc481569007"/>
      <w:bookmarkEnd w:id="457"/>
      <w:bookmarkStart w:id="458" w:name="_Toc485022062"/>
      <w:bookmarkEnd w:id="458"/>
      <w:bookmarkStart w:id="459" w:name="_Toc481566521"/>
      <w:bookmarkEnd w:id="459"/>
      <w:bookmarkStart w:id="460" w:name="_Toc485024199"/>
      <w:bookmarkEnd w:id="460"/>
      <w:bookmarkStart w:id="461" w:name="_Toc485023896"/>
      <w:bookmarkEnd w:id="461"/>
      <w:bookmarkStart w:id="462" w:name="_Toc485024368"/>
      <w:bookmarkEnd w:id="462"/>
      <w:bookmarkStart w:id="463" w:name="_Toc396921760"/>
      <w:bookmarkEnd w:id="463"/>
      <w:bookmarkStart w:id="464" w:name="_Toc484792511"/>
      <w:bookmarkEnd w:id="464"/>
      <w:bookmarkStart w:id="465" w:name="_Toc481573017"/>
      <w:bookmarkEnd w:id="465"/>
      <w:bookmarkStart w:id="466" w:name="_Toc485022550"/>
      <w:bookmarkEnd w:id="466"/>
      <w:bookmarkStart w:id="467" w:name="_Toc481573221"/>
      <w:bookmarkEnd w:id="467"/>
      <w:bookmarkStart w:id="468" w:name="_Toc485024300"/>
      <w:bookmarkEnd w:id="468"/>
      <w:bookmarkStart w:id="469" w:name="_Toc481572157"/>
      <w:bookmarkEnd w:id="469"/>
      <w:bookmarkStart w:id="470" w:name="_Toc485024228"/>
      <w:bookmarkEnd w:id="470"/>
      <w:bookmarkStart w:id="471" w:name="_Toc417814970"/>
      <w:bookmarkEnd w:id="471"/>
      <w:bookmarkStart w:id="472" w:name="_Toc481572622"/>
      <w:bookmarkEnd w:id="472"/>
      <w:bookmarkStart w:id="473" w:name="_Toc484792535"/>
      <w:bookmarkEnd w:id="473"/>
      <w:bookmarkStart w:id="474" w:name="_Toc485022517"/>
      <w:bookmarkEnd w:id="474"/>
      <w:bookmarkStart w:id="475" w:name="_Toc485023797"/>
      <w:bookmarkEnd w:id="475"/>
      <w:bookmarkStart w:id="476" w:name="_Toc485024004"/>
      <w:bookmarkEnd w:id="476"/>
      <w:bookmarkStart w:id="477" w:name="_Toc481566539"/>
      <w:bookmarkEnd w:id="477"/>
      <w:bookmarkStart w:id="478" w:name="_Toc417401523"/>
      <w:bookmarkEnd w:id="478"/>
      <w:bookmarkStart w:id="479" w:name="_Toc481572836"/>
      <w:bookmarkEnd w:id="479"/>
      <w:bookmarkStart w:id="480" w:name="_Toc417327148"/>
      <w:bookmarkEnd w:id="480"/>
      <w:bookmarkStart w:id="481" w:name="_Toc417818628"/>
      <w:bookmarkEnd w:id="481"/>
      <w:bookmarkStart w:id="482" w:name="_Toc485022297"/>
      <w:bookmarkEnd w:id="482"/>
      <w:bookmarkStart w:id="483" w:name="_Toc481573492"/>
      <w:bookmarkEnd w:id="483"/>
      <w:bookmarkStart w:id="484" w:name="_Toc485022079"/>
      <w:bookmarkEnd w:id="484"/>
      <w:bookmarkStart w:id="485" w:name="_Toc481572957"/>
      <w:bookmarkEnd w:id="485"/>
      <w:bookmarkStart w:id="486" w:name="_Toc485023203"/>
      <w:bookmarkEnd w:id="486"/>
      <w:bookmarkStart w:id="487" w:name="_Toc481566428"/>
      <w:bookmarkEnd w:id="487"/>
      <w:bookmarkStart w:id="488" w:name="_Toc485022138"/>
      <w:bookmarkEnd w:id="488"/>
      <w:bookmarkStart w:id="489" w:name="_Toc417513902"/>
      <w:bookmarkEnd w:id="489"/>
      <w:bookmarkStart w:id="490" w:name="_Toc481572433"/>
      <w:bookmarkEnd w:id="490"/>
      <w:bookmarkStart w:id="491" w:name="_Toc485022294"/>
      <w:bookmarkEnd w:id="491"/>
      <w:bookmarkStart w:id="492" w:name="_Toc481572390"/>
      <w:bookmarkEnd w:id="492"/>
      <w:bookmarkStart w:id="493" w:name="_Toc481568965"/>
      <w:bookmarkEnd w:id="493"/>
      <w:bookmarkStart w:id="494" w:name="_Toc484792708"/>
      <w:bookmarkEnd w:id="494"/>
      <w:bookmarkStart w:id="495" w:name="_Toc481572858"/>
      <w:bookmarkEnd w:id="495"/>
      <w:bookmarkStart w:id="496" w:name="_Toc396921843"/>
      <w:bookmarkEnd w:id="496"/>
      <w:bookmarkStart w:id="497" w:name="_Toc485022401"/>
      <w:bookmarkEnd w:id="497"/>
      <w:bookmarkStart w:id="498" w:name="_Toc417401611"/>
      <w:bookmarkEnd w:id="498"/>
      <w:bookmarkStart w:id="499" w:name="_Toc481569039"/>
      <w:bookmarkEnd w:id="499"/>
      <w:bookmarkStart w:id="500" w:name="_Toc484792653"/>
      <w:bookmarkEnd w:id="500"/>
      <w:bookmarkStart w:id="501" w:name="_Toc481573732"/>
      <w:bookmarkEnd w:id="501"/>
      <w:bookmarkStart w:id="502" w:name="_Toc485023972"/>
      <w:bookmarkEnd w:id="502"/>
      <w:bookmarkStart w:id="503" w:name="_Toc485024371"/>
      <w:bookmarkEnd w:id="503"/>
      <w:bookmarkStart w:id="504" w:name="_Toc481572558"/>
      <w:bookmarkEnd w:id="504"/>
      <w:bookmarkStart w:id="505" w:name="_Toc481572819"/>
      <w:bookmarkEnd w:id="505"/>
      <w:bookmarkStart w:id="506" w:name="_Toc485024030"/>
      <w:bookmarkEnd w:id="506"/>
      <w:bookmarkStart w:id="507" w:name="_Toc481572544"/>
      <w:bookmarkEnd w:id="507"/>
      <w:bookmarkStart w:id="508" w:name="_Toc485022666"/>
      <w:bookmarkEnd w:id="508"/>
      <w:bookmarkStart w:id="509" w:name="_Toc485021920"/>
      <w:bookmarkEnd w:id="509"/>
      <w:bookmarkStart w:id="510" w:name="_Toc485024140"/>
      <w:bookmarkEnd w:id="510"/>
      <w:bookmarkStart w:id="511" w:name="_Toc481572328"/>
      <w:bookmarkEnd w:id="511"/>
      <w:bookmarkStart w:id="512" w:name="_Toc481573723"/>
      <w:bookmarkEnd w:id="512"/>
      <w:bookmarkStart w:id="513" w:name="_Toc417327439"/>
      <w:bookmarkEnd w:id="513"/>
      <w:bookmarkStart w:id="514" w:name="_Toc481569060"/>
      <w:bookmarkEnd w:id="514"/>
      <w:bookmarkStart w:id="515" w:name="_Toc481572684"/>
      <w:bookmarkEnd w:id="515"/>
      <w:bookmarkStart w:id="516" w:name="_Toc485022592"/>
      <w:bookmarkEnd w:id="516"/>
      <w:bookmarkStart w:id="517" w:name="_Toc481572038"/>
      <w:bookmarkEnd w:id="517"/>
      <w:bookmarkStart w:id="518" w:name="_Toc462071064"/>
      <w:bookmarkEnd w:id="518"/>
      <w:bookmarkStart w:id="519" w:name="_Toc485023351"/>
      <w:bookmarkEnd w:id="519"/>
      <w:bookmarkStart w:id="520" w:name="_Toc485023215"/>
      <w:bookmarkEnd w:id="520"/>
      <w:bookmarkStart w:id="521" w:name="_Toc484792510"/>
      <w:bookmarkEnd w:id="521"/>
      <w:bookmarkStart w:id="522" w:name="_Toc484792603"/>
      <w:bookmarkEnd w:id="522"/>
      <w:bookmarkStart w:id="523" w:name="_Toc481573369"/>
      <w:bookmarkEnd w:id="523"/>
      <w:bookmarkStart w:id="524" w:name="_Toc485024207"/>
      <w:bookmarkEnd w:id="524"/>
      <w:bookmarkStart w:id="525" w:name="_Toc481572671"/>
      <w:bookmarkEnd w:id="525"/>
      <w:bookmarkStart w:id="526" w:name="_Toc481566465"/>
      <w:bookmarkEnd w:id="526"/>
      <w:bookmarkStart w:id="527" w:name="_Toc485024366"/>
      <w:bookmarkEnd w:id="527"/>
      <w:bookmarkStart w:id="528" w:name="_Toc481572056"/>
      <w:bookmarkEnd w:id="528"/>
      <w:bookmarkStart w:id="529" w:name="_Toc484792707"/>
      <w:bookmarkEnd w:id="529"/>
      <w:bookmarkStart w:id="530" w:name="_Toc485022052"/>
      <w:bookmarkEnd w:id="530"/>
      <w:bookmarkStart w:id="531" w:name="_Toc481566498"/>
      <w:bookmarkEnd w:id="531"/>
      <w:bookmarkStart w:id="532" w:name="_Toc481568967"/>
      <w:bookmarkEnd w:id="532"/>
      <w:bookmarkStart w:id="533" w:name="_Toc481572436"/>
      <w:bookmarkEnd w:id="533"/>
      <w:bookmarkStart w:id="534" w:name="_Toc481573027"/>
      <w:bookmarkEnd w:id="534"/>
      <w:bookmarkStart w:id="535" w:name="_Toc481572166"/>
      <w:bookmarkEnd w:id="535"/>
      <w:bookmarkStart w:id="536" w:name="_Toc481573613"/>
      <w:bookmarkEnd w:id="536"/>
      <w:bookmarkStart w:id="537" w:name="_Toc481573557"/>
      <w:bookmarkEnd w:id="537"/>
      <w:bookmarkStart w:id="538" w:name="_Toc417514000"/>
      <w:bookmarkEnd w:id="538"/>
      <w:bookmarkStart w:id="539" w:name="_Toc481572486"/>
      <w:bookmarkEnd w:id="539"/>
      <w:bookmarkStart w:id="540" w:name="_Toc481572758"/>
      <w:bookmarkEnd w:id="540"/>
      <w:bookmarkStart w:id="541" w:name="_Toc481572398"/>
      <w:bookmarkEnd w:id="541"/>
      <w:bookmarkStart w:id="542" w:name="_Toc481572988"/>
      <w:bookmarkEnd w:id="542"/>
      <w:bookmarkStart w:id="543" w:name="_Toc417327351"/>
      <w:bookmarkEnd w:id="543"/>
      <w:bookmarkStart w:id="544" w:name="_Toc485024123"/>
      <w:bookmarkEnd w:id="544"/>
      <w:bookmarkStart w:id="545" w:name="_Toc481573726"/>
      <w:bookmarkEnd w:id="545"/>
      <w:bookmarkStart w:id="546" w:name="_Toc484792690"/>
      <w:bookmarkEnd w:id="546"/>
      <w:bookmarkStart w:id="547" w:name="_Toc485024018"/>
      <w:bookmarkEnd w:id="547"/>
      <w:bookmarkStart w:id="548" w:name="_Toc417327229"/>
      <w:bookmarkEnd w:id="548"/>
      <w:bookmarkStart w:id="549" w:name="_Toc481566375"/>
      <w:bookmarkEnd w:id="549"/>
      <w:bookmarkStart w:id="550" w:name="_Toc485021964"/>
      <w:bookmarkEnd w:id="550"/>
      <w:bookmarkStart w:id="551" w:name="_Toc485023763"/>
      <w:bookmarkEnd w:id="551"/>
      <w:bookmarkStart w:id="552" w:name="_Toc485023181"/>
      <w:bookmarkEnd w:id="552"/>
      <w:bookmarkStart w:id="553" w:name="_Toc485023971"/>
      <w:bookmarkEnd w:id="553"/>
      <w:bookmarkStart w:id="554" w:name="_Toc484792791"/>
      <w:bookmarkEnd w:id="554"/>
      <w:bookmarkStart w:id="555" w:name="_Toc485023998"/>
      <w:bookmarkEnd w:id="555"/>
      <w:bookmarkStart w:id="556" w:name="_Toc485023869"/>
      <w:bookmarkEnd w:id="556"/>
      <w:bookmarkStart w:id="557" w:name="_Toc417818874"/>
      <w:bookmarkEnd w:id="557"/>
      <w:bookmarkStart w:id="558" w:name="_Toc481572521"/>
      <w:bookmarkEnd w:id="558"/>
      <w:bookmarkStart w:id="559" w:name="_Toc484792724"/>
      <w:bookmarkEnd w:id="559"/>
      <w:bookmarkStart w:id="560" w:name="_Toc481566468"/>
      <w:bookmarkEnd w:id="560"/>
      <w:bookmarkStart w:id="561" w:name="_Toc481572915"/>
      <w:bookmarkEnd w:id="561"/>
      <w:bookmarkStart w:id="562" w:name="_Toc417818663"/>
      <w:bookmarkEnd w:id="562"/>
      <w:bookmarkStart w:id="563" w:name="_Toc417819159"/>
      <w:bookmarkEnd w:id="563"/>
      <w:bookmarkStart w:id="564" w:name="_Toc485021670"/>
      <w:bookmarkEnd w:id="564"/>
      <w:bookmarkStart w:id="565" w:name="_Toc484792437"/>
      <w:bookmarkEnd w:id="565"/>
      <w:bookmarkStart w:id="566" w:name="_Toc417814839"/>
      <w:bookmarkEnd w:id="566"/>
      <w:bookmarkStart w:id="567" w:name="_Toc485023186"/>
      <w:bookmarkEnd w:id="567"/>
      <w:bookmarkStart w:id="568" w:name="_Toc485022200"/>
      <w:bookmarkEnd w:id="568"/>
      <w:bookmarkStart w:id="569" w:name="_Toc481573366"/>
      <w:bookmarkEnd w:id="569"/>
      <w:bookmarkStart w:id="570" w:name="_Toc417327283"/>
      <w:bookmarkEnd w:id="570"/>
      <w:bookmarkStart w:id="571" w:name="_Toc481501971"/>
      <w:bookmarkEnd w:id="571"/>
      <w:bookmarkStart w:id="572" w:name="_Toc481572204"/>
      <w:bookmarkEnd w:id="572"/>
      <w:bookmarkStart w:id="573" w:name="_Toc485022593"/>
      <w:bookmarkEnd w:id="573"/>
      <w:bookmarkStart w:id="574" w:name="_Toc417814838"/>
      <w:bookmarkEnd w:id="574"/>
      <w:bookmarkStart w:id="575" w:name="_Toc481572391"/>
      <w:bookmarkEnd w:id="575"/>
      <w:bookmarkStart w:id="576" w:name="_Toc485024208"/>
      <w:bookmarkEnd w:id="576"/>
      <w:bookmarkStart w:id="577" w:name="_Toc485022081"/>
      <w:bookmarkEnd w:id="577"/>
      <w:bookmarkStart w:id="578" w:name="_Toc485024223"/>
      <w:bookmarkEnd w:id="578"/>
      <w:bookmarkStart w:id="579" w:name="_Toc481573476"/>
      <w:bookmarkEnd w:id="579"/>
      <w:bookmarkStart w:id="580" w:name="_Toc481573098"/>
      <w:bookmarkEnd w:id="580"/>
      <w:bookmarkStart w:id="581" w:name="_Toc485021685"/>
      <w:bookmarkEnd w:id="581"/>
      <w:bookmarkStart w:id="582" w:name="_Toc481572685"/>
      <w:bookmarkEnd w:id="582"/>
      <w:bookmarkStart w:id="583" w:name="_Toc485024245"/>
      <w:bookmarkEnd w:id="583"/>
      <w:bookmarkStart w:id="584" w:name="_Toc485022362"/>
      <w:bookmarkEnd w:id="584"/>
      <w:bookmarkStart w:id="585" w:name="_Toc485022767"/>
      <w:bookmarkEnd w:id="585"/>
      <w:bookmarkStart w:id="586" w:name="_Toc481502056"/>
      <w:bookmarkEnd w:id="586"/>
      <w:bookmarkStart w:id="587" w:name="_Toc485024130"/>
      <w:bookmarkEnd w:id="587"/>
      <w:bookmarkStart w:id="588" w:name="_Toc417513990"/>
      <w:bookmarkEnd w:id="588"/>
      <w:bookmarkStart w:id="589" w:name="_Toc485021628"/>
      <w:bookmarkEnd w:id="589"/>
      <w:bookmarkStart w:id="590" w:name="_Toc481572205"/>
      <w:bookmarkEnd w:id="590"/>
      <w:bookmarkStart w:id="591" w:name="_Toc481572800"/>
      <w:bookmarkEnd w:id="591"/>
      <w:bookmarkStart w:id="592" w:name="_Toc485022396"/>
      <w:bookmarkEnd w:id="592"/>
      <w:bookmarkStart w:id="593" w:name="_Toc485022602"/>
      <w:bookmarkEnd w:id="593"/>
      <w:bookmarkStart w:id="594" w:name="_Toc417819026"/>
      <w:bookmarkEnd w:id="594"/>
      <w:bookmarkStart w:id="595" w:name="_Toc481572795"/>
      <w:bookmarkEnd w:id="595"/>
      <w:bookmarkStart w:id="596" w:name="_Toc484792735"/>
      <w:bookmarkEnd w:id="596"/>
      <w:bookmarkStart w:id="597" w:name="_Toc417637076"/>
      <w:bookmarkEnd w:id="597"/>
      <w:bookmarkStart w:id="598" w:name="_Toc481572904"/>
      <w:bookmarkEnd w:id="598"/>
      <w:bookmarkStart w:id="599" w:name="_Toc485024138"/>
      <w:bookmarkEnd w:id="599"/>
      <w:bookmarkStart w:id="600" w:name="_Toc481572625"/>
      <w:bookmarkEnd w:id="600"/>
      <w:bookmarkStart w:id="601" w:name="_Toc481572413"/>
      <w:bookmarkEnd w:id="601"/>
      <w:bookmarkStart w:id="602" w:name="_Toc485022600"/>
      <w:bookmarkEnd w:id="602"/>
      <w:bookmarkStart w:id="603" w:name="_Toc484792643"/>
      <w:bookmarkEnd w:id="603"/>
      <w:bookmarkStart w:id="604" w:name="_Toc485021723"/>
      <w:bookmarkEnd w:id="604"/>
      <w:bookmarkStart w:id="605" w:name="_Toc485021810"/>
      <w:bookmarkEnd w:id="605"/>
      <w:bookmarkStart w:id="606" w:name="_Toc481572668"/>
      <w:bookmarkEnd w:id="606"/>
      <w:bookmarkStart w:id="607" w:name="_Toc485022448"/>
      <w:bookmarkEnd w:id="607"/>
      <w:bookmarkStart w:id="608" w:name="_Toc485024232"/>
      <w:bookmarkEnd w:id="608"/>
      <w:bookmarkStart w:id="609" w:name="_Toc396921895"/>
      <w:bookmarkEnd w:id="609"/>
      <w:bookmarkStart w:id="610" w:name="_Toc485023740"/>
      <w:bookmarkEnd w:id="610"/>
      <w:bookmarkStart w:id="611" w:name="_Toc485022422"/>
      <w:bookmarkEnd w:id="611"/>
      <w:bookmarkStart w:id="612" w:name="_Toc485022536"/>
      <w:bookmarkEnd w:id="612"/>
      <w:bookmarkStart w:id="613" w:name="_Toc485023839"/>
      <w:bookmarkEnd w:id="613"/>
      <w:bookmarkStart w:id="614" w:name="_Toc485023800"/>
      <w:bookmarkEnd w:id="614"/>
      <w:bookmarkStart w:id="615" w:name="_Toc481571971"/>
      <w:bookmarkEnd w:id="615"/>
      <w:bookmarkStart w:id="616" w:name="_Toc481573224"/>
      <w:bookmarkEnd w:id="616"/>
      <w:bookmarkStart w:id="617" w:name="_Toc462231873"/>
      <w:bookmarkEnd w:id="617"/>
      <w:bookmarkStart w:id="618" w:name="_Toc485024016"/>
      <w:bookmarkEnd w:id="618"/>
      <w:bookmarkStart w:id="619" w:name="_Toc485022601"/>
      <w:bookmarkEnd w:id="619"/>
      <w:bookmarkStart w:id="620" w:name="_Toc481572057"/>
      <w:bookmarkEnd w:id="620"/>
      <w:bookmarkStart w:id="621" w:name="_Toc485021650"/>
      <w:bookmarkEnd w:id="621"/>
      <w:bookmarkStart w:id="622" w:name="_Toc481572755"/>
      <w:bookmarkEnd w:id="622"/>
      <w:bookmarkStart w:id="623" w:name="_Toc485022021"/>
      <w:bookmarkEnd w:id="623"/>
      <w:bookmarkStart w:id="624" w:name="_Toc481571925"/>
      <w:bookmarkEnd w:id="624"/>
      <w:bookmarkStart w:id="625" w:name="_Toc485023185"/>
      <w:bookmarkEnd w:id="625"/>
      <w:bookmarkStart w:id="626" w:name="_Toc485023198"/>
      <w:bookmarkEnd w:id="626"/>
      <w:bookmarkStart w:id="627" w:name="_Toc417818786"/>
      <w:bookmarkEnd w:id="627"/>
      <w:bookmarkStart w:id="628" w:name="_Toc481566416"/>
      <w:bookmarkEnd w:id="628"/>
      <w:bookmarkStart w:id="629" w:name="_Toc485021944"/>
      <w:bookmarkEnd w:id="629"/>
      <w:bookmarkStart w:id="630" w:name="_Toc485022237"/>
      <w:bookmarkEnd w:id="630"/>
      <w:bookmarkStart w:id="631" w:name="_Toc485022487"/>
      <w:bookmarkEnd w:id="631"/>
      <w:bookmarkStart w:id="632" w:name="_Toc462231855"/>
      <w:bookmarkEnd w:id="632"/>
      <w:bookmarkStart w:id="633" w:name="_Toc485022206"/>
      <w:bookmarkEnd w:id="633"/>
      <w:bookmarkStart w:id="634" w:name="_Toc417818884"/>
      <w:bookmarkEnd w:id="634"/>
      <w:bookmarkStart w:id="635" w:name="_Toc485022285"/>
      <w:bookmarkEnd w:id="635"/>
      <w:bookmarkStart w:id="636" w:name="_Toc481573381"/>
      <w:bookmarkEnd w:id="636"/>
      <w:bookmarkStart w:id="637" w:name="_Toc481571985"/>
      <w:bookmarkEnd w:id="637"/>
      <w:bookmarkStart w:id="638" w:name="_Toc417637136"/>
      <w:bookmarkEnd w:id="638"/>
      <w:bookmarkStart w:id="639" w:name="_Toc481573651"/>
      <w:bookmarkEnd w:id="639"/>
      <w:bookmarkStart w:id="640" w:name="_Toc481573725"/>
      <w:bookmarkEnd w:id="640"/>
      <w:bookmarkStart w:id="641" w:name="_Toc481572903"/>
      <w:bookmarkEnd w:id="641"/>
      <w:bookmarkStart w:id="642" w:name="_Toc485022069"/>
      <w:bookmarkEnd w:id="642"/>
      <w:bookmarkStart w:id="643" w:name="_Toc481573418"/>
      <w:bookmarkEnd w:id="643"/>
      <w:bookmarkStart w:id="644" w:name="_Toc485021968"/>
      <w:bookmarkEnd w:id="644"/>
      <w:bookmarkStart w:id="645" w:name="_Toc485021966"/>
      <w:bookmarkEnd w:id="645"/>
      <w:bookmarkStart w:id="646" w:name="_Toc417815224"/>
      <w:bookmarkEnd w:id="646"/>
      <w:bookmarkStart w:id="647" w:name="_Toc481572202"/>
      <w:bookmarkEnd w:id="647"/>
      <w:bookmarkStart w:id="648" w:name="_Toc417327379"/>
      <w:bookmarkEnd w:id="648"/>
      <w:bookmarkStart w:id="649" w:name="_Toc484792691"/>
      <w:bookmarkEnd w:id="649"/>
      <w:bookmarkStart w:id="650" w:name="_Toc481572435"/>
      <w:bookmarkEnd w:id="650"/>
      <w:bookmarkStart w:id="651" w:name="_Toc485022053"/>
      <w:bookmarkEnd w:id="651"/>
      <w:bookmarkStart w:id="652" w:name="_Toc481566415"/>
      <w:bookmarkEnd w:id="652"/>
      <w:bookmarkStart w:id="653" w:name="_Toc481566540"/>
      <w:bookmarkEnd w:id="653"/>
      <w:bookmarkStart w:id="654" w:name="_Toc462231787"/>
      <w:bookmarkEnd w:id="654"/>
      <w:bookmarkStart w:id="655" w:name="_Toc485023999"/>
      <w:bookmarkEnd w:id="655"/>
      <w:bookmarkStart w:id="656" w:name="_Toc481566426"/>
      <w:bookmarkEnd w:id="656"/>
      <w:bookmarkStart w:id="657" w:name="_Toc485024035"/>
      <w:bookmarkEnd w:id="657"/>
      <w:bookmarkStart w:id="658" w:name="_Toc481573454"/>
      <w:bookmarkEnd w:id="658"/>
      <w:bookmarkStart w:id="659" w:name="_Toc484792652"/>
      <w:bookmarkEnd w:id="659"/>
      <w:bookmarkStart w:id="660" w:name="_Toc417637280"/>
      <w:bookmarkEnd w:id="660"/>
      <w:bookmarkStart w:id="661" w:name="_Toc485023768"/>
      <w:bookmarkEnd w:id="661"/>
      <w:bookmarkStart w:id="662" w:name="_Toc481502411"/>
      <w:bookmarkEnd w:id="662"/>
      <w:bookmarkStart w:id="663" w:name="_Toc485022704"/>
      <w:bookmarkEnd w:id="663"/>
      <w:bookmarkStart w:id="664" w:name="_Toc484792479"/>
      <w:bookmarkEnd w:id="664"/>
      <w:bookmarkStart w:id="665" w:name="_Toc481573026"/>
      <w:bookmarkEnd w:id="665"/>
      <w:bookmarkStart w:id="666" w:name="_Toc485022186"/>
      <w:bookmarkEnd w:id="666"/>
      <w:bookmarkStart w:id="667" w:name="_Toc481573133"/>
      <w:bookmarkEnd w:id="667"/>
      <w:bookmarkStart w:id="668" w:name="_Toc481573158"/>
      <w:bookmarkEnd w:id="668"/>
      <w:bookmarkStart w:id="669" w:name="_Toc481572216"/>
      <w:bookmarkEnd w:id="669"/>
      <w:bookmarkStart w:id="670" w:name="_Toc481572522"/>
      <w:bookmarkEnd w:id="670"/>
      <w:bookmarkStart w:id="671" w:name="_Toc485024333"/>
      <w:bookmarkEnd w:id="671"/>
      <w:bookmarkStart w:id="672" w:name="_Toc485023980"/>
      <w:bookmarkEnd w:id="672"/>
      <w:bookmarkStart w:id="673" w:name="_Toc481572158"/>
      <w:bookmarkEnd w:id="673"/>
      <w:bookmarkStart w:id="674" w:name="_Toc485022353"/>
      <w:bookmarkEnd w:id="674"/>
      <w:bookmarkStart w:id="675" w:name="_Toc417815005"/>
      <w:bookmarkEnd w:id="675"/>
      <w:bookmarkStart w:id="676" w:name="_Toc481502345"/>
      <w:bookmarkEnd w:id="676"/>
      <w:bookmarkStart w:id="677" w:name="_Toc485024001"/>
      <w:bookmarkEnd w:id="677"/>
      <w:bookmarkStart w:id="678" w:name="_Toc484792694"/>
      <w:bookmarkEnd w:id="678"/>
      <w:bookmarkStart w:id="679" w:name="_Toc481572334"/>
      <w:bookmarkEnd w:id="679"/>
      <w:bookmarkStart w:id="680" w:name="_Toc481572096"/>
      <w:bookmarkEnd w:id="680"/>
      <w:bookmarkStart w:id="681" w:name="_Toc462071084"/>
      <w:bookmarkEnd w:id="681"/>
      <w:bookmarkStart w:id="682" w:name="_Toc481573727"/>
      <w:bookmarkEnd w:id="682"/>
      <w:bookmarkStart w:id="683" w:name="_Toc485022726"/>
      <w:bookmarkEnd w:id="683"/>
      <w:bookmarkStart w:id="684" w:name="_Toc484792655"/>
      <w:bookmarkEnd w:id="684"/>
      <w:bookmarkStart w:id="685" w:name="_Toc417818501"/>
      <w:bookmarkEnd w:id="685"/>
      <w:bookmarkStart w:id="686" w:name="_Toc485021786"/>
      <w:bookmarkEnd w:id="686"/>
      <w:bookmarkStart w:id="687" w:name="_Toc417327236"/>
      <w:bookmarkEnd w:id="687"/>
      <w:bookmarkStart w:id="688" w:name="_Toc417637146"/>
      <w:bookmarkEnd w:id="688"/>
      <w:bookmarkStart w:id="689" w:name="_Toc485024002"/>
      <w:bookmarkEnd w:id="689"/>
      <w:bookmarkStart w:id="690" w:name="_Toc481573323"/>
      <w:bookmarkEnd w:id="690"/>
      <w:bookmarkStart w:id="691" w:name="_Toc481566436"/>
      <w:bookmarkEnd w:id="691"/>
      <w:bookmarkStart w:id="692" w:name="_Toc481572254"/>
      <w:bookmarkEnd w:id="692"/>
      <w:bookmarkStart w:id="693" w:name="_Toc481573262"/>
      <w:bookmarkEnd w:id="693"/>
      <w:bookmarkStart w:id="694" w:name="_Toc485021782"/>
      <w:bookmarkEnd w:id="694"/>
      <w:bookmarkStart w:id="695" w:name="_Toc481572900"/>
      <w:bookmarkEnd w:id="695"/>
      <w:bookmarkStart w:id="696" w:name="_Toc481573564"/>
      <w:bookmarkEnd w:id="696"/>
      <w:bookmarkStart w:id="697" w:name="_Toc481569076"/>
      <w:bookmarkEnd w:id="697"/>
      <w:bookmarkStart w:id="698" w:name="_Toc481573261"/>
      <w:bookmarkEnd w:id="698"/>
      <w:bookmarkStart w:id="699" w:name="_Toc484792726"/>
      <w:bookmarkEnd w:id="699"/>
      <w:bookmarkStart w:id="700" w:name="_Toc485024032"/>
      <w:bookmarkEnd w:id="700"/>
      <w:bookmarkStart w:id="701" w:name="_Toc485023852"/>
      <w:bookmarkEnd w:id="701"/>
      <w:bookmarkStart w:id="702" w:name="_Toc485024227"/>
      <w:bookmarkEnd w:id="702"/>
      <w:bookmarkStart w:id="703" w:name="_Toc485022018"/>
      <w:bookmarkEnd w:id="703"/>
      <w:bookmarkStart w:id="704" w:name="_Toc485023161"/>
      <w:bookmarkEnd w:id="704"/>
      <w:bookmarkStart w:id="705" w:name="_Toc484792424"/>
      <w:bookmarkEnd w:id="705"/>
      <w:bookmarkStart w:id="706" w:name="_Toc417814836"/>
      <w:bookmarkEnd w:id="706"/>
      <w:bookmarkStart w:id="707" w:name="_Toc485024408"/>
      <w:bookmarkEnd w:id="707"/>
      <w:bookmarkStart w:id="708" w:name="_Toc485021784"/>
      <w:bookmarkEnd w:id="708"/>
      <w:bookmarkStart w:id="709" w:name="_Toc481573090"/>
      <w:bookmarkEnd w:id="709"/>
      <w:bookmarkStart w:id="710" w:name="_Toc485023314"/>
      <w:bookmarkEnd w:id="710"/>
      <w:bookmarkStart w:id="711" w:name="_Toc485024243"/>
      <w:bookmarkEnd w:id="711"/>
      <w:bookmarkStart w:id="712" w:name="_Toc417513855"/>
      <w:bookmarkEnd w:id="712"/>
      <w:bookmarkStart w:id="713" w:name="_Toc417818741"/>
      <w:bookmarkEnd w:id="713"/>
      <w:bookmarkStart w:id="714" w:name="_Toc417815136"/>
      <w:bookmarkEnd w:id="714"/>
      <w:bookmarkStart w:id="715" w:name="_Toc485022078"/>
      <w:bookmarkEnd w:id="715"/>
      <w:bookmarkStart w:id="716" w:name="_Toc485021785"/>
      <w:bookmarkEnd w:id="716"/>
      <w:bookmarkStart w:id="717" w:name="_Toc481569003"/>
      <w:bookmarkEnd w:id="717"/>
      <w:bookmarkStart w:id="718" w:name="_Toc485023249"/>
      <w:bookmarkEnd w:id="718"/>
      <w:bookmarkStart w:id="719" w:name="_Toc485023154"/>
      <w:bookmarkEnd w:id="719"/>
      <w:bookmarkStart w:id="720" w:name="_Toc485023785"/>
      <w:bookmarkEnd w:id="720"/>
      <w:bookmarkStart w:id="721" w:name="_Toc481572864"/>
      <w:bookmarkEnd w:id="721"/>
      <w:bookmarkStart w:id="722" w:name="_Toc485024369"/>
      <w:bookmarkEnd w:id="722"/>
      <w:bookmarkStart w:id="723" w:name="_Toc462231760"/>
      <w:bookmarkEnd w:id="723"/>
      <w:bookmarkStart w:id="724" w:name="_Toc485022160"/>
      <w:bookmarkEnd w:id="724"/>
      <w:bookmarkStart w:id="725" w:name="_Toc481573600"/>
      <w:bookmarkEnd w:id="725"/>
      <w:bookmarkStart w:id="726" w:name="_Toc485024244"/>
      <w:bookmarkEnd w:id="726"/>
      <w:bookmarkStart w:id="727" w:name="_Toc485022614"/>
      <w:bookmarkEnd w:id="727"/>
      <w:bookmarkStart w:id="728" w:name="_Toc484792527"/>
      <w:bookmarkEnd w:id="728"/>
      <w:bookmarkStart w:id="729" w:name="_Toc481573088"/>
      <w:bookmarkEnd w:id="729"/>
      <w:bookmarkStart w:id="730" w:name="_Toc481502158"/>
      <w:bookmarkEnd w:id="730"/>
      <w:bookmarkStart w:id="731" w:name="_Toc485024179"/>
      <w:bookmarkEnd w:id="731"/>
      <w:bookmarkStart w:id="732" w:name="_Toc485021629"/>
      <w:bookmarkEnd w:id="732"/>
      <w:bookmarkStart w:id="733" w:name="_Toc485022596"/>
      <w:bookmarkEnd w:id="733"/>
      <w:bookmarkStart w:id="734" w:name="_Toc481572899"/>
      <w:bookmarkEnd w:id="734"/>
      <w:bookmarkStart w:id="735" w:name="_Toc481572563"/>
      <w:bookmarkEnd w:id="735"/>
      <w:bookmarkStart w:id="736" w:name="_Toc485023836"/>
      <w:bookmarkEnd w:id="736"/>
      <w:bookmarkStart w:id="737" w:name="_Toc481573028"/>
      <w:bookmarkEnd w:id="737"/>
      <w:bookmarkStart w:id="738" w:name="_Toc481568906"/>
      <w:bookmarkEnd w:id="738"/>
      <w:bookmarkStart w:id="739" w:name="_Toc481569077"/>
      <w:bookmarkEnd w:id="739"/>
      <w:bookmarkStart w:id="740" w:name="_Toc481571924"/>
      <w:bookmarkEnd w:id="740"/>
      <w:bookmarkStart w:id="741" w:name="_Toc485024104"/>
      <w:bookmarkEnd w:id="741"/>
      <w:bookmarkStart w:id="742" w:name="_Toc484792751"/>
      <w:bookmarkEnd w:id="742"/>
      <w:bookmarkStart w:id="743" w:name="_Toc481573599"/>
      <w:bookmarkEnd w:id="743"/>
      <w:bookmarkStart w:id="744" w:name="_Toc485022139"/>
      <w:bookmarkEnd w:id="744"/>
      <w:bookmarkStart w:id="745" w:name="_Toc481573494"/>
      <w:bookmarkEnd w:id="745"/>
      <w:bookmarkStart w:id="746" w:name="_Toc481572879"/>
      <w:bookmarkEnd w:id="746"/>
      <w:bookmarkStart w:id="747" w:name="_Toc481571967"/>
      <w:bookmarkEnd w:id="747"/>
      <w:bookmarkStart w:id="748" w:name="_Toc481573097"/>
      <w:bookmarkEnd w:id="748"/>
      <w:bookmarkStart w:id="749" w:name="_Toc417814841"/>
      <w:bookmarkEnd w:id="749"/>
      <w:bookmarkStart w:id="750" w:name="_Toc481572791"/>
      <w:bookmarkEnd w:id="750"/>
      <w:bookmarkStart w:id="751" w:name="_Toc485021965"/>
      <w:bookmarkEnd w:id="751"/>
      <w:bookmarkStart w:id="752" w:name="_Toc481572632"/>
      <w:bookmarkEnd w:id="752"/>
      <w:bookmarkStart w:id="753" w:name="_Toc484792389"/>
      <w:bookmarkEnd w:id="753"/>
      <w:bookmarkStart w:id="754" w:name="_Toc481568966"/>
      <w:bookmarkEnd w:id="754"/>
      <w:bookmarkStart w:id="755" w:name="_Toc485021696"/>
      <w:bookmarkEnd w:id="755"/>
      <w:bookmarkStart w:id="756" w:name="_Toc417401583"/>
      <w:bookmarkEnd w:id="756"/>
      <w:bookmarkStart w:id="757" w:name="_Toc484792663"/>
      <w:bookmarkEnd w:id="757"/>
      <w:bookmarkStart w:id="758" w:name="_Toc481571932"/>
      <w:bookmarkEnd w:id="758"/>
      <w:bookmarkStart w:id="759" w:name="_Toc485022729"/>
      <w:bookmarkEnd w:id="759"/>
      <w:bookmarkStart w:id="760" w:name="_Toc485022595"/>
      <w:bookmarkEnd w:id="760"/>
      <w:bookmarkStart w:id="761" w:name="_Toc481573151"/>
      <w:bookmarkEnd w:id="761"/>
      <w:bookmarkStart w:id="762" w:name="_Toc485021690"/>
      <w:bookmarkEnd w:id="762"/>
      <w:bookmarkStart w:id="763" w:name="_Toc485021768"/>
      <w:bookmarkEnd w:id="763"/>
      <w:bookmarkStart w:id="764" w:name="_Toc481573728"/>
      <w:bookmarkEnd w:id="764"/>
      <w:bookmarkStart w:id="765" w:name="_Toc481566481"/>
      <w:bookmarkEnd w:id="765"/>
      <w:bookmarkStart w:id="766" w:name="_Toc484792381"/>
      <w:bookmarkEnd w:id="766"/>
      <w:bookmarkStart w:id="767" w:name="_Toc485022398"/>
      <w:bookmarkEnd w:id="767"/>
      <w:bookmarkStart w:id="768" w:name="_Toc481572434"/>
      <w:bookmarkEnd w:id="768"/>
      <w:bookmarkStart w:id="769" w:name="_Toc481573138"/>
      <w:bookmarkEnd w:id="769"/>
      <w:bookmarkStart w:id="770" w:name="_Toc485024246"/>
      <w:bookmarkEnd w:id="770"/>
      <w:bookmarkStart w:id="771" w:name="_Toc485024248"/>
      <w:bookmarkEnd w:id="771"/>
      <w:bookmarkStart w:id="772" w:name="_Toc485024231"/>
      <w:bookmarkEnd w:id="772"/>
      <w:bookmarkStart w:id="773" w:name="_Toc481572916"/>
      <w:bookmarkEnd w:id="773"/>
      <w:bookmarkStart w:id="774" w:name="_Toc417819124"/>
      <w:bookmarkEnd w:id="774"/>
      <w:bookmarkStart w:id="775" w:name="_Toc481568950"/>
      <w:bookmarkEnd w:id="775"/>
      <w:bookmarkStart w:id="776" w:name="_Toc481572226"/>
      <w:bookmarkEnd w:id="776"/>
      <w:bookmarkStart w:id="777" w:name="_Toc485023311"/>
      <w:bookmarkEnd w:id="777"/>
      <w:bookmarkStart w:id="778" w:name="_Toc481572289"/>
      <w:bookmarkEnd w:id="778"/>
      <w:bookmarkStart w:id="779" w:name="_Toc481573250"/>
      <w:bookmarkEnd w:id="779"/>
      <w:bookmarkStart w:id="780" w:name="_Toc485024201"/>
      <w:bookmarkEnd w:id="780"/>
      <w:bookmarkStart w:id="781" w:name="_Toc417514037"/>
      <w:bookmarkEnd w:id="781"/>
      <w:bookmarkStart w:id="782" w:name="_Toc417513983"/>
      <w:bookmarkEnd w:id="782"/>
      <w:bookmarkStart w:id="783" w:name="_Toc485021783"/>
      <w:bookmarkEnd w:id="783"/>
      <w:bookmarkStart w:id="784" w:name="_Toc481573656"/>
      <w:bookmarkEnd w:id="784"/>
      <w:bookmarkStart w:id="785" w:name="_Toc484792753"/>
      <w:bookmarkEnd w:id="785"/>
      <w:bookmarkStart w:id="786" w:name="_Toc485024069"/>
      <w:bookmarkEnd w:id="786"/>
      <w:bookmarkStart w:id="787" w:name="_Toc481573686"/>
      <w:bookmarkEnd w:id="787"/>
      <w:bookmarkStart w:id="788" w:name="_Toc481573243"/>
      <w:bookmarkEnd w:id="788"/>
      <w:bookmarkStart w:id="789" w:name="_Toc417815283"/>
      <w:bookmarkEnd w:id="789"/>
      <w:bookmarkStart w:id="790" w:name="_Toc417513854"/>
      <w:bookmarkEnd w:id="790"/>
      <w:bookmarkStart w:id="791" w:name="_Toc485022076"/>
      <w:bookmarkEnd w:id="791"/>
      <w:bookmarkStart w:id="792" w:name="_Toc485022630"/>
      <w:bookmarkEnd w:id="792"/>
      <w:bookmarkStart w:id="793" w:name="_Toc481573724"/>
      <w:bookmarkEnd w:id="793"/>
      <w:bookmarkStart w:id="794" w:name="_Toc417327432"/>
      <w:bookmarkEnd w:id="794"/>
      <w:bookmarkStart w:id="795" w:name="_Toc485023870"/>
      <w:bookmarkEnd w:id="795"/>
      <w:bookmarkStart w:id="796" w:name="_Toc481573330"/>
      <w:bookmarkEnd w:id="796"/>
      <w:bookmarkStart w:id="797" w:name="_Toc481572451"/>
      <w:bookmarkEnd w:id="797"/>
      <w:bookmarkStart w:id="798" w:name="_Toc481566502"/>
      <w:bookmarkEnd w:id="798"/>
      <w:bookmarkStart w:id="799" w:name="_Toc481573420"/>
      <w:bookmarkEnd w:id="799"/>
      <w:bookmarkStart w:id="800" w:name="_Toc485023894"/>
      <w:bookmarkEnd w:id="800"/>
      <w:bookmarkStart w:id="801" w:name="_Toc481572101"/>
      <w:bookmarkEnd w:id="801"/>
      <w:bookmarkStart w:id="802" w:name="_Toc462071152"/>
      <w:bookmarkEnd w:id="802"/>
      <w:bookmarkStart w:id="803" w:name="_Toc485022513"/>
      <w:bookmarkEnd w:id="803"/>
      <w:bookmarkStart w:id="804" w:name="_Toc481568914"/>
      <w:bookmarkEnd w:id="804"/>
      <w:bookmarkStart w:id="805" w:name="_Toc481569020"/>
      <w:bookmarkEnd w:id="805"/>
      <w:bookmarkStart w:id="806" w:name="_Toc485023871"/>
      <w:bookmarkEnd w:id="806"/>
      <w:bookmarkStart w:id="807" w:name="_Toc481568907"/>
      <w:bookmarkEnd w:id="807"/>
      <w:bookmarkStart w:id="808" w:name="_Toc417327246"/>
      <w:bookmarkEnd w:id="808"/>
      <w:bookmarkStart w:id="809" w:name="_Toc481572856"/>
      <w:bookmarkEnd w:id="809"/>
      <w:bookmarkStart w:id="810" w:name="_Toc485021759"/>
      <w:bookmarkEnd w:id="810"/>
      <w:bookmarkStart w:id="811" w:name="_Toc485023979"/>
      <w:bookmarkEnd w:id="811"/>
      <w:bookmarkStart w:id="812" w:name="_Toc481572438"/>
      <w:bookmarkEnd w:id="812"/>
      <w:bookmarkStart w:id="813" w:name="_Toc485024295"/>
      <w:bookmarkEnd w:id="813"/>
      <w:bookmarkStart w:id="814" w:name="_Toc462071142"/>
      <w:bookmarkEnd w:id="814"/>
      <w:bookmarkStart w:id="815" w:name="_Toc485023739"/>
      <w:bookmarkEnd w:id="815"/>
      <w:bookmarkStart w:id="816" w:name="_Toc481501817"/>
      <w:bookmarkEnd w:id="816"/>
      <w:bookmarkStart w:id="817" w:name="_Toc481572392"/>
      <w:bookmarkEnd w:id="817"/>
      <w:bookmarkStart w:id="818" w:name="_Toc481571993"/>
      <w:bookmarkEnd w:id="818"/>
      <w:bookmarkStart w:id="819" w:name="_Toc485024260"/>
      <w:bookmarkEnd w:id="819"/>
      <w:bookmarkStart w:id="820" w:name="_Toc481566463"/>
      <w:bookmarkEnd w:id="820"/>
      <w:bookmarkStart w:id="821" w:name="_Toc417815083"/>
      <w:bookmarkEnd w:id="821"/>
      <w:bookmarkStart w:id="822" w:name="_Toc484792440"/>
      <w:bookmarkEnd w:id="822"/>
      <w:bookmarkStart w:id="823" w:name="_Toc417632653"/>
      <w:bookmarkEnd w:id="823"/>
      <w:bookmarkStart w:id="824" w:name="_Toc485023783"/>
      <w:bookmarkEnd w:id="824"/>
      <w:bookmarkStart w:id="825" w:name="_Toc417818814"/>
      <w:bookmarkEnd w:id="825"/>
      <w:bookmarkStart w:id="826" w:name="_Toc481572624"/>
      <w:bookmarkEnd w:id="826"/>
      <w:bookmarkStart w:id="827" w:name="_Toc417513856"/>
      <w:bookmarkEnd w:id="827"/>
      <w:bookmarkStart w:id="828" w:name="_Toc481566429"/>
      <w:bookmarkEnd w:id="828"/>
      <w:bookmarkStart w:id="829" w:name="_Toc484792639"/>
      <w:bookmarkEnd w:id="829"/>
      <w:bookmarkStart w:id="830" w:name="_Toc484792513"/>
      <w:bookmarkEnd w:id="830"/>
      <w:bookmarkStart w:id="831" w:name="_Toc485022619"/>
      <w:bookmarkEnd w:id="831"/>
      <w:bookmarkStart w:id="832" w:name="_Toc481572523"/>
      <w:bookmarkEnd w:id="832"/>
      <w:bookmarkStart w:id="833" w:name="_Toc417637252"/>
      <w:bookmarkEnd w:id="833"/>
      <w:bookmarkStart w:id="834" w:name="_Toc485023936"/>
      <w:bookmarkEnd w:id="834"/>
      <w:bookmarkStart w:id="835" w:name="_Toc485024314"/>
      <w:bookmarkEnd w:id="835"/>
      <w:bookmarkStart w:id="836" w:name="_Toc481572329"/>
      <w:bookmarkEnd w:id="836"/>
      <w:bookmarkStart w:id="837" w:name="_Toc481572039"/>
      <w:bookmarkEnd w:id="837"/>
      <w:bookmarkStart w:id="838" w:name="_Toc481569078"/>
      <w:bookmarkEnd w:id="838"/>
      <w:bookmarkStart w:id="839" w:name="_Toc417814889"/>
      <w:bookmarkEnd w:id="839"/>
      <w:bookmarkStart w:id="840" w:name="_Toc485022703"/>
      <w:bookmarkEnd w:id="840"/>
      <w:bookmarkStart w:id="841" w:name="_Toc481573556"/>
      <w:bookmarkEnd w:id="841"/>
      <w:bookmarkStart w:id="842" w:name="_Toc481566427"/>
      <w:bookmarkEnd w:id="842"/>
      <w:bookmarkStart w:id="843" w:name="_Toc481573615"/>
      <w:bookmarkEnd w:id="843"/>
      <w:bookmarkStart w:id="844" w:name="_Toc484792428"/>
      <w:bookmarkEnd w:id="844"/>
      <w:bookmarkStart w:id="845" w:name="_Toc481573204"/>
      <w:bookmarkEnd w:id="845"/>
      <w:bookmarkStart w:id="846" w:name="_Toc485022055"/>
      <w:bookmarkEnd w:id="846"/>
      <w:bookmarkStart w:id="847" w:name="_Toc485022486"/>
      <w:bookmarkEnd w:id="847"/>
      <w:bookmarkStart w:id="848" w:name="_Toc481571973"/>
      <w:bookmarkEnd w:id="848"/>
      <w:bookmarkStart w:id="849" w:name="_Toc481572200"/>
      <w:bookmarkEnd w:id="849"/>
      <w:bookmarkStart w:id="850" w:name="_Toc481573203"/>
      <w:bookmarkEnd w:id="850"/>
      <w:bookmarkStart w:id="851" w:name="_Toc481573490"/>
      <w:bookmarkEnd w:id="851"/>
      <w:bookmarkStart w:id="852" w:name="_Toc485022466"/>
      <w:bookmarkEnd w:id="852"/>
      <w:bookmarkStart w:id="853" w:name="_Toc485024226"/>
      <w:bookmarkEnd w:id="853"/>
      <w:bookmarkStart w:id="854" w:name="_Toc485022667"/>
      <w:bookmarkEnd w:id="854"/>
      <w:bookmarkStart w:id="855" w:name="_Toc485023895"/>
      <w:bookmarkEnd w:id="855"/>
      <w:bookmarkStart w:id="856" w:name="_Toc484792749"/>
      <w:bookmarkEnd w:id="856"/>
      <w:bookmarkStart w:id="857" w:name="_Toc484792474"/>
      <w:bookmarkEnd w:id="857"/>
      <w:bookmarkStart w:id="858" w:name="_Toc481572905"/>
      <w:bookmarkEnd w:id="858"/>
      <w:bookmarkStart w:id="859" w:name="_Toc417814693"/>
      <w:bookmarkEnd w:id="859"/>
      <w:bookmarkStart w:id="860" w:name="_Toc484792439"/>
      <w:bookmarkEnd w:id="860"/>
      <w:bookmarkStart w:id="861" w:name="_Toc485021672"/>
      <w:bookmarkEnd w:id="861"/>
      <w:bookmarkStart w:id="862" w:name="_Toc485022035"/>
      <w:bookmarkEnd w:id="862"/>
      <w:bookmarkStart w:id="863" w:name="_Toc481571987"/>
      <w:bookmarkEnd w:id="863"/>
      <w:bookmarkStart w:id="864" w:name="_Toc484792512"/>
      <w:bookmarkEnd w:id="864"/>
      <w:bookmarkStart w:id="865" w:name="_Toc481566499"/>
      <w:bookmarkEnd w:id="865"/>
      <w:bookmarkStart w:id="866" w:name="_Toc481572093"/>
      <w:bookmarkEnd w:id="866"/>
      <w:bookmarkStart w:id="867" w:name="_Toc481573499"/>
      <w:bookmarkEnd w:id="867"/>
      <w:bookmarkStart w:id="868" w:name="_Toc485023310"/>
      <w:bookmarkEnd w:id="868"/>
      <w:bookmarkStart w:id="869" w:name="_Toc485024259"/>
      <w:bookmarkEnd w:id="869"/>
      <w:bookmarkStart w:id="870" w:name="_Toc485023880"/>
      <w:bookmarkEnd w:id="870"/>
      <w:bookmarkStart w:id="871" w:name="_Toc481569041"/>
      <w:bookmarkEnd w:id="871"/>
      <w:bookmarkStart w:id="872" w:name="_Toc481573321"/>
      <w:bookmarkEnd w:id="872"/>
      <w:bookmarkStart w:id="873" w:name="_Toc481566535"/>
      <w:bookmarkEnd w:id="873"/>
      <w:bookmarkStart w:id="874" w:name="_Toc481571984"/>
      <w:bookmarkEnd w:id="874"/>
      <w:bookmarkStart w:id="875" w:name="_Toc481572902"/>
      <w:bookmarkEnd w:id="875"/>
      <w:bookmarkStart w:id="876" w:name="_Toc481566366"/>
      <w:bookmarkEnd w:id="876"/>
      <w:bookmarkStart w:id="877" w:name="_Toc485022292"/>
      <w:bookmarkEnd w:id="877"/>
      <w:bookmarkStart w:id="878" w:name="_Toc485021674"/>
      <w:bookmarkEnd w:id="878"/>
      <w:bookmarkStart w:id="879" w:name="_Toc481572989"/>
      <w:bookmarkEnd w:id="879"/>
      <w:bookmarkStart w:id="880" w:name="_Toc485023765"/>
      <w:bookmarkEnd w:id="880"/>
      <w:bookmarkStart w:id="881" w:name="_Toc485022185"/>
      <w:bookmarkEnd w:id="881"/>
      <w:bookmarkStart w:id="882" w:name="_Toc485024200"/>
      <w:bookmarkEnd w:id="882"/>
      <w:bookmarkStart w:id="883" w:name="_Toc485024019"/>
      <w:bookmarkEnd w:id="883"/>
      <w:bookmarkStart w:id="884" w:name="_Toc485022727"/>
      <w:bookmarkEnd w:id="884"/>
      <w:bookmarkStart w:id="885" w:name="_Toc481569083"/>
      <w:bookmarkEnd w:id="885"/>
      <w:bookmarkStart w:id="886" w:name="_Toc417818547"/>
      <w:bookmarkEnd w:id="886"/>
      <w:bookmarkStart w:id="887" w:name="_Toc485023216"/>
      <w:bookmarkEnd w:id="887"/>
      <w:bookmarkStart w:id="888" w:name="_Toc481572021"/>
      <w:bookmarkEnd w:id="888"/>
      <w:bookmarkStart w:id="889" w:name="_Toc417814842"/>
      <w:bookmarkEnd w:id="889"/>
      <w:bookmarkStart w:id="890" w:name="_Toc417818682"/>
      <w:bookmarkEnd w:id="890"/>
      <w:bookmarkStart w:id="891" w:name="_Toc484792637"/>
      <w:bookmarkEnd w:id="891"/>
      <w:bookmarkStart w:id="892" w:name="_Toc481572487"/>
      <w:bookmarkEnd w:id="892"/>
      <w:bookmarkStart w:id="893" w:name="_Toc484792640"/>
      <w:bookmarkEnd w:id="893"/>
      <w:bookmarkStart w:id="894" w:name="_Toc485024033"/>
      <w:bookmarkEnd w:id="894"/>
      <w:bookmarkStart w:id="895" w:name="_Toc485021990"/>
      <w:bookmarkEnd w:id="895"/>
      <w:bookmarkStart w:id="896" w:name="_Toc481569021"/>
      <w:bookmarkEnd w:id="896"/>
      <w:bookmarkStart w:id="897" w:name="_Toc485021930"/>
      <w:bookmarkEnd w:id="897"/>
      <w:bookmarkStart w:id="898" w:name="_Toc485024332"/>
      <w:bookmarkEnd w:id="898"/>
      <w:bookmarkStart w:id="899" w:name="_Toc481572450"/>
      <w:bookmarkEnd w:id="899"/>
      <w:bookmarkStart w:id="900" w:name="_Toc481571986"/>
      <w:bookmarkEnd w:id="900"/>
      <w:bookmarkStart w:id="901" w:name="_Toc485022631"/>
      <w:bookmarkEnd w:id="901"/>
      <w:bookmarkStart w:id="902" w:name="_Toc481572914"/>
      <w:bookmarkEnd w:id="902"/>
      <w:bookmarkStart w:id="903" w:name="_Toc484792656"/>
      <w:bookmarkEnd w:id="903"/>
      <w:bookmarkStart w:id="904" w:name="_Toc481573223"/>
      <w:bookmarkEnd w:id="904"/>
      <w:bookmarkStart w:id="905" w:name="_Toc485023738"/>
      <w:bookmarkEnd w:id="905"/>
      <w:bookmarkStart w:id="906" w:name="_Toc485022728"/>
      <w:bookmarkEnd w:id="906"/>
      <w:bookmarkStart w:id="907" w:name="_Toc484792596"/>
      <w:bookmarkEnd w:id="907"/>
      <w:bookmarkStart w:id="908" w:name="_Toc485023808"/>
      <w:bookmarkEnd w:id="908"/>
      <w:bookmarkStart w:id="909" w:name="_Toc481571923"/>
      <w:bookmarkEnd w:id="909"/>
      <w:bookmarkStart w:id="910" w:name="_Toc485021636"/>
      <w:bookmarkEnd w:id="910"/>
      <w:bookmarkStart w:id="911" w:name="_Toc481566412"/>
      <w:bookmarkEnd w:id="911"/>
      <w:bookmarkStart w:id="912" w:name="_Toc481572095"/>
      <w:bookmarkEnd w:id="912"/>
      <w:bookmarkStart w:id="913" w:name="_Toc481568952"/>
      <w:bookmarkEnd w:id="913"/>
      <w:bookmarkStart w:id="914" w:name="_Toc481573371"/>
      <w:bookmarkEnd w:id="914"/>
      <w:bookmarkStart w:id="915" w:name="_Toc485021969"/>
      <w:bookmarkEnd w:id="915"/>
      <w:bookmarkStart w:id="916" w:name="_Toc484792654"/>
      <w:bookmarkEnd w:id="916"/>
      <w:bookmarkStart w:id="917" w:name="_Toc481571926"/>
      <w:bookmarkEnd w:id="917"/>
      <w:bookmarkStart w:id="918" w:name="_Toc481571983"/>
      <w:bookmarkEnd w:id="918"/>
      <w:bookmarkStart w:id="919" w:name="_Toc481573670"/>
      <w:bookmarkEnd w:id="919"/>
      <w:bookmarkStart w:id="920" w:name="_Toc481502260"/>
      <w:bookmarkEnd w:id="920"/>
      <w:bookmarkStart w:id="921" w:name="_Toc481572448"/>
      <w:bookmarkEnd w:id="921"/>
      <w:bookmarkStart w:id="922" w:name="_Toc485023295"/>
      <w:bookmarkEnd w:id="922"/>
      <w:bookmarkStart w:id="923" w:name="_Toc481572918"/>
      <w:bookmarkEnd w:id="923"/>
      <w:bookmarkStart w:id="924" w:name="_Toc481572217"/>
      <w:bookmarkEnd w:id="924"/>
      <w:bookmarkStart w:id="925" w:name="_Toc485021687"/>
      <w:bookmarkEnd w:id="925"/>
      <w:bookmarkStart w:id="926" w:name="_Toc485022570"/>
      <w:bookmarkEnd w:id="926"/>
      <w:bookmarkStart w:id="927" w:name="_Toc481569037"/>
      <w:bookmarkEnd w:id="927"/>
      <w:bookmarkStart w:id="928" w:name="_Toc484792427"/>
      <w:bookmarkEnd w:id="928"/>
      <w:bookmarkStart w:id="929" w:name="_Toc417637183"/>
      <w:bookmarkEnd w:id="929"/>
      <w:bookmarkStart w:id="930" w:name="_Toc417401593"/>
      <w:bookmarkEnd w:id="930"/>
      <w:bookmarkStart w:id="931" w:name="_Toc485023212"/>
      <w:bookmarkEnd w:id="931"/>
      <w:bookmarkStart w:id="932" w:name="_Toc481566413"/>
      <w:bookmarkEnd w:id="932"/>
      <w:bookmarkStart w:id="933" w:name="_Toc481573554"/>
      <w:bookmarkEnd w:id="933"/>
      <w:bookmarkStart w:id="934" w:name="_Toc485023251"/>
      <w:bookmarkEnd w:id="934"/>
      <w:bookmarkStart w:id="935" w:name="_Toc481573716"/>
      <w:bookmarkEnd w:id="935"/>
      <w:bookmarkStart w:id="936" w:name="_Toc485024296"/>
      <w:bookmarkEnd w:id="936"/>
      <w:bookmarkStart w:id="937" w:name="_Toc481572092"/>
      <w:bookmarkEnd w:id="937"/>
      <w:bookmarkStart w:id="938" w:name="_Toc481572954"/>
      <w:bookmarkEnd w:id="938"/>
      <w:bookmarkStart w:id="939" w:name="_Toc481572055"/>
      <w:bookmarkEnd w:id="939"/>
      <w:bookmarkStart w:id="940" w:name="_Toc481572784"/>
      <w:bookmarkEnd w:id="940"/>
      <w:bookmarkStart w:id="941" w:name="_Toc485024297"/>
      <w:bookmarkEnd w:id="941"/>
      <w:bookmarkStart w:id="942" w:name="_Toc485023254"/>
      <w:bookmarkEnd w:id="942"/>
      <w:bookmarkStart w:id="943" w:name="_Toc417513247"/>
      <w:bookmarkEnd w:id="943"/>
      <w:bookmarkStart w:id="944" w:name="_Toc481572865"/>
      <w:bookmarkEnd w:id="944"/>
      <w:bookmarkStart w:id="945" w:name="_Toc485024225"/>
      <w:bookmarkEnd w:id="945"/>
      <w:bookmarkStart w:id="946" w:name="_Toc481572094"/>
      <w:bookmarkEnd w:id="946"/>
      <w:bookmarkStart w:id="947" w:name="_Toc417637350"/>
      <w:bookmarkEnd w:id="947"/>
      <w:bookmarkStart w:id="948" w:name="_Toc485022412"/>
      <w:bookmarkEnd w:id="948"/>
      <w:bookmarkStart w:id="949" w:name="_Toc481568953"/>
      <w:bookmarkEnd w:id="949"/>
      <w:bookmarkStart w:id="950" w:name="_Toc484792380"/>
      <w:bookmarkEnd w:id="950"/>
      <w:bookmarkStart w:id="951" w:name="_Toc485024068"/>
      <w:bookmarkEnd w:id="951"/>
      <w:bookmarkStart w:id="952" w:name="_Toc485024142"/>
      <w:bookmarkEnd w:id="952"/>
      <w:bookmarkStart w:id="953" w:name="_Toc481566536"/>
      <w:bookmarkEnd w:id="953"/>
      <w:bookmarkStart w:id="954" w:name="_Toc484792441"/>
      <w:bookmarkEnd w:id="954"/>
      <w:bookmarkStart w:id="955" w:name="_Toc481573653"/>
      <w:bookmarkEnd w:id="955"/>
      <w:bookmarkStart w:id="956" w:name="_Toc485023200"/>
      <w:bookmarkEnd w:id="956"/>
      <w:bookmarkStart w:id="957" w:name="_Toc481501836"/>
      <w:bookmarkEnd w:id="957"/>
      <w:bookmarkStart w:id="958" w:name="_Toc485023162"/>
      <w:bookmarkEnd w:id="958"/>
      <w:bookmarkStart w:id="959" w:name="_Toc417637340"/>
      <w:bookmarkEnd w:id="959"/>
      <w:bookmarkStart w:id="960" w:name="_Toc481568949"/>
      <w:bookmarkEnd w:id="960"/>
      <w:bookmarkStart w:id="961" w:name="_Toc417815086"/>
      <w:bookmarkEnd w:id="961"/>
      <w:bookmarkStart w:id="962" w:name="_Toc485023766"/>
      <w:bookmarkEnd w:id="962"/>
      <w:bookmarkStart w:id="963" w:name="_Toc485022197"/>
      <w:bookmarkEnd w:id="963"/>
      <w:bookmarkStart w:id="964" w:name="_Toc485023747"/>
      <w:bookmarkEnd w:id="964"/>
      <w:bookmarkStart w:id="965" w:name="_Toc485021722"/>
      <w:bookmarkEnd w:id="965"/>
      <w:bookmarkStart w:id="966" w:name="_Toc485023762"/>
      <w:bookmarkEnd w:id="966"/>
      <w:bookmarkStart w:id="967" w:name="_Toc484792534"/>
      <w:bookmarkEnd w:id="967"/>
      <w:bookmarkStart w:id="968" w:name="_Toc485021981"/>
      <w:bookmarkEnd w:id="968"/>
      <w:bookmarkStart w:id="969" w:name="_Toc484792689"/>
      <w:bookmarkEnd w:id="969"/>
      <w:bookmarkStart w:id="970" w:name="_Toc485022628"/>
      <w:bookmarkEnd w:id="970"/>
      <w:bookmarkStart w:id="971" w:name="_Toc485022670"/>
      <w:bookmarkEnd w:id="971"/>
      <w:bookmarkStart w:id="972" w:name="_Toc481573259"/>
      <w:bookmarkEnd w:id="972"/>
      <w:bookmarkStart w:id="973" w:name="_Toc485022136"/>
      <w:bookmarkEnd w:id="973"/>
      <w:bookmarkStart w:id="974" w:name="_Toc481566411"/>
      <w:bookmarkEnd w:id="974"/>
      <w:bookmarkStart w:id="975" w:name="_Toc481573437"/>
      <w:bookmarkEnd w:id="975"/>
      <w:bookmarkStart w:id="976" w:name="_Toc485021760"/>
      <w:bookmarkEnd w:id="976"/>
      <w:bookmarkStart w:id="977" w:name="_Toc481572459"/>
      <w:bookmarkEnd w:id="977"/>
      <w:bookmarkStart w:id="978" w:name="_Toc481572559"/>
      <w:bookmarkEnd w:id="978"/>
      <w:bookmarkStart w:id="979" w:name="_Toc481571933"/>
      <w:bookmarkEnd w:id="979"/>
      <w:bookmarkStart w:id="980" w:name="_Toc417637387"/>
      <w:bookmarkEnd w:id="980"/>
      <w:bookmarkStart w:id="981" w:name="_Toc481573495"/>
      <w:bookmarkEnd w:id="981"/>
      <w:bookmarkStart w:id="982" w:name="_Toc417815085"/>
      <w:bookmarkEnd w:id="982"/>
      <w:bookmarkStart w:id="983" w:name="_Toc485024331"/>
      <w:bookmarkEnd w:id="983"/>
      <w:bookmarkStart w:id="984" w:name="_Toc485022599"/>
      <w:bookmarkEnd w:id="984"/>
      <w:bookmarkStart w:id="985" w:name="_Toc485022509"/>
      <w:bookmarkEnd w:id="985"/>
      <w:bookmarkStart w:id="986" w:name="_Toc481566563"/>
      <w:bookmarkEnd w:id="986"/>
      <w:bookmarkStart w:id="987" w:name="_Toc485024105"/>
      <w:bookmarkEnd w:id="987"/>
      <w:bookmarkStart w:id="988" w:name="_Toc417632688"/>
      <w:bookmarkEnd w:id="988"/>
      <w:bookmarkStart w:id="989" w:name="_Toc481573149"/>
      <w:bookmarkEnd w:id="989"/>
      <w:bookmarkStart w:id="990" w:name="_Toc485021983"/>
      <w:bookmarkEnd w:id="990"/>
      <w:bookmarkStart w:id="991" w:name="_Toc481566501"/>
      <w:bookmarkEnd w:id="991"/>
      <w:bookmarkStart w:id="992" w:name="_Toc481572288"/>
      <w:bookmarkEnd w:id="992"/>
      <w:bookmarkStart w:id="993" w:name="_Toc485023994"/>
      <w:bookmarkEnd w:id="993"/>
      <w:bookmarkStart w:id="994" w:name="_Toc481573033"/>
      <w:bookmarkEnd w:id="994"/>
      <w:bookmarkStart w:id="995" w:name="_Toc417818902"/>
      <w:bookmarkEnd w:id="995"/>
      <w:bookmarkStart w:id="996" w:name="_Toc485022665"/>
      <w:bookmarkEnd w:id="996"/>
      <w:bookmarkStart w:id="997" w:name="_Toc417637164"/>
      <w:bookmarkEnd w:id="997"/>
      <w:bookmarkStart w:id="998" w:name="_Toc485023302"/>
      <w:bookmarkEnd w:id="998"/>
      <w:bookmarkStart w:id="999" w:name="_Toc485024262"/>
      <w:bookmarkEnd w:id="999"/>
      <w:bookmarkStart w:id="1000" w:name="_Toc481571982"/>
      <w:bookmarkEnd w:id="1000"/>
      <w:bookmarkStart w:id="1001" w:name="_Toc481572681"/>
      <w:bookmarkEnd w:id="1001"/>
      <w:bookmarkStart w:id="1002" w:name="_Toc417818980"/>
      <w:bookmarkEnd w:id="1002"/>
      <w:bookmarkStart w:id="1003" w:name="_Toc485023764"/>
      <w:bookmarkEnd w:id="1003"/>
      <w:bookmarkStart w:id="1004" w:name="_Toc485022355"/>
      <w:bookmarkEnd w:id="1004"/>
      <w:bookmarkStart w:id="1005" w:name="_Toc481572646"/>
      <w:bookmarkEnd w:id="1005"/>
      <w:bookmarkStart w:id="1006" w:name="_Toc417632572"/>
      <w:bookmarkEnd w:id="1006"/>
      <w:bookmarkStart w:id="1007" w:name="_Toc481572120"/>
      <w:bookmarkEnd w:id="1007"/>
      <w:bookmarkStart w:id="1008" w:name="_Toc485023746"/>
      <w:bookmarkEnd w:id="1008"/>
      <w:bookmarkStart w:id="1009" w:name="_Toc485023250"/>
      <w:bookmarkEnd w:id="1009"/>
      <w:bookmarkStart w:id="1010" w:name="_Toc484792442"/>
      <w:bookmarkEnd w:id="1010"/>
      <w:bookmarkStart w:id="1011" w:name="_Toc485022085"/>
      <w:bookmarkEnd w:id="1011"/>
      <w:bookmarkStart w:id="1012" w:name="_Toc481573385"/>
      <w:bookmarkEnd w:id="1012"/>
      <w:bookmarkStart w:id="1013" w:name="_Toc485022718"/>
      <w:bookmarkEnd w:id="1013"/>
      <w:bookmarkStart w:id="1014" w:name="_Toc462231845"/>
      <w:bookmarkEnd w:id="1014"/>
      <w:bookmarkStart w:id="1015" w:name="_Toc481573024"/>
      <w:bookmarkEnd w:id="1015"/>
      <w:bookmarkStart w:id="1016" w:name="_Toc481573483"/>
      <w:bookmarkEnd w:id="1016"/>
      <w:bookmarkStart w:id="1017" w:name="_Toc485023337"/>
      <w:bookmarkEnd w:id="1017"/>
      <w:bookmarkStart w:id="1018" w:name="_Toc481572670"/>
      <w:bookmarkEnd w:id="1018"/>
      <w:bookmarkStart w:id="1019" w:name="_Toc485024086"/>
      <w:bookmarkEnd w:id="1019"/>
      <w:bookmarkStart w:id="1020" w:name="_Toc485023834"/>
      <w:bookmarkEnd w:id="1020"/>
      <w:bookmarkStart w:id="1021" w:name="_Toc485022632"/>
      <w:bookmarkEnd w:id="1021"/>
      <w:bookmarkStart w:id="1022" w:name="_Toc417814640"/>
      <w:bookmarkEnd w:id="1022"/>
      <w:bookmarkStart w:id="1023" w:name="_Toc485022485"/>
      <w:bookmarkEnd w:id="1023"/>
      <w:bookmarkStart w:id="1024" w:name="_Toc481572271"/>
      <w:bookmarkEnd w:id="1024"/>
      <w:bookmarkStart w:id="1025" w:name="_Toc485022597"/>
      <w:bookmarkEnd w:id="1025"/>
      <w:bookmarkStart w:id="1026" w:name="_Toc485023285"/>
      <w:bookmarkEnd w:id="1026"/>
      <w:bookmarkStart w:id="1027" w:name="_Toc481572754"/>
      <w:bookmarkEnd w:id="1027"/>
      <w:bookmarkStart w:id="1028" w:name="_Toc485022376"/>
      <w:bookmarkEnd w:id="1028"/>
      <w:bookmarkStart w:id="1029" w:name="_Toc485023897"/>
      <w:bookmarkEnd w:id="1029"/>
      <w:bookmarkStart w:id="1030" w:name="_Toc417815164"/>
      <w:bookmarkEnd w:id="1030"/>
      <w:bookmarkStart w:id="1031" w:name="_Toc481572757"/>
      <w:bookmarkEnd w:id="1031"/>
      <w:bookmarkStart w:id="1032" w:name="_Toc481572180"/>
      <w:bookmarkEnd w:id="1032"/>
      <w:bookmarkStart w:id="1033" w:name="_Toc481573687"/>
      <w:bookmarkEnd w:id="1033"/>
      <w:bookmarkStart w:id="1034" w:name="_Toc481568908"/>
      <w:bookmarkEnd w:id="1034"/>
      <w:bookmarkStart w:id="1035" w:name="_Toc485022415"/>
      <w:bookmarkEnd w:id="1035"/>
      <w:bookmarkStart w:id="1036" w:name="_Toc484792539"/>
      <w:bookmarkEnd w:id="1036"/>
      <w:bookmarkStart w:id="1037" w:name="_Toc481573136"/>
      <w:bookmarkEnd w:id="1037"/>
      <w:bookmarkStart w:id="1038" w:name="_Toc485022683"/>
      <w:bookmarkEnd w:id="1038"/>
      <w:bookmarkStart w:id="1039" w:name="_Toc485023769"/>
      <w:bookmarkEnd w:id="1039"/>
      <w:bookmarkStart w:id="1040" w:name="_Toc485022181"/>
      <w:bookmarkEnd w:id="1040"/>
      <w:bookmarkStart w:id="1041" w:name="_Toc481573688"/>
      <w:bookmarkEnd w:id="1041"/>
      <w:bookmarkStart w:id="1042" w:name="_Toc481566528"/>
      <w:bookmarkEnd w:id="1042"/>
      <w:bookmarkStart w:id="1043" w:name="_Toc481572901"/>
      <w:bookmarkEnd w:id="1043"/>
      <w:bookmarkStart w:id="1044" w:name="_Toc481572085"/>
      <w:bookmarkEnd w:id="1044"/>
      <w:bookmarkStart w:id="1045" w:name="_Toc485024146"/>
      <w:bookmarkEnd w:id="1045"/>
      <w:bookmarkStart w:id="1046" w:name="_Toc485023799"/>
      <w:bookmarkEnd w:id="1046"/>
      <w:bookmarkStart w:id="1047" w:name="_Toc485021922"/>
      <w:bookmarkEnd w:id="1047"/>
      <w:bookmarkStart w:id="1048" w:name="_Toc417818694"/>
      <w:bookmarkEnd w:id="1048"/>
      <w:bookmarkStart w:id="1049" w:name="_Toc485022508"/>
      <w:bookmarkEnd w:id="1049"/>
      <w:bookmarkStart w:id="1050" w:name="_Toc484792388"/>
      <w:bookmarkEnd w:id="1050"/>
      <w:bookmarkStart w:id="1051" w:name="_Toc481573768"/>
      <w:bookmarkEnd w:id="1051"/>
      <w:bookmarkStart w:id="1052" w:name="_Toc417513449"/>
      <w:bookmarkEnd w:id="1052"/>
      <w:bookmarkStart w:id="1053" w:name="_Toc417818575"/>
      <w:bookmarkEnd w:id="1053"/>
      <w:bookmarkStart w:id="1054" w:name="_Toc485023786"/>
      <w:bookmarkEnd w:id="1054"/>
      <w:bookmarkStart w:id="1055" w:name="_Toc481569102"/>
      <w:bookmarkEnd w:id="1055"/>
      <w:bookmarkStart w:id="1056" w:name="_Toc485023788"/>
      <w:bookmarkEnd w:id="1056"/>
      <w:bookmarkStart w:id="1057" w:name="_Toc485022702"/>
      <w:bookmarkEnd w:id="1057"/>
      <w:bookmarkStart w:id="1058" w:name="_Toc485022267"/>
      <w:bookmarkEnd w:id="1058"/>
      <w:bookmarkStart w:id="1059" w:name="_Toc481572253"/>
      <w:bookmarkEnd w:id="1059"/>
      <w:bookmarkStart w:id="1060" w:name="_Toc417818921"/>
      <w:bookmarkEnd w:id="1060"/>
      <w:bookmarkStart w:id="1061" w:name="_Toc481572058"/>
      <w:bookmarkEnd w:id="1061"/>
      <w:bookmarkStart w:id="1062" w:name="_Toc481573598"/>
      <w:bookmarkEnd w:id="1062"/>
      <w:bookmarkStart w:id="1063" w:name="_Toc485022183"/>
      <w:bookmarkEnd w:id="1063"/>
      <w:bookmarkStart w:id="1064" w:name="_Toc481568968"/>
      <w:bookmarkEnd w:id="1064"/>
      <w:bookmarkStart w:id="1065" w:name="_Toc484792509"/>
      <w:bookmarkEnd w:id="1065"/>
      <w:bookmarkStart w:id="1066" w:name="_Toc481573690"/>
      <w:bookmarkEnd w:id="1066"/>
      <w:bookmarkStart w:id="1067" w:name="_Toc417514049"/>
      <w:bookmarkEnd w:id="1067"/>
      <w:bookmarkStart w:id="1068" w:name="_Toc481572218"/>
      <w:bookmarkEnd w:id="1068"/>
      <w:bookmarkStart w:id="1069" w:name="_Toc481573618"/>
      <w:bookmarkEnd w:id="1069"/>
      <w:bookmarkStart w:id="1070" w:name="_Toc417819054"/>
      <w:bookmarkEnd w:id="1070"/>
      <w:bookmarkStart w:id="1071" w:name="_Toc485024020"/>
      <w:bookmarkEnd w:id="1071"/>
      <w:bookmarkStart w:id="1072" w:name="_Toc481571968"/>
      <w:bookmarkEnd w:id="1072"/>
      <w:bookmarkStart w:id="1073" w:name="_Toc481572291"/>
      <w:bookmarkEnd w:id="1073"/>
      <w:bookmarkStart w:id="1074" w:name="_Toc485023771"/>
      <w:bookmarkEnd w:id="1074"/>
      <w:bookmarkStart w:id="1075" w:name="_Toc481572682"/>
      <w:bookmarkEnd w:id="1075"/>
      <w:bookmarkStart w:id="1076" w:name="_Toc485022270"/>
      <w:bookmarkEnd w:id="1076"/>
      <w:bookmarkStart w:id="1077" w:name="_Toc485024015"/>
      <w:bookmarkEnd w:id="1077"/>
      <w:bookmarkStart w:id="1078" w:name="_Toc481573535"/>
      <w:bookmarkEnd w:id="1078"/>
      <w:bookmarkStart w:id="1079" w:name="_Toc485022711"/>
      <w:bookmarkEnd w:id="1079"/>
      <w:bookmarkStart w:id="1080" w:name="_Toc481573365"/>
      <w:bookmarkEnd w:id="1080"/>
      <w:bookmarkStart w:id="1081" w:name="_Toc485021980"/>
      <w:bookmarkEnd w:id="1081"/>
      <w:bookmarkStart w:id="1082" w:name="_Toc481572290"/>
      <w:bookmarkEnd w:id="1082"/>
      <w:bookmarkStart w:id="1083" w:name="_Toc485023787"/>
      <w:bookmarkEnd w:id="1083"/>
      <w:bookmarkStart w:id="1084" w:name="_Toc481572987"/>
      <w:bookmarkEnd w:id="1084"/>
      <w:bookmarkStart w:id="1085" w:name="_Toc481572603"/>
      <w:bookmarkEnd w:id="1085"/>
      <w:bookmarkStart w:id="1086" w:name="_Toc485024067"/>
      <w:bookmarkEnd w:id="1086"/>
      <w:bookmarkStart w:id="1087" w:name="_Toc485024330"/>
      <w:bookmarkEnd w:id="1087"/>
      <w:bookmarkStart w:id="1088" w:name="_Toc485021689"/>
      <w:bookmarkEnd w:id="1088"/>
      <w:bookmarkStart w:id="1089" w:name="_Toc481572686"/>
      <w:bookmarkEnd w:id="1089"/>
      <w:bookmarkStart w:id="1090" w:name="_Toc417814977"/>
      <w:bookmarkEnd w:id="1090"/>
      <w:bookmarkStart w:id="1091" w:name="_Toc481573563"/>
      <w:bookmarkEnd w:id="1091"/>
      <w:bookmarkStart w:id="1092" w:name="_Toc485022629"/>
      <w:bookmarkEnd w:id="1092"/>
      <w:bookmarkStart w:id="1093" w:name="_Toc485024198"/>
      <w:bookmarkEnd w:id="1093"/>
      <w:bookmarkStart w:id="1094" w:name="_Toc417814747"/>
      <w:bookmarkEnd w:id="1094"/>
      <w:bookmarkStart w:id="1095" w:name="_Toc481573190"/>
      <w:bookmarkEnd w:id="1095"/>
      <w:bookmarkStart w:id="1096" w:name="_Toc481569040"/>
      <w:bookmarkEnd w:id="1096"/>
      <w:bookmarkStart w:id="1097" w:name="_Toc485024072"/>
      <w:bookmarkEnd w:id="1097"/>
      <w:bookmarkStart w:id="1098" w:name="_Toc485022051"/>
      <w:bookmarkEnd w:id="1098"/>
      <w:bookmarkStart w:id="1099" w:name="_Toc417814917"/>
      <w:bookmarkEnd w:id="1099"/>
      <w:bookmarkStart w:id="1100" w:name="_Toc481573368"/>
      <w:bookmarkEnd w:id="1100"/>
      <w:bookmarkStart w:id="1101" w:name="_Toc481573457"/>
      <w:bookmarkEnd w:id="1101"/>
      <w:bookmarkStart w:id="1102" w:name="_Toc485021758"/>
      <w:bookmarkEnd w:id="1102"/>
      <w:bookmarkStart w:id="1103" w:name="_Toc481502133"/>
      <w:bookmarkEnd w:id="1103"/>
      <w:bookmarkStart w:id="1104" w:name="_Toc481573624"/>
      <w:bookmarkEnd w:id="1104"/>
      <w:bookmarkStart w:id="1105" w:name="_Toc485021791"/>
      <w:bookmarkEnd w:id="1105"/>
      <w:bookmarkStart w:id="1106" w:name="_Toc481502430"/>
      <w:bookmarkEnd w:id="1106"/>
      <w:bookmarkStart w:id="1107" w:name="_Toc485024394"/>
      <w:bookmarkEnd w:id="1107"/>
      <w:bookmarkStart w:id="1108" w:name="_Toc481571969"/>
      <w:bookmarkEnd w:id="1108"/>
      <w:bookmarkStart w:id="1109" w:name="_Toc481568955"/>
      <w:bookmarkEnd w:id="1109"/>
      <w:bookmarkStart w:id="1110" w:name="_Toc485022684"/>
      <w:bookmarkEnd w:id="1110"/>
      <w:bookmarkStart w:id="1111" w:name="_Toc417818635"/>
      <w:bookmarkEnd w:id="1111"/>
      <w:bookmarkStart w:id="1112" w:name="_Toc484792543"/>
      <w:bookmarkEnd w:id="1112"/>
      <w:bookmarkStart w:id="1113" w:name="_Toc485022180"/>
      <w:bookmarkEnd w:id="1113"/>
      <w:bookmarkStart w:id="1114" w:name="_Toc485022510"/>
      <w:bookmarkEnd w:id="1114"/>
      <w:bookmarkStart w:id="1115" w:name="_Toc481572719"/>
      <w:bookmarkEnd w:id="1115"/>
      <w:bookmarkStart w:id="1116" w:name="_Toc481572970"/>
      <w:bookmarkEnd w:id="1116"/>
      <w:bookmarkStart w:id="1117" w:name="_Toc481572919"/>
      <w:bookmarkEnd w:id="1117"/>
      <w:bookmarkStart w:id="1118" w:name="_Toc485022196"/>
      <w:bookmarkEnd w:id="1118"/>
      <w:bookmarkStart w:id="1119" w:name="_Toc481573089"/>
      <w:bookmarkEnd w:id="1119"/>
      <w:bookmarkStart w:id="1120" w:name="_Toc485022568"/>
      <w:bookmarkEnd w:id="1120"/>
      <w:bookmarkStart w:id="1121" w:name="_Toc481573258"/>
      <w:bookmarkEnd w:id="1121"/>
      <w:bookmarkStart w:id="1122" w:name="_Toc481566537"/>
      <w:bookmarkEnd w:id="1122"/>
      <w:bookmarkStart w:id="1123" w:name="_Toc417637368"/>
      <w:bookmarkEnd w:id="1123"/>
      <w:bookmarkStart w:id="1124" w:name="_Toc481572272"/>
      <w:bookmarkEnd w:id="1124"/>
      <w:bookmarkStart w:id="1125" w:name="_Toc485022725"/>
      <w:bookmarkEnd w:id="1125"/>
      <w:bookmarkStart w:id="1126" w:name="_Toc485023996"/>
      <w:bookmarkEnd w:id="1126"/>
      <w:bookmarkStart w:id="1127" w:name="_Toc485023284"/>
      <w:bookmarkEnd w:id="1127"/>
      <w:bookmarkStart w:id="1128" w:name="_Toc481573652"/>
      <w:bookmarkEnd w:id="1128"/>
      <w:bookmarkStart w:id="1129" w:name="_Toc481572292"/>
      <w:bookmarkEnd w:id="1129"/>
      <w:bookmarkStart w:id="1130" w:name="_Toc485021727"/>
      <w:bookmarkEnd w:id="1130"/>
      <w:bookmarkStart w:id="1131" w:name="_Toc481573148"/>
      <w:bookmarkEnd w:id="1131"/>
      <w:bookmarkStart w:id="1132" w:name="_Toc481573603"/>
      <w:bookmarkEnd w:id="1132"/>
      <w:bookmarkStart w:id="1133" w:name="_Toc417514018"/>
      <w:bookmarkEnd w:id="1133"/>
      <w:bookmarkStart w:id="1134" w:name="_Toc481568905"/>
      <w:bookmarkEnd w:id="1134"/>
      <w:bookmarkStart w:id="1135" w:name="_Toc481501751"/>
      <w:bookmarkEnd w:id="1135"/>
      <w:bookmarkStart w:id="1136" w:name="_Toc485023309"/>
      <w:bookmarkEnd w:id="1136"/>
      <w:r>
        <w:rPr>
          <w:rFonts w:hint="eastAsia" w:ascii="宋体" w:hAnsi="宋体"/>
          <w:b/>
          <w:bCs/>
          <w:szCs w:val="21"/>
        </w:rPr>
        <w:t>说明：</w:t>
      </w:r>
    </w:p>
    <w:p>
      <w:pPr>
        <w:spacing w:line="360" w:lineRule="auto"/>
        <w:ind w:firstLine="440" w:firstLineChars="200"/>
        <w:rPr>
          <w:rFonts w:ascii="微软雅黑" w:hAnsi="微软雅黑" w:cs="微软雅黑"/>
          <w:b/>
          <w:bCs/>
          <w:sz w:val="20"/>
          <w:szCs w:val="20"/>
        </w:rPr>
      </w:pPr>
      <w:r>
        <w:rPr>
          <w:rFonts w:hint="eastAsia" w:ascii="宋体" w:hAnsi="宋体"/>
          <w:b/>
          <w:bCs/>
          <w:szCs w:val="21"/>
        </w:rPr>
        <w:t>采购人需求中打“★”号条款为实质性响应条款，投标人如有任何一条负偏离则导致投标无效，打“▲”号条款为重点评审响应条款，投标人如有任何一条负偏离则影响评分。</w:t>
      </w:r>
    </w:p>
    <w:p>
      <w:pPr>
        <w:pStyle w:val="190"/>
        <w:numPr>
          <w:ilvl w:val="1"/>
          <w:numId w:val="7"/>
        </w:numPr>
        <w:spacing w:before="84" w:after="84"/>
      </w:pPr>
      <w:r>
        <w:rPr>
          <w:rFonts w:hint="eastAsia"/>
        </w:rPr>
        <w:t>项目背景</w:t>
      </w:r>
    </w:p>
    <w:p>
      <w:pPr>
        <w:pStyle w:val="190"/>
        <w:numPr>
          <w:ilvl w:val="2"/>
          <w:numId w:val="7"/>
        </w:numPr>
        <w:spacing w:before="84" w:after="84"/>
        <w:outlineLvl w:val="2"/>
        <w:rPr>
          <w:sz w:val="30"/>
          <w:szCs w:val="30"/>
        </w:rPr>
      </w:pPr>
      <w:r>
        <w:rPr>
          <w:rFonts w:hint="eastAsia"/>
          <w:sz w:val="30"/>
          <w:szCs w:val="30"/>
        </w:rPr>
        <w:t>项目名称</w:t>
      </w:r>
    </w:p>
    <w:p>
      <w:pPr>
        <w:pStyle w:val="191"/>
      </w:pPr>
      <w:r>
        <w:rPr>
          <w:rFonts w:hint="eastAsia"/>
        </w:rPr>
        <w:t>正和消保中心数字化平台建设服务采购项目</w:t>
      </w:r>
      <w:r>
        <w:rPr>
          <w:rFonts w:hint="eastAsia" w:cs="MS Gothic" w:asciiTheme="minorEastAsia" w:hAnsiTheme="minorEastAsia" w:eastAsiaTheme="minorEastAsia"/>
        </w:rPr>
        <w:t>。</w:t>
      </w:r>
    </w:p>
    <w:p>
      <w:pPr>
        <w:pStyle w:val="190"/>
        <w:numPr>
          <w:ilvl w:val="2"/>
          <w:numId w:val="7"/>
        </w:numPr>
        <w:spacing w:before="84" w:after="84"/>
        <w:outlineLvl w:val="2"/>
        <w:rPr>
          <w:sz w:val="30"/>
          <w:szCs w:val="30"/>
        </w:rPr>
      </w:pPr>
      <w:r>
        <w:rPr>
          <w:rFonts w:hint="eastAsia"/>
          <w:sz w:val="30"/>
          <w:szCs w:val="30"/>
        </w:rPr>
        <w:t>建设背景</w:t>
      </w:r>
    </w:p>
    <w:p>
      <w:pPr>
        <w:spacing w:line="380" w:lineRule="exact"/>
        <w:ind w:firstLine="400" w:firstLineChars="200"/>
        <w:jc w:val="both"/>
        <w:rPr>
          <w:rFonts w:ascii="微软雅黑" w:hAnsi="微软雅黑" w:cs="微软雅黑"/>
          <w:sz w:val="20"/>
          <w:szCs w:val="20"/>
        </w:rPr>
      </w:pPr>
      <w:r>
        <w:rPr>
          <w:rFonts w:hint="eastAsia" w:ascii="微软雅黑" w:hAnsi="微软雅黑" w:cs="微软雅黑"/>
          <w:sz w:val="20"/>
          <w:szCs w:val="20"/>
        </w:rPr>
        <w:t>从当前形势来看，疫情当下，数字技术应对外部突发事件所体现的稳定性，彰显了金融消保系统加快数字化转型的必要性。</w:t>
      </w:r>
    </w:p>
    <w:p>
      <w:pPr>
        <w:spacing w:line="380" w:lineRule="exact"/>
        <w:ind w:firstLine="400" w:firstLineChars="200"/>
        <w:jc w:val="both"/>
        <w:rPr>
          <w:rFonts w:ascii="微软雅黑" w:hAnsi="微软雅黑" w:cs="微软雅黑"/>
          <w:sz w:val="20"/>
          <w:szCs w:val="20"/>
        </w:rPr>
      </w:pPr>
      <w:r>
        <w:rPr>
          <w:rFonts w:hint="eastAsia" w:ascii="微软雅黑" w:hAnsi="微软雅黑" w:cs="微软雅黑"/>
          <w:sz w:val="20"/>
          <w:szCs w:val="20"/>
        </w:rPr>
        <w:t>从业务需求上来看，消费者层面，由于缺少共知的统一沟通渠道，无法及时将诉求传达给正和消保中心或银行保险机构，消费者诉求无法得到实时反馈；正和消保中心层面，工单流转工作繁重，线下开展人工成本高，数据汇聚难度大，人为影响因素无法避免，过程无法留痕，流转机制不够标准化，无法满足正和消保中心日常工单流转和监管要求；银行保险机构层面，工单数据类型及数量众多，且没有统一线上平台流转处理，无法及时发现问题解决问题；监管层面，则无法直观、及时、全面的了解正和消保中心诉求工单、调解工单、整体数据分析情况，无法为领导决策提供依据。</w:t>
      </w:r>
    </w:p>
    <w:p>
      <w:pPr>
        <w:spacing w:line="380" w:lineRule="exact"/>
        <w:ind w:firstLine="400" w:firstLineChars="200"/>
        <w:jc w:val="both"/>
        <w:rPr>
          <w:rFonts w:ascii="微软雅黑" w:hAnsi="微软雅黑" w:cs="微软雅黑"/>
          <w:sz w:val="20"/>
          <w:szCs w:val="20"/>
        </w:rPr>
      </w:pPr>
      <w:r>
        <w:rPr>
          <w:rFonts w:hint="eastAsia" w:ascii="微软雅黑" w:hAnsi="微软雅黑" w:cs="微软雅黑"/>
          <w:sz w:val="20"/>
          <w:szCs w:val="20"/>
        </w:rPr>
        <w:t>基于此，亟需建立打通各渠道的一体化线上消保平台，以便消费者或银行保险机构的诉求能得到更及时、快速地响应；正和消保中心通过线上处理工单，人员运营成本降低；银行保险机构通过统一的线上平台处理工单，及时发现并解决问题；监管层能直观、及时、全面的了解正和消保中心相关情况，并根据数据分析结果快速制订相关决策。该平台将围绕正和消保中心核心业务，突出对全辖银行保险机构客户投诉工作、调解工作的管理，利用现有先进的大数据分析技术和软件研发能力，构建一个高效、快捷、精准的智能化数字消保中心平台。</w:t>
      </w:r>
    </w:p>
    <w:p>
      <w:pPr>
        <w:pStyle w:val="190"/>
        <w:numPr>
          <w:ilvl w:val="2"/>
          <w:numId w:val="7"/>
        </w:numPr>
        <w:spacing w:before="84" w:after="84"/>
        <w:outlineLvl w:val="2"/>
        <w:rPr>
          <w:sz w:val="30"/>
          <w:szCs w:val="30"/>
        </w:rPr>
      </w:pPr>
      <w:r>
        <w:rPr>
          <w:rFonts w:hint="eastAsia"/>
          <w:sz w:val="30"/>
          <w:szCs w:val="30"/>
        </w:rPr>
        <w:t>建设目标</w:t>
      </w:r>
    </w:p>
    <w:p>
      <w:pPr>
        <w:spacing w:line="380" w:lineRule="exact"/>
        <w:ind w:firstLine="400" w:firstLineChars="200"/>
        <w:jc w:val="both"/>
        <w:rPr>
          <w:rFonts w:ascii="微软雅黑" w:hAnsi="微软雅黑" w:cs="微软雅黑"/>
          <w:sz w:val="20"/>
          <w:szCs w:val="20"/>
        </w:rPr>
      </w:pPr>
      <w:r>
        <w:rPr>
          <w:rFonts w:hint="eastAsia" w:ascii="微软雅黑" w:hAnsi="微软雅黑" w:cs="微软雅黑"/>
          <w:sz w:val="20"/>
          <w:szCs w:val="20"/>
        </w:rPr>
        <w:t>数字化平台项目拟对现有的正和消保中心平台进行重构和升级，利用现有先进软件技术，构建一个高效、快捷、精准的数字化消保平台，对银行保险机构客户投诉及调解工作进行线上化、无无纸化管理；利用先进的数据分析技术，提供多维度的分析数据，辅助监管决策。具体建设目标如下：</w:t>
      </w:r>
    </w:p>
    <w:p>
      <w:pPr>
        <w:spacing w:line="380" w:lineRule="exact"/>
        <w:ind w:firstLine="400" w:firstLineChars="200"/>
        <w:jc w:val="both"/>
        <w:rPr>
          <w:rFonts w:ascii="微软雅黑" w:hAnsi="微软雅黑" w:cs="微软雅黑"/>
          <w:sz w:val="20"/>
          <w:szCs w:val="20"/>
        </w:rPr>
      </w:pPr>
      <w:r>
        <w:rPr>
          <w:rFonts w:hint="eastAsia" w:ascii="微软雅黑" w:hAnsi="微软雅黑" w:cs="微软雅黑"/>
          <w:sz w:val="20"/>
          <w:szCs w:val="20"/>
        </w:rPr>
        <w:t>构建数字消保中心平台核心功能，将广东省（深圳除外）各银行和保险机构的投诉、调解相关信息进行统一归口，统一数据标准，统一管理口径，实现信息的互通和共享，并通过数据的分析与对比，实现对各银行和保险机构投诉、调解的深度分析与精准管理。</w:t>
      </w:r>
    </w:p>
    <w:p>
      <w:pPr>
        <w:spacing w:line="380" w:lineRule="exact"/>
        <w:ind w:firstLine="400" w:firstLineChars="200"/>
        <w:jc w:val="both"/>
        <w:rPr>
          <w:rFonts w:ascii="微软雅黑" w:hAnsi="微软雅黑" w:cs="微软雅黑"/>
          <w:sz w:val="20"/>
          <w:szCs w:val="20"/>
        </w:rPr>
      </w:pPr>
      <w:r>
        <w:rPr>
          <w:rFonts w:hint="eastAsia" w:ascii="微软雅黑" w:hAnsi="微软雅黑" w:cs="微软雅黑"/>
          <w:sz w:val="20"/>
          <w:szCs w:val="20"/>
        </w:rPr>
        <w:t>完善现有业务流程，逐步实现投诉、调解业务处理无纸化。</w:t>
      </w:r>
    </w:p>
    <w:p>
      <w:pPr>
        <w:spacing w:line="380" w:lineRule="exact"/>
        <w:ind w:firstLine="400" w:firstLineChars="200"/>
        <w:jc w:val="both"/>
        <w:rPr>
          <w:rFonts w:ascii="微软雅黑" w:hAnsi="微软雅黑" w:cs="微软雅黑"/>
          <w:sz w:val="20"/>
          <w:szCs w:val="20"/>
        </w:rPr>
      </w:pPr>
      <w:r>
        <w:rPr>
          <w:rFonts w:hint="eastAsia" w:ascii="微软雅黑" w:hAnsi="微软雅黑" w:cs="微软雅黑"/>
          <w:sz w:val="20"/>
          <w:szCs w:val="20"/>
        </w:rPr>
        <w:t>建立调解策略库，分享纠纷化解经验，提升正和消保中心复杂案件的办理能力。</w:t>
      </w:r>
    </w:p>
    <w:p>
      <w:pPr>
        <w:spacing w:line="380" w:lineRule="exact"/>
        <w:ind w:firstLine="400" w:firstLineChars="200"/>
        <w:jc w:val="both"/>
        <w:rPr>
          <w:rFonts w:ascii="微软雅黑" w:hAnsi="微软雅黑" w:cs="微软雅黑"/>
          <w:sz w:val="20"/>
          <w:szCs w:val="20"/>
        </w:rPr>
      </w:pPr>
      <w:r>
        <w:rPr>
          <w:rFonts w:hint="eastAsia" w:ascii="微软雅黑" w:hAnsi="微软雅黑" w:cs="微软雅黑"/>
          <w:sz w:val="20"/>
          <w:szCs w:val="20"/>
        </w:rPr>
        <w:t>整合各类投诉、调解数据，运用数据分析手段，监控银行和保险机构产品风险、消费投诉风险，为银行保险机构提供系统日常运营监测、风险预警功能；为监管部门提供运行态势监测、服务监督功能，辅助领导决策。</w:t>
      </w:r>
    </w:p>
    <w:p>
      <w:pPr>
        <w:spacing w:line="380" w:lineRule="exact"/>
        <w:ind w:firstLine="400" w:firstLineChars="200"/>
        <w:jc w:val="both"/>
        <w:rPr>
          <w:rFonts w:ascii="微软雅黑" w:hAnsi="微软雅黑" w:cs="微软雅黑"/>
          <w:sz w:val="20"/>
          <w:szCs w:val="20"/>
        </w:rPr>
      </w:pPr>
      <w:r>
        <w:rPr>
          <w:rFonts w:hint="eastAsia" w:ascii="微软雅黑" w:hAnsi="微软雅黑" w:cs="微软雅黑"/>
          <w:sz w:val="20"/>
          <w:szCs w:val="20"/>
        </w:rPr>
        <w:t>通过线上全流程办理，可大大地提升正和消保中心、各银行和保险机构业务投诉、调解的处理效率，助力正和消保中心、各银行和保险机构、消费者三方建立投诉事项精准送达、快速办理的工作机制。为消费者与银行、保险机构搭建平等交流协商的平台，帮助消费者和银行、保险机构公平公正解决纠纷，保护消费者合法权益，更好地贯彻落实《国务院办公厅关于加强金融消费者权益保护工作的指导意见》《中共中央办公厅 国务院办公厅关于完善矛盾纠纷多元化解机制的意见》《最高人民法院 中国人民银行 中国银行保险监督管理委员会印发&lt;关于全面推进金融纠纷多元化解机制建设的意见&gt;的通知》等文件精神，拓宽金融消费者维权渠道，营造公平、公正、诚信、和谐的金融消费环境，防范化解金融风险，促进广东银行业保险业高质量发展。</w:t>
      </w:r>
    </w:p>
    <w:p>
      <w:pPr>
        <w:pStyle w:val="190"/>
        <w:numPr>
          <w:ilvl w:val="2"/>
          <w:numId w:val="7"/>
        </w:numPr>
        <w:spacing w:before="84" w:after="84"/>
        <w:outlineLvl w:val="2"/>
        <w:rPr>
          <w:sz w:val="30"/>
          <w:szCs w:val="30"/>
        </w:rPr>
      </w:pPr>
      <w:r>
        <w:rPr>
          <w:rFonts w:hint="eastAsia"/>
          <w:sz w:val="30"/>
          <w:szCs w:val="30"/>
        </w:rPr>
        <w:t>业务需求</w:t>
      </w:r>
    </w:p>
    <w:p>
      <w:pPr>
        <w:spacing w:line="380" w:lineRule="exact"/>
        <w:ind w:firstLine="400" w:firstLineChars="200"/>
        <w:jc w:val="both"/>
        <w:rPr>
          <w:rFonts w:ascii="微软雅黑" w:hAnsi="微软雅黑" w:cs="微软雅黑"/>
          <w:sz w:val="20"/>
          <w:szCs w:val="20"/>
        </w:rPr>
      </w:pPr>
      <w:r>
        <w:rPr>
          <w:rFonts w:hint="eastAsia" w:ascii="微软雅黑" w:hAnsi="微软雅黑" w:cs="微软雅黑"/>
          <w:sz w:val="20"/>
          <w:szCs w:val="20"/>
        </w:rPr>
        <w:t>主要的业务需求如下：</w:t>
      </w:r>
    </w:p>
    <w:p>
      <w:pPr>
        <w:pStyle w:val="190"/>
        <w:numPr>
          <w:ilvl w:val="0"/>
          <w:numId w:val="8"/>
        </w:numPr>
        <w:spacing w:before="84" w:after="84"/>
        <w:jc w:val="both"/>
        <w:outlineLvl w:val="9"/>
        <w:rPr>
          <w:rFonts w:ascii="宋体" w:hAnsi="宋体" w:eastAsia="宋体" w:cs="宋体"/>
          <w:bCs w:val="0"/>
          <w:sz w:val="24"/>
          <w:szCs w:val="24"/>
        </w:rPr>
      </w:pPr>
      <w:r>
        <w:rPr>
          <w:rFonts w:hint="eastAsia" w:ascii="宋体" w:hAnsi="宋体" w:eastAsia="宋体" w:cs="宋体"/>
          <w:bCs w:val="0"/>
          <w:sz w:val="24"/>
          <w:szCs w:val="24"/>
        </w:rPr>
        <w:t>实现线上/线下多渠道工单数据汇聚</w:t>
      </w:r>
    </w:p>
    <w:p>
      <w:pPr>
        <w:spacing w:line="380" w:lineRule="exact"/>
        <w:ind w:firstLine="400" w:firstLineChars="200"/>
        <w:jc w:val="both"/>
        <w:rPr>
          <w:rFonts w:ascii="微软雅黑" w:hAnsi="微软雅黑" w:cs="微软雅黑"/>
          <w:sz w:val="20"/>
          <w:szCs w:val="20"/>
        </w:rPr>
      </w:pPr>
      <w:r>
        <w:rPr>
          <w:rFonts w:hint="eastAsia" w:ascii="微软雅黑" w:hAnsi="微软雅黑" w:cs="微软雅黑"/>
          <w:sz w:val="20"/>
          <w:szCs w:val="20"/>
        </w:rPr>
        <w:t>系统需迁移来自正和消保中心现有平台的历史工单数据，汇聚监管部门、各网络渠道的工单（即正和消保小程序、正和消保中心PC网站。</w:t>
      </w:r>
    </w:p>
    <w:p>
      <w:pPr>
        <w:spacing w:line="380" w:lineRule="exact"/>
        <w:ind w:firstLine="400" w:firstLineChars="200"/>
        <w:jc w:val="both"/>
        <w:rPr>
          <w:rFonts w:ascii="宋体" w:hAnsi="宋体" w:cs="宋体"/>
          <w:b/>
          <w:bCs/>
          <w:szCs w:val="24"/>
        </w:rPr>
      </w:pPr>
      <w:r>
        <w:rPr>
          <w:rFonts w:hint="eastAsia" w:ascii="微软雅黑" w:hAnsi="微软雅黑" w:cs="微软雅黑"/>
          <w:sz w:val="20"/>
          <w:szCs w:val="20"/>
        </w:rPr>
        <w:t>实现线上线下多渠道工单数据汇聚，方便消保中心工作人员通过数字消保中心平台统一查看工单数据，无需切换多个平台，提升办事便捷性与工单处理效率。</w:t>
      </w:r>
    </w:p>
    <w:p>
      <w:pPr>
        <w:pStyle w:val="190"/>
        <w:numPr>
          <w:ilvl w:val="0"/>
          <w:numId w:val="8"/>
        </w:numPr>
        <w:spacing w:before="84" w:after="84"/>
        <w:jc w:val="both"/>
        <w:outlineLvl w:val="9"/>
        <w:rPr>
          <w:rFonts w:ascii="宋体" w:hAnsi="宋体" w:eastAsia="宋体" w:cs="宋体"/>
          <w:bCs w:val="0"/>
          <w:sz w:val="24"/>
          <w:szCs w:val="24"/>
        </w:rPr>
      </w:pPr>
      <w:r>
        <w:rPr>
          <w:rFonts w:hint="eastAsia" w:ascii="宋体" w:hAnsi="宋体" w:eastAsia="宋体" w:cs="宋体"/>
          <w:bCs w:val="0"/>
          <w:sz w:val="24"/>
          <w:szCs w:val="24"/>
        </w:rPr>
        <w:t>支持案件审核、受理与转办</w:t>
      </w:r>
    </w:p>
    <w:p>
      <w:pPr>
        <w:spacing w:line="380" w:lineRule="exact"/>
        <w:ind w:firstLine="400" w:firstLineChars="200"/>
        <w:rPr>
          <w:rFonts w:ascii="微软雅黑" w:hAnsi="微软雅黑" w:cs="微软雅黑"/>
          <w:sz w:val="20"/>
          <w:szCs w:val="20"/>
        </w:rPr>
      </w:pPr>
      <w:r>
        <w:rPr>
          <w:rFonts w:hint="eastAsia" w:ascii="微软雅黑" w:hAnsi="微软雅黑" w:cs="微软雅黑"/>
          <w:sz w:val="20"/>
          <w:szCs w:val="20"/>
        </w:rPr>
        <w:t>A、案件投诉：</w:t>
      </w:r>
    </w:p>
    <w:p>
      <w:pPr>
        <w:spacing w:line="380" w:lineRule="exact"/>
        <w:ind w:firstLine="400" w:firstLineChars="200"/>
        <w:jc w:val="both"/>
        <w:rPr>
          <w:rFonts w:ascii="微软雅黑" w:hAnsi="微软雅黑" w:cs="微软雅黑"/>
          <w:sz w:val="20"/>
          <w:szCs w:val="20"/>
        </w:rPr>
      </w:pPr>
      <w:r>
        <w:rPr>
          <w:rFonts w:hint="eastAsia" w:ascii="微软雅黑" w:hAnsi="微软雅黑" w:cs="微软雅黑"/>
          <w:sz w:val="20"/>
          <w:szCs w:val="20"/>
        </w:rPr>
        <w:t>正和消保中心工作人员可对接收到的投诉案件进行分类登记、审核、转办，并能对投诉工单进行个性化标识，方便后续查找。</w:t>
      </w:r>
    </w:p>
    <w:p>
      <w:pPr>
        <w:spacing w:line="380" w:lineRule="exact"/>
        <w:ind w:firstLine="400" w:firstLineChars="200"/>
        <w:jc w:val="both"/>
        <w:rPr>
          <w:rFonts w:ascii="微软雅黑" w:hAnsi="微软雅黑" w:cs="微软雅黑"/>
          <w:sz w:val="20"/>
          <w:szCs w:val="20"/>
        </w:rPr>
      </w:pPr>
      <w:r>
        <w:rPr>
          <w:rFonts w:hint="eastAsia" w:ascii="微软雅黑" w:hAnsi="微软雅黑" w:cs="微软雅黑"/>
          <w:sz w:val="20"/>
          <w:szCs w:val="20"/>
        </w:rPr>
        <w:t>B、案件调解：</w:t>
      </w:r>
    </w:p>
    <w:p>
      <w:pPr>
        <w:spacing w:line="380" w:lineRule="exact"/>
        <w:ind w:firstLine="400" w:firstLineChars="200"/>
        <w:jc w:val="both"/>
        <w:rPr>
          <w:rFonts w:ascii="微软雅黑" w:hAnsi="微软雅黑" w:cs="微软雅黑"/>
          <w:sz w:val="20"/>
          <w:szCs w:val="20"/>
        </w:rPr>
      </w:pPr>
      <w:r>
        <w:rPr>
          <w:rFonts w:hint="eastAsia" w:ascii="微软雅黑" w:hAnsi="微软雅黑" w:cs="微软雅黑"/>
          <w:sz w:val="20"/>
          <w:szCs w:val="20"/>
        </w:rPr>
        <w:t>正和消保中心工作人员可对接收的调解案件进行分类登记、审核、转办，并能对调解工单进行个性化标识，方便后续查找。</w:t>
      </w:r>
    </w:p>
    <w:p>
      <w:pPr>
        <w:pStyle w:val="190"/>
        <w:numPr>
          <w:ilvl w:val="0"/>
          <w:numId w:val="8"/>
        </w:numPr>
        <w:spacing w:before="84" w:after="84"/>
        <w:jc w:val="both"/>
        <w:outlineLvl w:val="9"/>
        <w:rPr>
          <w:rFonts w:ascii="宋体" w:hAnsi="宋体" w:eastAsia="宋体" w:cs="宋体"/>
          <w:bCs w:val="0"/>
          <w:sz w:val="24"/>
          <w:szCs w:val="24"/>
        </w:rPr>
      </w:pPr>
      <w:r>
        <w:rPr>
          <w:rFonts w:hint="eastAsia" w:ascii="宋体" w:hAnsi="宋体" w:eastAsia="宋体" w:cs="宋体"/>
          <w:bCs w:val="0"/>
          <w:sz w:val="24"/>
          <w:szCs w:val="24"/>
        </w:rPr>
        <w:t>提供实时消息提醒</w:t>
      </w:r>
    </w:p>
    <w:p>
      <w:pPr>
        <w:spacing w:line="380" w:lineRule="exact"/>
        <w:ind w:firstLine="400" w:firstLineChars="200"/>
        <w:jc w:val="both"/>
        <w:rPr>
          <w:rFonts w:ascii="微软雅黑" w:hAnsi="微软雅黑" w:cs="微软雅黑"/>
          <w:sz w:val="20"/>
          <w:szCs w:val="20"/>
        </w:rPr>
      </w:pPr>
      <w:r>
        <w:rPr>
          <w:rFonts w:hint="eastAsia" w:ascii="微软雅黑" w:hAnsi="微软雅黑" w:cs="微软雅黑"/>
          <w:sz w:val="20"/>
          <w:szCs w:val="20"/>
        </w:rPr>
        <w:t>A、督办提醒：</w:t>
      </w:r>
    </w:p>
    <w:p>
      <w:pPr>
        <w:spacing w:line="380" w:lineRule="exact"/>
        <w:ind w:firstLine="400" w:firstLineChars="200"/>
        <w:jc w:val="both"/>
        <w:rPr>
          <w:rFonts w:ascii="微软雅黑" w:hAnsi="微软雅黑" w:cs="微软雅黑"/>
          <w:sz w:val="20"/>
          <w:szCs w:val="20"/>
        </w:rPr>
      </w:pPr>
      <w:r>
        <w:rPr>
          <w:rFonts w:hint="eastAsia" w:ascii="微软雅黑" w:hAnsi="微软雅黑" w:cs="微软雅黑"/>
          <w:sz w:val="20"/>
          <w:szCs w:val="20"/>
        </w:rPr>
        <w:t>系统根据每个流程中案件办理的时间节点，在办理到期前或到期后，对正和消保中心工作人员及银行保险机构工作人员进行督办提醒。</w:t>
      </w:r>
    </w:p>
    <w:p>
      <w:pPr>
        <w:spacing w:line="380" w:lineRule="exact"/>
        <w:ind w:firstLine="400" w:firstLineChars="200"/>
        <w:jc w:val="both"/>
        <w:rPr>
          <w:rFonts w:ascii="微软雅黑" w:hAnsi="微软雅黑" w:cs="微软雅黑"/>
          <w:sz w:val="20"/>
          <w:szCs w:val="20"/>
        </w:rPr>
      </w:pPr>
      <w:r>
        <w:rPr>
          <w:rFonts w:hint="eastAsia" w:ascii="微软雅黑" w:hAnsi="微软雅黑" w:cs="微软雅黑"/>
          <w:sz w:val="20"/>
          <w:szCs w:val="20"/>
        </w:rPr>
        <w:t>B、短信/微信告知：</w:t>
      </w:r>
    </w:p>
    <w:p>
      <w:pPr>
        <w:spacing w:line="380" w:lineRule="exact"/>
        <w:ind w:firstLine="400" w:firstLineChars="200"/>
        <w:jc w:val="both"/>
        <w:rPr>
          <w:rFonts w:ascii="微软雅黑" w:hAnsi="微软雅黑" w:cs="微软雅黑"/>
          <w:sz w:val="20"/>
          <w:szCs w:val="20"/>
        </w:rPr>
      </w:pPr>
      <w:r>
        <w:rPr>
          <w:rFonts w:hint="eastAsia" w:ascii="微软雅黑" w:hAnsi="微软雅黑" w:cs="微软雅黑"/>
          <w:sz w:val="20"/>
          <w:szCs w:val="20"/>
        </w:rPr>
        <w:t>根据系统中录入的消费者联系方式，向消费者实时自动发送案件流程进度提醒。</w:t>
      </w:r>
    </w:p>
    <w:p>
      <w:pPr>
        <w:pStyle w:val="190"/>
        <w:numPr>
          <w:ilvl w:val="0"/>
          <w:numId w:val="8"/>
        </w:numPr>
        <w:spacing w:before="84" w:after="84"/>
        <w:jc w:val="both"/>
        <w:outlineLvl w:val="9"/>
        <w:rPr>
          <w:rFonts w:ascii="宋体" w:hAnsi="宋体" w:eastAsia="宋体" w:cs="宋体"/>
          <w:bCs w:val="0"/>
          <w:sz w:val="24"/>
          <w:szCs w:val="24"/>
        </w:rPr>
      </w:pPr>
      <w:r>
        <w:rPr>
          <w:rFonts w:hint="eastAsia" w:ascii="宋体" w:hAnsi="宋体" w:eastAsia="宋体" w:cs="宋体"/>
          <w:bCs w:val="0"/>
          <w:sz w:val="24"/>
          <w:szCs w:val="24"/>
        </w:rPr>
        <w:t>快速线上视频调解</w:t>
      </w:r>
    </w:p>
    <w:p>
      <w:pPr>
        <w:spacing w:line="380" w:lineRule="exact"/>
        <w:ind w:firstLine="400" w:firstLineChars="200"/>
        <w:jc w:val="both"/>
        <w:rPr>
          <w:rFonts w:ascii="微软雅黑" w:hAnsi="微软雅黑" w:cs="微软雅黑"/>
          <w:sz w:val="20"/>
          <w:szCs w:val="20"/>
        </w:rPr>
      </w:pPr>
      <w:r>
        <w:rPr>
          <w:rFonts w:hint="eastAsia" w:ascii="微软雅黑" w:hAnsi="微软雅黑" w:cs="微软雅黑"/>
          <w:sz w:val="20"/>
          <w:szCs w:val="20"/>
        </w:rPr>
        <w:t>由调解员根据当事人的需求发起多方视频调解，系统可通过远程会议室功能建立房间，为调解双方提供线上沟通渠道。远程会议室房间支持视频聊天、关闭摄像头、挂断通话，支持对沟通过程进行录音/录屏存储等功能，同时调解员方默认录屏，限制被调解方录制视频。</w:t>
      </w:r>
    </w:p>
    <w:p>
      <w:pPr>
        <w:pStyle w:val="190"/>
        <w:numPr>
          <w:ilvl w:val="0"/>
          <w:numId w:val="8"/>
        </w:numPr>
        <w:spacing w:before="84" w:after="84"/>
        <w:jc w:val="both"/>
        <w:outlineLvl w:val="9"/>
        <w:rPr>
          <w:rFonts w:ascii="宋体" w:hAnsi="宋体" w:eastAsia="宋体" w:cs="宋体"/>
          <w:bCs w:val="0"/>
          <w:sz w:val="24"/>
          <w:szCs w:val="24"/>
        </w:rPr>
      </w:pPr>
      <w:r>
        <w:rPr>
          <w:rFonts w:hint="eastAsia" w:ascii="宋体" w:hAnsi="宋体" w:eastAsia="宋体" w:cs="宋体"/>
          <w:bCs w:val="0"/>
          <w:sz w:val="24"/>
          <w:szCs w:val="24"/>
        </w:rPr>
        <w:t>提供线上签约功能</w:t>
      </w:r>
    </w:p>
    <w:p>
      <w:pPr>
        <w:spacing w:line="380" w:lineRule="exact"/>
        <w:ind w:firstLine="400" w:firstLineChars="200"/>
        <w:jc w:val="both"/>
        <w:rPr>
          <w:rFonts w:ascii="微软雅黑" w:hAnsi="微软雅黑" w:cs="微软雅黑"/>
          <w:sz w:val="20"/>
          <w:szCs w:val="20"/>
        </w:rPr>
      </w:pPr>
      <w:r>
        <w:rPr>
          <w:rFonts w:hint="eastAsia" w:ascii="微软雅黑" w:hAnsi="微软雅黑" w:cs="微软雅黑"/>
          <w:sz w:val="20"/>
          <w:szCs w:val="20"/>
        </w:rPr>
        <w:t>实现线上电子签名与签章。</w:t>
      </w:r>
    </w:p>
    <w:p>
      <w:pPr>
        <w:pStyle w:val="190"/>
        <w:numPr>
          <w:ilvl w:val="0"/>
          <w:numId w:val="8"/>
        </w:numPr>
        <w:spacing w:before="84" w:after="84"/>
        <w:jc w:val="both"/>
        <w:outlineLvl w:val="9"/>
        <w:rPr>
          <w:rFonts w:ascii="宋体" w:hAnsi="宋体" w:eastAsia="宋体" w:cs="宋体"/>
          <w:bCs w:val="0"/>
          <w:sz w:val="24"/>
          <w:szCs w:val="24"/>
        </w:rPr>
      </w:pPr>
      <w:r>
        <w:rPr>
          <w:rFonts w:hint="eastAsia" w:ascii="宋体" w:hAnsi="宋体" w:eastAsia="宋体" w:cs="宋体"/>
          <w:bCs w:val="0"/>
          <w:sz w:val="24"/>
          <w:szCs w:val="24"/>
        </w:rPr>
        <w:t>线上评价与反馈</w:t>
      </w:r>
    </w:p>
    <w:p>
      <w:pPr>
        <w:spacing w:line="380" w:lineRule="exact"/>
        <w:ind w:firstLine="400" w:firstLineChars="200"/>
        <w:jc w:val="both"/>
        <w:rPr>
          <w:rFonts w:ascii="微软雅黑" w:hAnsi="微软雅黑" w:cs="微软雅黑"/>
          <w:sz w:val="20"/>
          <w:szCs w:val="20"/>
        </w:rPr>
      </w:pPr>
      <w:r>
        <w:rPr>
          <w:rFonts w:hint="eastAsia" w:ascii="微软雅黑" w:hAnsi="微软雅黑" w:cs="微软雅黑"/>
          <w:sz w:val="20"/>
          <w:szCs w:val="20"/>
        </w:rPr>
        <w:t>消费者/代理人对已办结的工单数据进行评价，作为正和消保中心与银行保险机构优化纠纷化解工作的依据。</w:t>
      </w:r>
    </w:p>
    <w:p>
      <w:pPr>
        <w:pStyle w:val="190"/>
        <w:numPr>
          <w:ilvl w:val="0"/>
          <w:numId w:val="8"/>
        </w:numPr>
        <w:spacing w:before="84" w:after="84"/>
        <w:jc w:val="both"/>
        <w:outlineLvl w:val="9"/>
        <w:rPr>
          <w:rFonts w:ascii="宋体" w:hAnsi="宋体" w:eastAsia="宋体" w:cs="宋体"/>
          <w:bCs w:val="0"/>
          <w:sz w:val="24"/>
          <w:szCs w:val="24"/>
        </w:rPr>
      </w:pPr>
      <w:r>
        <w:rPr>
          <w:rFonts w:hint="eastAsia" w:ascii="宋体" w:hAnsi="宋体" w:eastAsia="宋体" w:cs="宋体"/>
          <w:bCs w:val="0"/>
          <w:sz w:val="24"/>
          <w:szCs w:val="24"/>
        </w:rPr>
        <w:t>数据统计分析</w:t>
      </w:r>
    </w:p>
    <w:p>
      <w:pPr>
        <w:spacing w:line="380" w:lineRule="exact"/>
        <w:ind w:firstLine="400" w:firstLineChars="200"/>
        <w:jc w:val="both"/>
        <w:rPr>
          <w:rFonts w:ascii="微软雅黑" w:hAnsi="微软雅黑" w:cs="微软雅黑"/>
          <w:sz w:val="20"/>
          <w:szCs w:val="20"/>
        </w:rPr>
      </w:pPr>
      <w:r>
        <w:rPr>
          <w:rFonts w:hint="eastAsia" w:ascii="微软雅黑" w:hAnsi="微软雅黑" w:cs="微软雅黑"/>
          <w:sz w:val="20"/>
          <w:szCs w:val="20"/>
        </w:rPr>
        <w:t>依据产品类型、投诉类型进行数据分析和展示，支持数据报表导出。</w:t>
      </w:r>
    </w:p>
    <w:p>
      <w:pPr>
        <w:pStyle w:val="190"/>
        <w:numPr>
          <w:ilvl w:val="2"/>
          <w:numId w:val="7"/>
        </w:numPr>
        <w:spacing w:before="84" w:after="84"/>
        <w:outlineLvl w:val="2"/>
        <w:rPr>
          <w:sz w:val="30"/>
          <w:szCs w:val="30"/>
        </w:rPr>
      </w:pPr>
      <w:bookmarkStart w:id="1137" w:name="_Toc35447509"/>
      <w:bookmarkStart w:id="1138" w:name="_Toc14221"/>
      <w:bookmarkStart w:id="1139" w:name="_Toc30686"/>
      <w:bookmarkStart w:id="1140" w:name="_Toc16845"/>
      <w:r>
        <w:rPr>
          <w:rFonts w:hint="eastAsia"/>
          <w:sz w:val="30"/>
          <w:szCs w:val="30"/>
        </w:rPr>
        <w:t>信息化现状</w:t>
      </w:r>
    </w:p>
    <w:p>
      <w:pPr>
        <w:spacing w:line="380" w:lineRule="exact"/>
        <w:ind w:firstLine="400" w:firstLineChars="200"/>
        <w:jc w:val="both"/>
        <w:rPr>
          <w:sz w:val="20"/>
          <w:szCs w:val="20"/>
        </w:rPr>
      </w:pPr>
      <w:r>
        <w:rPr>
          <w:rFonts w:hint="eastAsia"/>
          <w:sz w:val="20"/>
          <w:szCs w:val="20"/>
        </w:rPr>
        <w:t>正和消保中心成立至今，已经构建网络、来电、来信、来访等渠道，接收消费者投诉与调解，包括</w:t>
      </w:r>
      <w:r>
        <w:rPr>
          <w:sz w:val="20"/>
          <w:szCs w:val="20"/>
        </w:rPr>
        <w:t>4009-888-188</w:t>
      </w:r>
      <w:r>
        <w:rPr>
          <w:rFonts w:hint="eastAsia"/>
          <w:sz w:val="20"/>
          <w:szCs w:val="20"/>
        </w:rPr>
        <w:t>服务热线、正和消保中心官网、“广东正和消保中心”微信公众号和“正和消保”微信小程序。目前，“正和消保”小程序已在广发银行、农业银行广东省分行、中国人寿广东省分公司、平安人寿广东分公司等</w:t>
      </w:r>
      <w:r>
        <w:rPr>
          <w:sz w:val="20"/>
          <w:szCs w:val="20"/>
        </w:rPr>
        <w:t>60</w:t>
      </w:r>
      <w:r>
        <w:rPr>
          <w:rFonts w:hint="eastAsia"/>
          <w:sz w:val="20"/>
          <w:szCs w:val="20"/>
        </w:rPr>
        <w:t>余家银行保险机构微信公众号上线，同时也与“粤省事”实现对接。</w:t>
      </w:r>
    </w:p>
    <w:p>
      <w:pPr>
        <w:pStyle w:val="190"/>
        <w:numPr>
          <w:ilvl w:val="2"/>
          <w:numId w:val="7"/>
        </w:numPr>
        <w:spacing w:before="84" w:after="84"/>
        <w:outlineLvl w:val="2"/>
        <w:rPr>
          <w:sz w:val="30"/>
          <w:szCs w:val="30"/>
        </w:rPr>
      </w:pPr>
      <w:r>
        <w:rPr>
          <w:rFonts w:hint="eastAsia"/>
          <w:sz w:val="30"/>
          <w:szCs w:val="30"/>
        </w:rPr>
        <w:t>用户角色分析</w:t>
      </w:r>
    </w:p>
    <w:p>
      <w:pPr>
        <w:pStyle w:val="190"/>
        <w:numPr>
          <w:ilvl w:val="0"/>
          <w:numId w:val="0"/>
        </w:numPr>
        <w:spacing w:before="84" w:after="84"/>
        <w:ind w:firstLine="723" w:firstLineChars="300"/>
        <w:outlineLvl w:val="9"/>
        <w:rPr>
          <w:rFonts w:ascii="宋体" w:hAnsi="宋体" w:eastAsia="宋体"/>
          <w:sz w:val="24"/>
          <w:szCs w:val="24"/>
        </w:rPr>
      </w:pPr>
      <w:r>
        <w:rPr>
          <w:rFonts w:hint="eastAsia" w:ascii="宋体" w:hAnsi="宋体" w:eastAsia="宋体"/>
          <w:sz w:val="24"/>
          <w:szCs w:val="24"/>
        </w:rPr>
        <w:t>数字消保中心平台，主要业务角色如下表：</w:t>
      </w:r>
    </w:p>
    <w:p>
      <w:pPr>
        <w:pStyle w:val="2"/>
        <w:tabs>
          <w:tab w:val="left" w:pos="1260"/>
          <w:tab w:val="right" w:leader="dot" w:pos="9054"/>
        </w:tabs>
        <w:ind w:left="440" w:leftChars="0"/>
        <w:rPr>
          <w:rFonts w:ascii="宋体" w:cs="宋体"/>
          <w:kern w:val="2"/>
        </w:rPr>
      </w:pPr>
    </w:p>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1"/>
        <w:gridCol w:w="1813"/>
        <w:gridCol w:w="5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080" w:type="pct"/>
            <w:tcBorders>
              <w:top w:val="single" w:color="auto" w:sz="4" w:space="0"/>
              <w:left w:val="single" w:color="auto" w:sz="4" w:space="0"/>
              <w:bottom w:val="single" w:color="auto" w:sz="4" w:space="0"/>
              <w:right w:val="single" w:color="auto" w:sz="4" w:space="0"/>
            </w:tcBorders>
            <w:shd w:val="clear" w:color="auto" w:fill="E7E6E6"/>
            <w:vAlign w:val="center"/>
          </w:tcPr>
          <w:p>
            <w:pPr>
              <w:jc w:val="center"/>
              <w:rPr>
                <w:rFonts w:ascii="宋体" w:hAnsi="宋体"/>
                <w:b/>
                <w:szCs w:val="24"/>
              </w:rPr>
            </w:pPr>
            <w:r>
              <w:rPr>
                <w:rFonts w:hint="eastAsia" w:ascii="宋体" w:hAnsi="宋体"/>
                <w:b/>
                <w:szCs w:val="24"/>
              </w:rPr>
              <w:t>类型</w:t>
            </w:r>
          </w:p>
        </w:tc>
        <w:tc>
          <w:tcPr>
            <w:tcW w:w="910" w:type="pct"/>
            <w:tcBorders>
              <w:top w:val="single" w:color="auto" w:sz="4" w:space="0"/>
              <w:left w:val="single" w:color="auto" w:sz="4" w:space="0"/>
              <w:bottom w:val="single" w:color="auto" w:sz="4" w:space="0"/>
              <w:right w:val="single" w:color="auto" w:sz="4" w:space="0"/>
            </w:tcBorders>
            <w:shd w:val="clear" w:color="auto" w:fill="E7E6E6"/>
            <w:vAlign w:val="center"/>
          </w:tcPr>
          <w:p>
            <w:pPr>
              <w:jc w:val="center"/>
              <w:rPr>
                <w:rFonts w:ascii="宋体" w:hAnsi="宋体"/>
                <w:b/>
                <w:szCs w:val="24"/>
              </w:rPr>
            </w:pPr>
            <w:r>
              <w:rPr>
                <w:rFonts w:hint="eastAsia" w:ascii="宋体" w:hAnsi="宋体"/>
                <w:b/>
                <w:szCs w:val="24"/>
              </w:rPr>
              <w:t>角色</w:t>
            </w:r>
          </w:p>
        </w:tc>
        <w:tc>
          <w:tcPr>
            <w:tcW w:w="3010" w:type="pct"/>
            <w:tcBorders>
              <w:top w:val="single" w:color="auto" w:sz="4" w:space="0"/>
              <w:left w:val="single" w:color="auto" w:sz="4" w:space="0"/>
              <w:bottom w:val="single" w:color="auto" w:sz="4" w:space="0"/>
              <w:right w:val="single" w:color="auto" w:sz="4" w:space="0"/>
            </w:tcBorders>
            <w:shd w:val="clear" w:color="auto" w:fill="E7E6E6"/>
          </w:tcPr>
          <w:p>
            <w:pPr>
              <w:jc w:val="center"/>
              <w:rPr>
                <w:rFonts w:ascii="宋体" w:hAnsi="宋体"/>
                <w:b/>
                <w:szCs w:val="24"/>
              </w:rPr>
            </w:pPr>
            <w:r>
              <w:rPr>
                <w:rFonts w:hint="eastAsia" w:ascii="宋体" w:hAnsi="宋体"/>
                <w:b/>
                <w:szCs w:val="24"/>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1080" w:type="pc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sz w:val="20"/>
                <w:szCs w:val="20"/>
                <w:lang w:eastAsia="zh-Hans"/>
              </w:rPr>
            </w:pPr>
            <w:r>
              <w:rPr>
                <w:rFonts w:hint="eastAsia" w:ascii="微软雅黑" w:hAnsi="微软雅黑" w:cs="微软雅黑"/>
                <w:sz w:val="20"/>
                <w:szCs w:val="20"/>
                <w:lang w:eastAsia="zh-Hans"/>
              </w:rPr>
              <w:t>公众</w:t>
            </w:r>
          </w:p>
        </w:tc>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sz w:val="20"/>
                <w:szCs w:val="20"/>
                <w:lang w:eastAsia="zh-Hans"/>
              </w:rPr>
            </w:pPr>
            <w:r>
              <w:rPr>
                <w:rFonts w:hint="eastAsia" w:ascii="微软雅黑" w:hAnsi="微软雅黑" w:cs="微软雅黑"/>
                <w:sz w:val="20"/>
                <w:szCs w:val="20"/>
                <w:lang w:eastAsia="zh-Hans"/>
              </w:rPr>
              <w:t>诉求人</w:t>
            </w:r>
          </w:p>
        </w:tc>
        <w:tc>
          <w:tcPr>
            <w:tcW w:w="3010" w:type="pct"/>
            <w:tcBorders>
              <w:top w:val="single" w:color="auto" w:sz="4" w:space="0"/>
              <w:left w:val="single" w:color="auto" w:sz="4" w:space="0"/>
              <w:bottom w:val="single" w:color="auto" w:sz="4" w:space="0"/>
              <w:right w:val="single" w:color="auto" w:sz="4" w:space="0"/>
            </w:tcBorders>
          </w:tcPr>
          <w:p>
            <w:pPr>
              <w:rPr>
                <w:rFonts w:ascii="微软雅黑" w:hAnsi="微软雅黑" w:cs="微软雅黑"/>
                <w:sz w:val="20"/>
                <w:szCs w:val="20"/>
                <w:lang w:eastAsia="zh-Hans"/>
              </w:rPr>
            </w:pPr>
            <w:r>
              <w:rPr>
                <w:rFonts w:hint="eastAsia" w:ascii="微软雅黑" w:hAnsi="微软雅黑" w:cs="微软雅黑"/>
                <w:sz w:val="20"/>
                <w:szCs w:val="20"/>
                <w:lang w:eastAsia="zh-Hans"/>
              </w:rPr>
              <w:t>消费者端，诉求人包括消费者本人或委托人两种（委托人包括法定代表人、代理人或其他）；诉求人可以是银行保险机构，也可以是消费者本人或其委托人。其主要职责为：</w:t>
            </w:r>
          </w:p>
          <w:p>
            <w:pPr>
              <w:rPr>
                <w:rFonts w:ascii="微软雅黑" w:hAnsi="微软雅黑" w:cs="微软雅黑"/>
                <w:sz w:val="20"/>
                <w:szCs w:val="20"/>
                <w:lang w:eastAsia="zh-Hans"/>
              </w:rPr>
            </w:pPr>
            <w:r>
              <w:rPr>
                <w:rFonts w:hint="eastAsia" w:ascii="微软雅黑" w:hAnsi="微软雅黑" w:cs="微软雅黑"/>
                <w:sz w:val="20"/>
                <w:szCs w:val="20"/>
                <w:lang w:eastAsia="zh-Hans"/>
              </w:rPr>
              <w:t>1.发起投诉业务申请，双方进行协商，在投诉工单办结后对办理情况进行评价。</w:t>
            </w:r>
          </w:p>
          <w:p>
            <w:pPr>
              <w:rPr>
                <w:rFonts w:ascii="微软雅黑" w:hAnsi="微软雅黑" w:cs="微软雅黑"/>
                <w:sz w:val="20"/>
                <w:szCs w:val="20"/>
                <w:lang w:eastAsia="zh-Hans"/>
              </w:rPr>
            </w:pPr>
            <w:r>
              <w:rPr>
                <w:rFonts w:hint="eastAsia" w:ascii="微软雅黑" w:hAnsi="微软雅黑" w:cs="微软雅黑"/>
                <w:sz w:val="20"/>
                <w:szCs w:val="20"/>
                <w:lang w:eastAsia="zh-Hans"/>
              </w:rPr>
              <w:t>2.发起调解业务申请，参与由正和消保中心牵头的，由申请人和被申请人共同参与的调解，在调解工单办结后对办理情况进行评价。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080" w:type="pct"/>
            <w:vMerge w:val="restart"/>
            <w:tcBorders>
              <w:top w:val="single" w:color="auto" w:sz="4" w:space="0"/>
              <w:left w:val="single" w:color="auto" w:sz="4" w:space="0"/>
              <w:bottom w:val="single" w:color="auto" w:sz="4" w:space="0"/>
              <w:right w:val="single" w:color="auto" w:sz="4" w:space="0"/>
            </w:tcBorders>
            <w:vAlign w:val="center"/>
          </w:tcPr>
          <w:p>
            <w:pPr>
              <w:rPr>
                <w:rFonts w:ascii="微软雅黑" w:hAnsi="微软雅黑" w:cs="微软雅黑"/>
                <w:sz w:val="20"/>
                <w:szCs w:val="20"/>
                <w:lang w:eastAsia="zh-Hans"/>
              </w:rPr>
            </w:pPr>
            <w:r>
              <w:rPr>
                <w:rFonts w:hint="eastAsia" w:ascii="微软雅黑" w:hAnsi="微软雅黑" w:cs="微软雅黑"/>
                <w:sz w:val="20"/>
                <w:szCs w:val="20"/>
                <w:lang w:eastAsia="zh-Hans"/>
              </w:rPr>
              <w:t>投诉处理岗相关人员</w:t>
            </w:r>
          </w:p>
          <w:p>
            <w:pPr>
              <w:rPr>
                <w:rFonts w:ascii="微软雅黑" w:hAnsi="微软雅黑" w:cs="微软雅黑"/>
                <w:sz w:val="20"/>
                <w:szCs w:val="20"/>
                <w:lang w:eastAsia="zh-Hans"/>
              </w:rPr>
            </w:pPr>
          </w:p>
          <w:p>
            <w:pPr>
              <w:rPr>
                <w:rFonts w:ascii="微软雅黑" w:hAnsi="微软雅黑" w:cs="微软雅黑"/>
                <w:sz w:val="20"/>
                <w:szCs w:val="20"/>
                <w:lang w:eastAsia="zh-Hans"/>
              </w:rPr>
            </w:pPr>
          </w:p>
          <w:p>
            <w:pPr>
              <w:rPr>
                <w:rFonts w:ascii="微软雅黑" w:hAnsi="微软雅黑" w:cs="微软雅黑"/>
                <w:sz w:val="20"/>
                <w:szCs w:val="20"/>
                <w:lang w:eastAsia="zh-Hans"/>
              </w:rPr>
            </w:pPr>
          </w:p>
        </w:tc>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sz w:val="20"/>
                <w:szCs w:val="20"/>
                <w:lang w:eastAsia="zh-Hans"/>
              </w:rPr>
            </w:pPr>
            <w:r>
              <w:rPr>
                <w:rFonts w:hint="eastAsia" w:ascii="微软雅黑" w:hAnsi="微软雅黑" w:cs="微软雅黑"/>
                <w:sz w:val="20"/>
                <w:szCs w:val="20"/>
                <w:lang w:eastAsia="zh-Hans"/>
              </w:rPr>
              <w:t>【正和消保中心】客服岗</w:t>
            </w:r>
          </w:p>
        </w:tc>
        <w:tc>
          <w:tcPr>
            <w:tcW w:w="3010" w:type="pct"/>
            <w:tcBorders>
              <w:top w:val="single" w:color="auto" w:sz="4" w:space="0"/>
              <w:left w:val="single" w:color="auto" w:sz="4" w:space="0"/>
              <w:bottom w:val="single" w:color="auto" w:sz="4" w:space="0"/>
              <w:right w:val="single" w:color="auto" w:sz="4" w:space="0"/>
            </w:tcBorders>
          </w:tcPr>
          <w:p>
            <w:pPr>
              <w:rPr>
                <w:rFonts w:ascii="微软雅黑" w:hAnsi="微软雅黑" w:cs="微软雅黑"/>
                <w:sz w:val="20"/>
                <w:szCs w:val="20"/>
                <w:lang w:eastAsia="zh-Hans"/>
              </w:rPr>
            </w:pPr>
            <w:r>
              <w:rPr>
                <w:rFonts w:hint="eastAsia" w:ascii="微软雅黑" w:hAnsi="微软雅黑" w:cs="微软雅黑"/>
                <w:sz w:val="20"/>
                <w:szCs w:val="20"/>
                <w:lang w:eastAsia="zh-Hans"/>
              </w:rPr>
              <w:t>提供投诉业务服务，记录客户投诉信息，帮助线下诉求人填写与提交工单信息。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微软雅黑" w:hAnsi="微软雅黑" w:cs="微软雅黑"/>
                <w:sz w:val="20"/>
                <w:szCs w:val="20"/>
                <w:lang w:eastAsia="zh-Hans"/>
              </w:rPr>
            </w:pPr>
          </w:p>
        </w:tc>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sz w:val="20"/>
                <w:szCs w:val="20"/>
                <w:lang w:eastAsia="zh-Hans"/>
              </w:rPr>
            </w:pPr>
            <w:r>
              <w:rPr>
                <w:rFonts w:hint="eastAsia" w:ascii="微软雅黑" w:hAnsi="微软雅黑" w:cs="微软雅黑"/>
                <w:sz w:val="20"/>
                <w:szCs w:val="20"/>
                <w:lang w:eastAsia="zh-Hans"/>
              </w:rPr>
              <w:t>【正和消保中心】投诉管理岗</w:t>
            </w:r>
          </w:p>
        </w:tc>
        <w:tc>
          <w:tcPr>
            <w:tcW w:w="3010" w:type="pct"/>
            <w:tcBorders>
              <w:top w:val="single" w:color="auto" w:sz="4" w:space="0"/>
              <w:left w:val="single" w:color="auto" w:sz="4" w:space="0"/>
              <w:bottom w:val="single" w:color="auto" w:sz="4" w:space="0"/>
              <w:right w:val="single" w:color="auto" w:sz="4" w:space="0"/>
            </w:tcBorders>
          </w:tcPr>
          <w:p>
            <w:pPr>
              <w:rPr>
                <w:rFonts w:ascii="微软雅黑" w:hAnsi="微软雅黑" w:cs="微软雅黑"/>
                <w:sz w:val="20"/>
                <w:szCs w:val="20"/>
                <w:lang w:eastAsia="zh-Hans"/>
              </w:rPr>
            </w:pPr>
            <w:r>
              <w:rPr>
                <w:rFonts w:hint="eastAsia" w:ascii="微软雅黑" w:hAnsi="微软雅黑" w:cs="微软雅黑"/>
                <w:sz w:val="20"/>
                <w:szCs w:val="20"/>
                <w:lang w:eastAsia="zh-Hans"/>
              </w:rPr>
              <w:t>负责审核与受理投诉业务申请信息，在资料提供齐全时，转办投诉业务申请。查看已审批的投诉业务历史数据并导出。投诉工单处理完结后，操作案件办结。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微软雅黑" w:hAnsi="微软雅黑" w:cs="微软雅黑"/>
                <w:sz w:val="20"/>
                <w:szCs w:val="20"/>
                <w:lang w:eastAsia="zh-Hans"/>
              </w:rPr>
            </w:pPr>
          </w:p>
        </w:tc>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sz w:val="20"/>
                <w:szCs w:val="20"/>
                <w:lang w:eastAsia="zh-Hans"/>
              </w:rPr>
            </w:pPr>
            <w:r>
              <w:rPr>
                <w:rFonts w:hint="eastAsia" w:ascii="微软雅黑" w:hAnsi="微软雅黑" w:cs="微软雅黑"/>
                <w:sz w:val="20"/>
                <w:szCs w:val="20"/>
                <w:lang w:eastAsia="zh-Hans"/>
              </w:rPr>
              <w:t>【正和消保中心】专职调解员</w:t>
            </w:r>
          </w:p>
        </w:tc>
        <w:tc>
          <w:tcPr>
            <w:tcW w:w="3010" w:type="pct"/>
            <w:tcBorders>
              <w:top w:val="single" w:color="auto" w:sz="4" w:space="0"/>
              <w:left w:val="single" w:color="auto" w:sz="4" w:space="0"/>
              <w:bottom w:val="single" w:color="auto" w:sz="4" w:space="0"/>
              <w:right w:val="single" w:color="auto" w:sz="4" w:space="0"/>
            </w:tcBorders>
          </w:tcPr>
          <w:p>
            <w:pPr>
              <w:rPr>
                <w:rFonts w:ascii="微软雅黑" w:hAnsi="微软雅黑" w:cs="微软雅黑"/>
                <w:sz w:val="20"/>
                <w:szCs w:val="20"/>
                <w:lang w:eastAsia="zh-Hans"/>
              </w:rPr>
            </w:pPr>
            <w:r>
              <w:rPr>
                <w:rFonts w:hint="eastAsia" w:ascii="微软雅黑" w:hAnsi="微软雅黑" w:cs="微软雅黑"/>
                <w:sz w:val="20"/>
                <w:szCs w:val="20"/>
                <w:lang w:eastAsia="zh-Hans"/>
              </w:rPr>
              <w:t>针对绿色通道案件，对消费者提供咨询服务，记录与消费者沟通内容，并提交领导审核。领导审核通过后，操作转办至对应银行保险机构处理。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微软雅黑" w:hAnsi="微软雅黑" w:cs="微软雅黑"/>
                <w:sz w:val="20"/>
                <w:szCs w:val="20"/>
                <w:lang w:eastAsia="zh-Hans"/>
              </w:rPr>
            </w:pPr>
          </w:p>
        </w:tc>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sz w:val="20"/>
                <w:szCs w:val="20"/>
                <w:lang w:eastAsia="zh-Hans"/>
              </w:rPr>
            </w:pPr>
            <w:r>
              <w:rPr>
                <w:rFonts w:hint="eastAsia" w:ascii="微软雅黑" w:hAnsi="微软雅黑" w:cs="微软雅黑"/>
                <w:sz w:val="20"/>
                <w:szCs w:val="20"/>
                <w:lang w:eastAsia="zh-Hans"/>
              </w:rPr>
              <w:t>【正和消保中心】业务部门负责人</w:t>
            </w:r>
          </w:p>
        </w:tc>
        <w:tc>
          <w:tcPr>
            <w:tcW w:w="3010" w:type="pct"/>
            <w:tcBorders>
              <w:top w:val="single" w:color="auto" w:sz="4" w:space="0"/>
              <w:left w:val="single" w:color="auto" w:sz="4" w:space="0"/>
              <w:bottom w:val="single" w:color="auto" w:sz="4" w:space="0"/>
              <w:right w:val="single" w:color="auto" w:sz="4" w:space="0"/>
            </w:tcBorders>
          </w:tcPr>
          <w:p>
            <w:pPr>
              <w:rPr>
                <w:rFonts w:ascii="微软雅黑" w:hAnsi="微软雅黑" w:cs="微软雅黑"/>
                <w:sz w:val="20"/>
                <w:szCs w:val="20"/>
                <w:lang w:eastAsia="zh-Hans"/>
              </w:rPr>
            </w:pPr>
            <w:r>
              <w:rPr>
                <w:rFonts w:hint="eastAsia" w:ascii="微软雅黑" w:hAnsi="微软雅黑" w:cs="微软雅黑"/>
                <w:sz w:val="20"/>
                <w:szCs w:val="20"/>
                <w:lang w:eastAsia="zh-Hans"/>
              </w:rPr>
              <w:t>负责审核【正和消保中心】投诉管理岗提交的投诉案件信息，保险业务部门负责人还需审核专职调解员提交的绿色通道案件信息。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微软雅黑" w:hAnsi="微软雅黑" w:cs="微软雅黑"/>
                <w:sz w:val="20"/>
                <w:szCs w:val="20"/>
                <w:lang w:eastAsia="zh-Hans"/>
              </w:rPr>
            </w:pPr>
          </w:p>
        </w:tc>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sz w:val="20"/>
                <w:szCs w:val="20"/>
                <w:lang w:eastAsia="zh-Hans"/>
              </w:rPr>
            </w:pPr>
            <w:r>
              <w:rPr>
                <w:rFonts w:hint="eastAsia" w:ascii="微软雅黑" w:hAnsi="微软雅黑" w:cs="微软雅黑"/>
                <w:sz w:val="20"/>
                <w:szCs w:val="20"/>
                <w:lang w:eastAsia="zh-Hans"/>
              </w:rPr>
              <w:t>【省/地市银行保险机构】投诉业务受理人员</w:t>
            </w:r>
          </w:p>
        </w:tc>
        <w:tc>
          <w:tcPr>
            <w:tcW w:w="3010" w:type="pct"/>
            <w:tcBorders>
              <w:top w:val="single" w:color="auto" w:sz="4" w:space="0"/>
              <w:left w:val="single" w:color="auto" w:sz="4" w:space="0"/>
              <w:bottom w:val="single" w:color="auto" w:sz="4" w:space="0"/>
              <w:right w:val="single" w:color="auto" w:sz="4" w:space="0"/>
            </w:tcBorders>
          </w:tcPr>
          <w:p>
            <w:pPr>
              <w:rPr>
                <w:rFonts w:ascii="微软雅黑" w:hAnsi="微软雅黑" w:cs="微软雅黑"/>
                <w:sz w:val="20"/>
                <w:szCs w:val="20"/>
                <w:lang w:eastAsia="zh-Hans"/>
              </w:rPr>
            </w:pPr>
            <w:r>
              <w:rPr>
                <w:rFonts w:hint="eastAsia" w:ascii="微软雅黑" w:hAnsi="微软雅黑" w:cs="微软雅黑"/>
                <w:sz w:val="20"/>
                <w:szCs w:val="20"/>
                <w:lang w:eastAsia="zh-Hans"/>
              </w:rPr>
              <w:t>处理正和消保中心转办的投诉业务工单，反馈投诉结果。查看已处理的历史投诉工单信息并导出。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1080" w:type="pct"/>
            <w:vMerge w:val="restart"/>
            <w:tcBorders>
              <w:top w:val="single" w:color="auto" w:sz="4" w:space="0"/>
              <w:left w:val="single" w:color="auto" w:sz="4" w:space="0"/>
              <w:bottom w:val="single" w:color="auto" w:sz="4" w:space="0"/>
              <w:right w:val="single" w:color="auto" w:sz="4" w:space="0"/>
            </w:tcBorders>
            <w:vAlign w:val="center"/>
          </w:tcPr>
          <w:p>
            <w:pPr>
              <w:rPr>
                <w:rFonts w:ascii="微软雅黑" w:hAnsi="微软雅黑" w:cs="微软雅黑"/>
                <w:sz w:val="20"/>
                <w:szCs w:val="20"/>
                <w:lang w:eastAsia="zh-Hans"/>
              </w:rPr>
            </w:pPr>
            <w:r>
              <w:rPr>
                <w:rFonts w:hint="eastAsia" w:ascii="微软雅黑" w:hAnsi="微软雅黑" w:cs="微软雅黑"/>
                <w:sz w:val="20"/>
                <w:szCs w:val="20"/>
                <w:lang w:eastAsia="zh-Hans"/>
              </w:rPr>
              <w:t>调解处理岗相关人员</w:t>
            </w:r>
          </w:p>
        </w:tc>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sz w:val="20"/>
                <w:szCs w:val="20"/>
                <w:lang w:eastAsia="zh-Hans"/>
              </w:rPr>
            </w:pPr>
            <w:r>
              <w:rPr>
                <w:rFonts w:hint="eastAsia" w:ascii="微软雅黑" w:hAnsi="微软雅黑" w:cs="微软雅黑"/>
                <w:sz w:val="20"/>
                <w:szCs w:val="20"/>
                <w:lang w:eastAsia="zh-Hans"/>
              </w:rPr>
              <w:t>【正和消保中心】调解管理岗</w:t>
            </w:r>
          </w:p>
        </w:tc>
        <w:tc>
          <w:tcPr>
            <w:tcW w:w="3010" w:type="pct"/>
            <w:tcBorders>
              <w:top w:val="single" w:color="auto" w:sz="4" w:space="0"/>
              <w:left w:val="single" w:color="auto" w:sz="4" w:space="0"/>
              <w:bottom w:val="single" w:color="auto" w:sz="4" w:space="0"/>
              <w:right w:val="single" w:color="auto" w:sz="4" w:space="0"/>
            </w:tcBorders>
          </w:tcPr>
          <w:p>
            <w:pPr>
              <w:rPr>
                <w:rFonts w:ascii="微软雅黑" w:hAnsi="微软雅黑" w:cs="微软雅黑"/>
                <w:sz w:val="20"/>
                <w:szCs w:val="20"/>
                <w:lang w:eastAsia="zh-Hans"/>
              </w:rPr>
            </w:pPr>
            <w:r>
              <w:rPr>
                <w:rFonts w:hint="eastAsia" w:ascii="微软雅黑" w:hAnsi="微软雅黑" w:cs="微软雅黑"/>
                <w:sz w:val="20"/>
                <w:szCs w:val="20"/>
                <w:lang w:eastAsia="zh-Hans"/>
              </w:rPr>
              <w:t>负责审核与受理调解业务申请信息，对符合条件的案件转至调解员处理。调解工单处理完结后，操作案件办结。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微软雅黑" w:hAnsi="微软雅黑" w:cs="微软雅黑"/>
                <w:sz w:val="20"/>
                <w:szCs w:val="20"/>
                <w:lang w:eastAsia="zh-Hans"/>
              </w:rPr>
            </w:pPr>
          </w:p>
        </w:tc>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sz w:val="20"/>
                <w:szCs w:val="20"/>
                <w:lang w:eastAsia="zh-Hans"/>
              </w:rPr>
            </w:pPr>
            <w:r>
              <w:rPr>
                <w:rFonts w:hint="eastAsia" w:ascii="微软雅黑" w:hAnsi="微软雅黑" w:cs="微软雅黑"/>
                <w:sz w:val="20"/>
                <w:szCs w:val="20"/>
                <w:lang w:eastAsia="zh-Hans"/>
              </w:rPr>
              <w:t>【正和消保中心】调解员（分专职调解员、兼职调解员及调解专家）</w:t>
            </w:r>
          </w:p>
        </w:tc>
        <w:tc>
          <w:tcPr>
            <w:tcW w:w="3010" w:type="pct"/>
            <w:tcBorders>
              <w:top w:val="single" w:color="auto" w:sz="4" w:space="0"/>
              <w:left w:val="single" w:color="auto" w:sz="4" w:space="0"/>
              <w:bottom w:val="single" w:color="auto" w:sz="4" w:space="0"/>
              <w:right w:val="single" w:color="auto" w:sz="4" w:space="0"/>
            </w:tcBorders>
          </w:tcPr>
          <w:p>
            <w:pPr>
              <w:rPr>
                <w:rFonts w:ascii="微软雅黑" w:hAnsi="微软雅黑" w:cs="微软雅黑"/>
                <w:sz w:val="20"/>
                <w:szCs w:val="20"/>
                <w:lang w:eastAsia="zh-Hans"/>
              </w:rPr>
            </w:pPr>
            <w:r>
              <w:rPr>
                <w:rFonts w:hint="eastAsia" w:ascii="微软雅黑" w:hAnsi="微软雅黑" w:cs="微软雅黑"/>
                <w:sz w:val="20"/>
                <w:szCs w:val="20"/>
                <w:lang w:eastAsia="zh-Hans"/>
              </w:rPr>
              <w:t>处理系统分派的调解业务工单，分析并制定调解方案，联系申请人与被申请人，与双方约定具体调解方式、调解时间，记录约定内容。需要使用线上调解的，通过远程会议室功能建立房间，为调解双方提供线上沟通渠道。在约定时间牵头组织三方调解。经调解达成和解的，牵头组织三方共同签订《调解协议书》，填入调解结果并上传《调解协议书》，操作案件结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1080" w:type="pc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sz w:val="20"/>
                <w:szCs w:val="20"/>
                <w:lang w:eastAsia="zh-Hans"/>
              </w:rPr>
            </w:pPr>
            <w:r>
              <w:rPr>
                <w:rFonts w:hint="eastAsia" w:ascii="微软雅黑" w:hAnsi="微软雅黑" w:cs="微软雅黑"/>
                <w:sz w:val="20"/>
                <w:szCs w:val="20"/>
                <w:lang w:eastAsia="zh-Hans"/>
              </w:rPr>
              <w:t>【正和消保中心】部门负责人</w:t>
            </w:r>
          </w:p>
        </w:tc>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sz w:val="20"/>
                <w:szCs w:val="20"/>
                <w:lang w:eastAsia="zh-Hans"/>
              </w:rPr>
            </w:pPr>
            <w:r>
              <w:rPr>
                <w:rFonts w:hint="eastAsia" w:ascii="微软雅黑" w:hAnsi="微软雅黑" w:cs="微软雅黑"/>
                <w:sz w:val="20"/>
                <w:szCs w:val="20"/>
                <w:lang w:eastAsia="zh-Hans"/>
              </w:rPr>
              <w:t>【正和消保中心】部门负责人</w:t>
            </w:r>
          </w:p>
        </w:tc>
        <w:tc>
          <w:tcPr>
            <w:tcW w:w="3010" w:type="pct"/>
            <w:tcBorders>
              <w:top w:val="single" w:color="auto" w:sz="4" w:space="0"/>
              <w:left w:val="single" w:color="auto" w:sz="4" w:space="0"/>
              <w:bottom w:val="single" w:color="auto" w:sz="4" w:space="0"/>
              <w:right w:val="single" w:color="auto" w:sz="4" w:space="0"/>
            </w:tcBorders>
          </w:tcPr>
          <w:p>
            <w:pPr>
              <w:rPr>
                <w:rFonts w:ascii="微软雅黑" w:hAnsi="微软雅黑" w:cs="微软雅黑"/>
                <w:sz w:val="20"/>
                <w:szCs w:val="20"/>
                <w:lang w:eastAsia="zh-Hans"/>
              </w:rPr>
            </w:pPr>
            <w:r>
              <w:rPr>
                <w:rFonts w:hint="eastAsia" w:ascii="微软雅黑" w:hAnsi="微软雅黑" w:cs="微软雅黑"/>
                <w:sz w:val="20"/>
                <w:szCs w:val="20"/>
                <w:lang w:eastAsia="zh-Hans"/>
              </w:rPr>
              <w:t>负责审核调解协议。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1080" w:type="pc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sz w:val="20"/>
                <w:szCs w:val="20"/>
                <w:lang w:eastAsia="zh-Hans"/>
              </w:rPr>
            </w:pPr>
            <w:r>
              <w:rPr>
                <w:rFonts w:hint="eastAsia" w:ascii="微软雅黑" w:hAnsi="微软雅黑" w:cs="微软雅黑"/>
                <w:sz w:val="20"/>
                <w:szCs w:val="20"/>
                <w:lang w:eastAsia="zh-Hans"/>
              </w:rPr>
              <w:t>【省/地市银行保险机构】调解业务受理人员</w:t>
            </w:r>
          </w:p>
        </w:tc>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sz w:val="20"/>
                <w:szCs w:val="20"/>
                <w:lang w:eastAsia="zh-Hans"/>
              </w:rPr>
            </w:pPr>
            <w:r>
              <w:rPr>
                <w:rFonts w:hint="eastAsia" w:ascii="微软雅黑" w:hAnsi="微软雅黑" w:cs="微软雅黑"/>
                <w:sz w:val="20"/>
                <w:szCs w:val="20"/>
                <w:lang w:eastAsia="zh-Hans"/>
              </w:rPr>
              <w:t>【省/地市银行保险机构】调解业务受理人员</w:t>
            </w:r>
          </w:p>
        </w:tc>
        <w:tc>
          <w:tcPr>
            <w:tcW w:w="3010" w:type="pct"/>
            <w:tcBorders>
              <w:top w:val="single" w:color="auto" w:sz="4" w:space="0"/>
              <w:left w:val="single" w:color="auto" w:sz="4" w:space="0"/>
              <w:bottom w:val="single" w:color="auto" w:sz="4" w:space="0"/>
              <w:right w:val="single" w:color="auto" w:sz="4" w:space="0"/>
            </w:tcBorders>
          </w:tcPr>
          <w:p>
            <w:pPr>
              <w:rPr>
                <w:rFonts w:ascii="微软雅黑" w:hAnsi="微软雅黑" w:cs="微软雅黑"/>
                <w:sz w:val="20"/>
                <w:szCs w:val="20"/>
                <w:lang w:eastAsia="zh-Hans"/>
              </w:rPr>
            </w:pPr>
            <w:r>
              <w:rPr>
                <w:rFonts w:hint="eastAsia" w:ascii="微软雅黑" w:hAnsi="微软雅黑" w:cs="微软雅黑"/>
                <w:sz w:val="20"/>
                <w:szCs w:val="20"/>
                <w:lang w:eastAsia="zh-Hans"/>
              </w:rPr>
              <w:t>作为被申请人，在案件受理后，配合提交调解材料。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1080" w:type="pc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sz w:val="20"/>
                <w:szCs w:val="20"/>
              </w:rPr>
            </w:pPr>
            <w:r>
              <w:rPr>
                <w:rFonts w:hint="eastAsia" w:ascii="微软雅黑" w:hAnsi="微软雅黑" w:cs="微软雅黑"/>
                <w:sz w:val="20"/>
                <w:szCs w:val="20"/>
                <w:lang w:eastAsia="zh-Hans"/>
              </w:rPr>
              <w:t>【港澳地区消保组织】投诉</w:t>
            </w:r>
            <w:r>
              <w:rPr>
                <w:rFonts w:hint="eastAsia" w:ascii="微软雅黑" w:hAnsi="微软雅黑" w:cs="微软雅黑"/>
                <w:sz w:val="20"/>
                <w:szCs w:val="20"/>
              </w:rPr>
              <w:t>/调解业务受理人</w:t>
            </w:r>
          </w:p>
        </w:tc>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sz w:val="20"/>
                <w:szCs w:val="20"/>
                <w:lang w:eastAsia="zh-Hans"/>
              </w:rPr>
            </w:pPr>
            <w:r>
              <w:rPr>
                <w:rFonts w:hint="eastAsia" w:ascii="微软雅黑" w:hAnsi="微软雅黑" w:cs="微软雅黑"/>
                <w:sz w:val="20"/>
                <w:szCs w:val="20"/>
                <w:lang w:eastAsia="zh-Hans"/>
              </w:rPr>
              <w:t>【港澳地区消保组织】投诉</w:t>
            </w:r>
            <w:r>
              <w:rPr>
                <w:rFonts w:hint="eastAsia" w:ascii="微软雅黑" w:hAnsi="微软雅黑" w:cs="微软雅黑"/>
                <w:sz w:val="20"/>
                <w:szCs w:val="20"/>
              </w:rPr>
              <w:t>/调解业务受理人</w:t>
            </w:r>
          </w:p>
        </w:tc>
        <w:tc>
          <w:tcPr>
            <w:tcW w:w="3010" w:type="pct"/>
            <w:tcBorders>
              <w:top w:val="single" w:color="auto" w:sz="4" w:space="0"/>
              <w:left w:val="single" w:color="auto" w:sz="4" w:space="0"/>
              <w:bottom w:val="single" w:color="auto" w:sz="4" w:space="0"/>
              <w:right w:val="single" w:color="auto" w:sz="4" w:space="0"/>
            </w:tcBorders>
          </w:tcPr>
          <w:p>
            <w:pPr>
              <w:rPr>
                <w:rFonts w:ascii="微软雅黑" w:hAnsi="微软雅黑" w:cs="微软雅黑"/>
                <w:sz w:val="20"/>
                <w:szCs w:val="20"/>
                <w:lang w:eastAsia="zh-Hans"/>
              </w:rPr>
            </w:pPr>
            <w:r>
              <w:rPr>
                <w:rFonts w:hint="eastAsia" w:ascii="微软雅黑" w:hAnsi="微软雅黑" w:cs="微软雅黑"/>
                <w:sz w:val="20"/>
                <w:szCs w:val="20"/>
                <w:lang w:eastAsia="zh-Hans"/>
              </w:rPr>
              <w:t>【港澳地区消保组织】投诉</w:t>
            </w:r>
            <w:r>
              <w:rPr>
                <w:rFonts w:hint="eastAsia" w:ascii="微软雅黑" w:hAnsi="微软雅黑" w:cs="微软雅黑"/>
                <w:sz w:val="20"/>
                <w:szCs w:val="20"/>
              </w:rPr>
              <w:t>/调解业务受理人能够登陆粤港澳调解平台，处理港澳地区相关银行保险业的投诉、调解业务。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080" w:type="pc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sz w:val="20"/>
                <w:szCs w:val="20"/>
                <w:lang w:eastAsia="zh-Hans"/>
              </w:rPr>
            </w:pPr>
            <w:r>
              <w:rPr>
                <w:rFonts w:hint="eastAsia" w:ascii="微软雅黑" w:hAnsi="微软雅黑" w:cs="微软雅黑"/>
                <w:sz w:val="20"/>
                <w:szCs w:val="20"/>
                <w:lang w:eastAsia="zh-Hans"/>
              </w:rPr>
              <w:t>业务管理者</w:t>
            </w:r>
          </w:p>
        </w:tc>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sz w:val="20"/>
                <w:szCs w:val="20"/>
                <w:lang w:eastAsia="zh-Hans"/>
              </w:rPr>
            </w:pPr>
            <w:r>
              <w:rPr>
                <w:rFonts w:hint="eastAsia" w:ascii="微软雅黑" w:hAnsi="微软雅黑" w:cs="微软雅黑"/>
                <w:sz w:val="20"/>
                <w:szCs w:val="20"/>
                <w:lang w:eastAsia="zh-Hans"/>
              </w:rPr>
              <w:t>【省/地市监管部门】监管人员</w:t>
            </w:r>
          </w:p>
        </w:tc>
        <w:tc>
          <w:tcPr>
            <w:tcW w:w="3010" w:type="pct"/>
            <w:tcBorders>
              <w:top w:val="single" w:color="auto" w:sz="4" w:space="0"/>
              <w:left w:val="single" w:color="auto" w:sz="4" w:space="0"/>
              <w:bottom w:val="single" w:color="auto" w:sz="4" w:space="0"/>
              <w:right w:val="single" w:color="auto" w:sz="4" w:space="0"/>
            </w:tcBorders>
          </w:tcPr>
          <w:p>
            <w:pPr>
              <w:tabs>
                <w:tab w:val="left" w:pos="312"/>
              </w:tabs>
              <w:rPr>
                <w:rFonts w:ascii="微软雅黑" w:hAnsi="微软雅黑" w:cs="微软雅黑"/>
                <w:sz w:val="20"/>
                <w:szCs w:val="20"/>
                <w:lang w:eastAsia="zh-Hans"/>
              </w:rPr>
            </w:pPr>
            <w:r>
              <w:rPr>
                <w:rFonts w:hint="eastAsia" w:ascii="微软雅黑" w:hAnsi="微软雅黑" w:cs="微软雅黑"/>
                <w:sz w:val="20"/>
                <w:szCs w:val="20"/>
                <w:lang w:eastAsia="zh-Hans"/>
              </w:rPr>
              <w:t>查看辖内待处理、已处理的历史投诉/调解工单信息，监测工单处理情况以确保银行业和保险业消费者权益保护实施办法在辖内的落实。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80" w:type="pc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sz w:val="20"/>
                <w:szCs w:val="20"/>
                <w:lang w:eastAsia="zh-Hans"/>
              </w:rPr>
            </w:pPr>
            <w:r>
              <w:rPr>
                <w:rFonts w:hint="eastAsia" w:ascii="微软雅黑" w:hAnsi="微软雅黑" w:cs="微软雅黑"/>
                <w:sz w:val="20"/>
                <w:szCs w:val="20"/>
                <w:lang w:eastAsia="zh-Hans"/>
              </w:rPr>
              <w:t>系统管理员</w:t>
            </w:r>
          </w:p>
        </w:tc>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cs="微软雅黑"/>
                <w:sz w:val="20"/>
                <w:szCs w:val="20"/>
                <w:lang w:eastAsia="zh-Hans"/>
              </w:rPr>
            </w:pPr>
            <w:r>
              <w:rPr>
                <w:rFonts w:hint="eastAsia" w:ascii="微软雅黑" w:hAnsi="微软雅黑" w:cs="微软雅黑"/>
                <w:sz w:val="20"/>
                <w:szCs w:val="20"/>
                <w:lang w:eastAsia="zh-Hans"/>
              </w:rPr>
              <w:t>系统管理员</w:t>
            </w:r>
          </w:p>
        </w:tc>
        <w:tc>
          <w:tcPr>
            <w:tcW w:w="3010" w:type="pct"/>
            <w:tcBorders>
              <w:top w:val="single" w:color="auto" w:sz="4" w:space="0"/>
              <w:left w:val="single" w:color="auto" w:sz="4" w:space="0"/>
              <w:bottom w:val="single" w:color="auto" w:sz="4" w:space="0"/>
              <w:right w:val="single" w:color="auto" w:sz="4" w:space="0"/>
            </w:tcBorders>
          </w:tcPr>
          <w:p>
            <w:pPr>
              <w:rPr>
                <w:rFonts w:ascii="微软雅黑" w:hAnsi="微软雅黑" w:cs="微软雅黑"/>
                <w:sz w:val="20"/>
                <w:szCs w:val="20"/>
                <w:lang w:eastAsia="zh-Hans"/>
              </w:rPr>
            </w:pPr>
            <w:r>
              <w:rPr>
                <w:rFonts w:hint="eastAsia" w:ascii="微软雅黑" w:hAnsi="微软雅黑" w:cs="微软雅黑"/>
                <w:sz w:val="20"/>
                <w:szCs w:val="20"/>
                <w:lang w:eastAsia="zh-Hans"/>
              </w:rPr>
              <w:t>负责系统维护（组织机构维护、用户维护、权限管理），监控系统运行日志。</w:t>
            </w:r>
          </w:p>
        </w:tc>
      </w:tr>
    </w:tbl>
    <w:p>
      <w:pPr>
        <w:rPr>
          <w:rFonts w:ascii="微软雅黑" w:hAnsi="微软雅黑" w:cs="微软雅黑"/>
          <w:sz w:val="20"/>
          <w:szCs w:val="20"/>
          <w:lang w:eastAsia="zh-Hans"/>
        </w:rPr>
      </w:pPr>
    </w:p>
    <w:p>
      <w:pPr>
        <w:tabs>
          <w:tab w:val="left" w:pos="420"/>
          <w:tab w:val="left" w:pos="576"/>
        </w:tabs>
        <w:spacing w:before="84" w:after="84" w:line="380" w:lineRule="exact"/>
        <w:ind w:left="440" w:leftChars="200" w:firstLine="400" w:firstLineChars="200"/>
        <w:rPr>
          <w:rFonts w:ascii="宋体" w:hAnsi="宋体"/>
          <w:sz w:val="20"/>
          <w:szCs w:val="20"/>
        </w:rPr>
      </w:pPr>
      <w:r>
        <w:rPr>
          <w:rFonts w:hint="eastAsia" w:ascii="宋体" w:hAnsi="宋体"/>
          <w:sz w:val="20"/>
          <w:szCs w:val="20"/>
        </w:rPr>
        <w:t>系统需提供个性化的角色自定义功能，用户可属于多个角色。系统基于角色进行权限管理，用户最终拥有的权限为其所属角色权限的合集。</w:t>
      </w:r>
    </w:p>
    <w:p>
      <w:pPr>
        <w:pStyle w:val="190"/>
        <w:numPr>
          <w:ilvl w:val="1"/>
          <w:numId w:val="7"/>
        </w:numPr>
        <w:spacing w:before="84" w:after="84"/>
        <w:ind w:left="0" w:firstLine="0"/>
      </w:pPr>
      <w:r>
        <w:rPr>
          <w:rFonts w:hint="eastAsia"/>
        </w:rPr>
        <w:t>服务期限</w:t>
      </w:r>
    </w:p>
    <w:p>
      <w:pPr>
        <w:spacing w:before="84" w:after="84"/>
        <w:ind w:firstLine="200" w:firstLineChars="100"/>
        <w:rPr>
          <w:rFonts w:ascii="宋体" w:hAnsi="宋体"/>
          <w:sz w:val="20"/>
          <w:szCs w:val="20"/>
        </w:rPr>
      </w:pPr>
      <w:r>
        <w:rPr>
          <w:rFonts w:hint="eastAsia" w:ascii="宋体" w:hAnsi="宋体"/>
          <w:sz w:val="20"/>
          <w:szCs w:val="20"/>
        </w:rPr>
        <w:t>本</w:t>
      </w:r>
      <w:r>
        <w:rPr>
          <w:rFonts w:hint="eastAsia" w:ascii="宋体" w:hAnsi="宋体" w:cs="微软雅黑"/>
          <w:sz w:val="20"/>
          <w:szCs w:val="20"/>
        </w:rPr>
        <w:t>项</w:t>
      </w:r>
      <w:r>
        <w:rPr>
          <w:rFonts w:hint="eastAsia" w:ascii="宋体" w:hAnsi="宋体" w:eastAsia="MS Gothic" w:cs="MS Gothic"/>
          <w:sz w:val="20"/>
          <w:szCs w:val="20"/>
        </w:rPr>
        <w:t>目服</w:t>
      </w:r>
      <w:r>
        <w:rPr>
          <w:rFonts w:hint="eastAsia" w:ascii="宋体" w:hAnsi="宋体" w:cs="微软雅黑"/>
          <w:sz w:val="20"/>
          <w:szCs w:val="20"/>
        </w:rPr>
        <w:t>务</w:t>
      </w:r>
      <w:r>
        <w:rPr>
          <w:rFonts w:hint="eastAsia" w:ascii="宋体" w:hAnsi="宋体" w:eastAsia="MS Gothic" w:cs="MS Gothic"/>
          <w:sz w:val="20"/>
          <w:szCs w:val="20"/>
        </w:rPr>
        <w:t>期限</w:t>
      </w:r>
      <w:r>
        <w:rPr>
          <w:rFonts w:hint="eastAsia" w:ascii="宋体" w:hAnsi="宋体" w:cs="微软雅黑"/>
          <w:sz w:val="20"/>
          <w:szCs w:val="20"/>
        </w:rPr>
        <w:t>为</w:t>
      </w:r>
      <w:r>
        <w:rPr>
          <w:rFonts w:hint="eastAsia" w:ascii="宋体" w:hAnsi="宋体" w:eastAsia="MS Gothic" w:cs="MS Gothic"/>
          <w:sz w:val="20"/>
          <w:szCs w:val="20"/>
        </w:rPr>
        <w:t>自合同</w:t>
      </w:r>
      <w:r>
        <w:rPr>
          <w:rFonts w:hint="eastAsia" w:ascii="宋体" w:hAnsi="宋体" w:cs="微软雅黑"/>
          <w:sz w:val="20"/>
          <w:szCs w:val="20"/>
        </w:rPr>
        <w:t>签订</w:t>
      </w:r>
      <w:r>
        <w:rPr>
          <w:rFonts w:hint="eastAsia" w:ascii="宋体" w:hAnsi="宋体" w:eastAsia="MS Gothic" w:cs="MS Gothic"/>
          <w:sz w:val="20"/>
          <w:szCs w:val="20"/>
        </w:rPr>
        <w:t>之日起</w:t>
      </w:r>
      <w:r>
        <w:rPr>
          <w:rFonts w:ascii="宋体" w:hAnsi="宋体"/>
          <w:sz w:val="20"/>
          <w:szCs w:val="20"/>
        </w:rPr>
        <w:t xml:space="preserve"> 9 </w:t>
      </w:r>
      <w:r>
        <w:rPr>
          <w:rFonts w:hint="eastAsia" w:ascii="宋体" w:hAnsi="宋体"/>
          <w:sz w:val="20"/>
          <w:szCs w:val="20"/>
        </w:rPr>
        <w:t>个月。</w:t>
      </w:r>
    </w:p>
    <w:p>
      <w:pPr>
        <w:pStyle w:val="190"/>
        <w:numPr>
          <w:ilvl w:val="1"/>
          <w:numId w:val="7"/>
        </w:numPr>
        <w:spacing w:before="84" w:after="84"/>
      </w:pPr>
      <w:r>
        <w:rPr>
          <w:rFonts w:hint="eastAsia"/>
        </w:rPr>
        <w:t>总体框架设计要求</w:t>
      </w:r>
    </w:p>
    <w:p>
      <w:pPr>
        <w:ind w:firstLine="200" w:firstLineChars="100"/>
        <w:rPr>
          <w:sz w:val="20"/>
          <w:szCs w:val="20"/>
        </w:rPr>
      </w:pPr>
      <w:r>
        <w:rPr>
          <w:rFonts w:hint="eastAsia"/>
          <w:sz w:val="20"/>
          <w:szCs w:val="20"/>
        </w:rPr>
        <w:t>本项目总体框架设计要求本系统开发过程中需集成对接以下广东省数字政府产品及服务能力：</w:t>
      </w:r>
    </w:p>
    <w:p>
      <w:pPr>
        <w:pStyle w:val="190"/>
        <w:numPr>
          <w:ilvl w:val="2"/>
          <w:numId w:val="7"/>
        </w:numPr>
        <w:spacing w:before="84" w:after="84"/>
        <w:outlineLvl w:val="2"/>
        <w:rPr>
          <w:sz w:val="30"/>
          <w:szCs w:val="30"/>
        </w:rPr>
      </w:pPr>
      <w:r>
        <w:rPr>
          <w:rFonts w:hint="eastAsia"/>
          <w:sz w:val="30"/>
          <w:szCs w:val="30"/>
        </w:rPr>
        <w:t>对接公共身份认证体系</w:t>
      </w:r>
    </w:p>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项目需对接已建成的公共身份认证体系，为公众和工作人员提供统一的账号密码管理体系。</w:t>
      </w:r>
    </w:p>
    <w:p>
      <w:pPr>
        <w:pStyle w:val="190"/>
        <w:numPr>
          <w:ilvl w:val="2"/>
          <w:numId w:val="7"/>
        </w:numPr>
        <w:spacing w:before="84" w:after="84"/>
        <w:outlineLvl w:val="2"/>
        <w:rPr>
          <w:sz w:val="30"/>
          <w:szCs w:val="30"/>
        </w:rPr>
      </w:pPr>
      <w:r>
        <w:rPr>
          <w:rFonts w:hint="eastAsia"/>
          <w:sz w:val="30"/>
          <w:szCs w:val="30"/>
        </w:rPr>
        <w:t>对接统一政务服务平台</w:t>
      </w:r>
    </w:p>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项目需上线统一政务服务平台，为公众侧提供便捷入口。</w:t>
      </w:r>
    </w:p>
    <w:p>
      <w:pPr>
        <w:pStyle w:val="190"/>
        <w:numPr>
          <w:ilvl w:val="2"/>
          <w:numId w:val="7"/>
        </w:numPr>
        <w:spacing w:before="84" w:after="84"/>
        <w:outlineLvl w:val="2"/>
        <w:rPr>
          <w:sz w:val="30"/>
          <w:szCs w:val="30"/>
        </w:rPr>
      </w:pPr>
      <w:r>
        <w:rPr>
          <w:rFonts w:hint="eastAsia"/>
          <w:sz w:val="30"/>
          <w:szCs w:val="30"/>
        </w:rPr>
        <w:t>对接电子印章服务平台</w:t>
      </w:r>
    </w:p>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对接电子印章服务平台，实现电子签章功能。</w:t>
      </w:r>
    </w:p>
    <w:p>
      <w:pPr>
        <w:pStyle w:val="190"/>
        <w:numPr>
          <w:ilvl w:val="2"/>
          <w:numId w:val="7"/>
        </w:numPr>
        <w:spacing w:before="84" w:after="84"/>
        <w:outlineLvl w:val="2"/>
        <w:rPr>
          <w:sz w:val="30"/>
          <w:szCs w:val="30"/>
        </w:rPr>
      </w:pPr>
      <w:r>
        <w:rPr>
          <w:rFonts w:hint="eastAsia"/>
          <w:sz w:val="30"/>
          <w:szCs w:val="30"/>
        </w:rPr>
        <w:t>对接电子签名平台</w:t>
      </w:r>
    </w:p>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对接电子签名平台，提供自然人、法人的电子签名能力，实现随时随地进行线上文件签署。</w:t>
      </w:r>
    </w:p>
    <w:p>
      <w:pPr>
        <w:pStyle w:val="190"/>
        <w:numPr>
          <w:ilvl w:val="1"/>
          <w:numId w:val="7"/>
        </w:numPr>
        <w:spacing w:before="84" w:after="84"/>
        <w:ind w:left="0" w:firstLine="0"/>
      </w:pPr>
      <w:r>
        <w:rPr>
          <w:rFonts w:hint="eastAsia"/>
        </w:rPr>
        <w:t>定制软件开发功能需求</w:t>
      </w:r>
      <w:bookmarkEnd w:id="1137"/>
      <w:bookmarkEnd w:id="1138"/>
      <w:bookmarkEnd w:id="1139"/>
      <w:bookmarkEnd w:id="1140"/>
    </w:p>
    <w:p>
      <w:pPr>
        <w:pStyle w:val="191"/>
        <w:spacing w:line="380" w:lineRule="exact"/>
        <w:ind w:firstLine="198"/>
        <w:jc w:val="both"/>
        <w:rPr>
          <w:sz w:val="20"/>
          <w:szCs w:val="20"/>
        </w:rPr>
      </w:pPr>
      <w:r>
        <w:rPr>
          <w:rFonts w:hint="eastAsia"/>
          <w:sz w:val="20"/>
          <w:szCs w:val="20"/>
        </w:rPr>
        <w:t>数字消保中心总体架构由公众侧门户（</w:t>
      </w:r>
      <w:r>
        <w:rPr>
          <w:sz w:val="20"/>
          <w:szCs w:val="20"/>
        </w:rPr>
        <w:t>PC</w:t>
      </w:r>
      <w:r>
        <w:rPr>
          <w:rFonts w:hint="eastAsia"/>
          <w:sz w:val="20"/>
          <w:szCs w:val="20"/>
        </w:rPr>
        <w:t>或小程序）、全渠道业务接收平台、投诉业务管理平台、调解业务管理平台、数据统计与监测分析平台、知识交流平台、粤港澳调解平台</w:t>
      </w:r>
      <w:r>
        <w:rPr>
          <w:sz w:val="20"/>
          <w:szCs w:val="20"/>
        </w:rPr>
        <w:t>7</w:t>
      </w:r>
      <w:r>
        <w:rPr>
          <w:rFonts w:hint="eastAsia"/>
          <w:sz w:val="20"/>
          <w:szCs w:val="20"/>
        </w:rPr>
        <w:t>个平台组成，综合运用工作流引擎与数据分析技术，实现制度流程化、流程系统化、数据实时化、知识共享化、管理全面化。</w:t>
      </w:r>
    </w:p>
    <w:p>
      <w:pPr>
        <w:pStyle w:val="190"/>
        <w:numPr>
          <w:ilvl w:val="2"/>
          <w:numId w:val="7"/>
        </w:numPr>
        <w:spacing w:before="84" w:after="84"/>
        <w:outlineLvl w:val="2"/>
        <w:rPr>
          <w:sz w:val="30"/>
          <w:szCs w:val="30"/>
        </w:rPr>
      </w:pPr>
      <w:r>
        <w:rPr>
          <w:rFonts w:hint="eastAsia"/>
          <w:sz w:val="30"/>
          <w:szCs w:val="30"/>
        </w:rPr>
        <w:t>功能总图</w:t>
      </w:r>
    </w:p>
    <w:p/>
    <w:p>
      <w:pPr>
        <w:pStyle w:val="2"/>
        <w:tabs>
          <w:tab w:val="left" w:pos="1260"/>
          <w:tab w:val="right" w:leader="dot" w:pos="9054"/>
        </w:tabs>
        <w:ind w:left="440" w:leftChars="0"/>
        <w:contextualSpacing/>
      </w:pPr>
      <w:r>
        <w:drawing>
          <wp:inline distT="0" distB="0" distL="0" distR="0">
            <wp:extent cx="4779645" cy="8894445"/>
            <wp:effectExtent l="0" t="0" r="190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779645" cy="8894445"/>
                    </a:xfrm>
                    <a:prstGeom prst="rect">
                      <a:avLst/>
                    </a:prstGeom>
                    <a:noFill/>
                    <a:ln>
                      <a:noFill/>
                    </a:ln>
                  </pic:spPr>
                </pic:pic>
              </a:graphicData>
            </a:graphic>
          </wp:inline>
        </w:drawing>
      </w:r>
    </w:p>
    <w:p>
      <w:pPr>
        <w:pStyle w:val="190"/>
        <w:numPr>
          <w:ilvl w:val="2"/>
          <w:numId w:val="7"/>
        </w:numPr>
        <w:spacing w:before="84" w:after="84"/>
        <w:outlineLvl w:val="2"/>
        <w:rPr>
          <w:sz w:val="30"/>
          <w:szCs w:val="30"/>
        </w:rPr>
      </w:pPr>
      <w:r>
        <w:rPr>
          <w:rFonts w:hint="eastAsia"/>
          <w:sz w:val="30"/>
          <w:szCs w:val="30"/>
        </w:rPr>
        <w:t>功能描述表</w:t>
      </w:r>
    </w:p>
    <w:tbl>
      <w:tblPr>
        <w:tblStyle w:val="45"/>
        <w:tblW w:w="4998" w:type="pct"/>
        <w:tblInd w:w="0" w:type="dxa"/>
        <w:tblLayout w:type="autofit"/>
        <w:tblCellMar>
          <w:top w:w="0" w:type="dxa"/>
          <w:left w:w="108" w:type="dxa"/>
          <w:bottom w:w="0" w:type="dxa"/>
          <w:right w:w="108" w:type="dxa"/>
        </w:tblCellMar>
      </w:tblPr>
      <w:tblGrid>
        <w:gridCol w:w="616"/>
        <w:gridCol w:w="2416"/>
        <w:gridCol w:w="2016"/>
        <w:gridCol w:w="4910"/>
      </w:tblGrid>
      <w:tr>
        <w:tblPrEx>
          <w:tblCellMar>
            <w:top w:w="0" w:type="dxa"/>
            <w:left w:w="108" w:type="dxa"/>
            <w:bottom w:w="0" w:type="dxa"/>
            <w:right w:w="108" w:type="dxa"/>
          </w:tblCellMar>
        </w:tblPrEx>
        <w:trPr>
          <w:trHeight w:val="239" w:hRule="atLeast"/>
          <w:tblHeader/>
        </w:trPr>
        <w:tc>
          <w:tcPr>
            <w:tcW w:w="364" w:type="pct"/>
            <w:tcBorders>
              <w:top w:val="single" w:color="auto" w:sz="4" w:space="0"/>
              <w:left w:val="single" w:color="auto" w:sz="4" w:space="0"/>
              <w:bottom w:val="single" w:color="auto" w:sz="4" w:space="0"/>
              <w:right w:val="single" w:color="auto" w:sz="4" w:space="0"/>
            </w:tcBorders>
            <w:noWrap/>
            <w:vAlign w:val="center"/>
          </w:tcPr>
          <w:p>
            <w:pPr>
              <w:jc w:val="center"/>
              <w:rPr>
                <w:rFonts w:ascii="微软雅黑" w:hAnsi="微软雅黑" w:cs="微软雅黑"/>
                <w:b/>
                <w:bCs/>
                <w:color w:val="000000"/>
                <w:sz w:val="20"/>
                <w:szCs w:val="20"/>
              </w:rPr>
            </w:pPr>
            <w:bookmarkStart w:id="1141" w:name="_Toc28637"/>
            <w:bookmarkStart w:id="1142" w:name="_Toc7296500"/>
            <w:bookmarkStart w:id="1143" w:name="_Toc13452"/>
            <w:bookmarkStart w:id="1144" w:name="_Toc18056"/>
            <w:bookmarkStart w:id="1145" w:name="_Toc29374"/>
            <w:bookmarkStart w:id="1146" w:name="_Toc35447516"/>
            <w:bookmarkStart w:id="1147" w:name="_Toc7211221"/>
            <w:bookmarkStart w:id="1148" w:name="_Toc7328760"/>
            <w:bookmarkStart w:id="1149" w:name="_Toc10491"/>
            <w:bookmarkStart w:id="1150" w:name="_Toc35447515"/>
            <w:bookmarkStart w:id="1151" w:name="_Toc15108"/>
            <w:bookmarkStart w:id="1152" w:name="_Toc1969"/>
            <w:bookmarkStart w:id="1153" w:name="_Hlk7328841"/>
            <w:r>
              <w:rPr>
                <w:rFonts w:hint="eastAsia" w:ascii="微软雅黑" w:hAnsi="微软雅黑" w:cs="微软雅黑"/>
                <w:b/>
                <w:bCs/>
                <w:color w:val="000000"/>
                <w:sz w:val="20"/>
                <w:szCs w:val="20"/>
              </w:rPr>
              <w:t>序号</w:t>
            </w:r>
          </w:p>
        </w:tc>
        <w:tc>
          <w:tcPr>
            <w:tcW w:w="946" w:type="pct"/>
            <w:tcBorders>
              <w:top w:val="single" w:color="auto" w:sz="4" w:space="0"/>
              <w:left w:val="nil"/>
              <w:bottom w:val="single" w:color="auto" w:sz="4" w:space="0"/>
              <w:right w:val="single" w:color="auto" w:sz="4" w:space="0"/>
            </w:tcBorders>
            <w:noWrap/>
            <w:vAlign w:val="center"/>
          </w:tcPr>
          <w:p>
            <w:pPr>
              <w:jc w:val="center"/>
              <w:rPr>
                <w:rFonts w:ascii="微软雅黑" w:hAnsi="微软雅黑" w:cs="微软雅黑"/>
                <w:b/>
                <w:bCs/>
                <w:color w:val="000000"/>
                <w:sz w:val="20"/>
                <w:szCs w:val="20"/>
              </w:rPr>
            </w:pPr>
            <w:r>
              <w:rPr>
                <w:rFonts w:hint="eastAsia" w:ascii="微软雅黑" w:hAnsi="微软雅黑" w:cs="微软雅黑"/>
                <w:b/>
                <w:bCs/>
                <w:color w:val="000000"/>
                <w:sz w:val="20"/>
                <w:szCs w:val="20"/>
              </w:rPr>
              <w:t>平台</w:t>
            </w:r>
          </w:p>
        </w:tc>
        <w:tc>
          <w:tcPr>
            <w:tcW w:w="1100" w:type="pct"/>
            <w:tcBorders>
              <w:top w:val="single" w:color="auto" w:sz="4" w:space="0"/>
              <w:left w:val="nil"/>
              <w:bottom w:val="single" w:color="auto" w:sz="4" w:space="0"/>
              <w:right w:val="single" w:color="auto" w:sz="4" w:space="0"/>
            </w:tcBorders>
            <w:noWrap/>
            <w:vAlign w:val="center"/>
          </w:tcPr>
          <w:p>
            <w:pPr>
              <w:jc w:val="center"/>
              <w:rPr>
                <w:rFonts w:ascii="微软雅黑" w:hAnsi="微软雅黑" w:cs="微软雅黑"/>
                <w:b/>
                <w:bCs/>
                <w:color w:val="000000"/>
                <w:sz w:val="20"/>
                <w:szCs w:val="20"/>
              </w:rPr>
            </w:pPr>
            <w:r>
              <w:rPr>
                <w:rFonts w:hint="eastAsia" w:ascii="微软雅黑" w:hAnsi="微软雅黑" w:cs="微软雅黑"/>
                <w:b/>
                <w:bCs/>
                <w:color w:val="000000"/>
                <w:sz w:val="20"/>
                <w:szCs w:val="20"/>
              </w:rPr>
              <w:t>功能模块</w:t>
            </w:r>
          </w:p>
        </w:tc>
        <w:tc>
          <w:tcPr>
            <w:tcW w:w="2587" w:type="pct"/>
            <w:tcBorders>
              <w:top w:val="single" w:color="auto" w:sz="4" w:space="0"/>
              <w:left w:val="nil"/>
              <w:bottom w:val="single" w:color="auto" w:sz="4" w:space="0"/>
              <w:right w:val="single" w:color="auto" w:sz="4" w:space="0"/>
            </w:tcBorders>
            <w:vAlign w:val="center"/>
          </w:tcPr>
          <w:p>
            <w:pPr>
              <w:jc w:val="center"/>
              <w:rPr>
                <w:rFonts w:ascii="微软雅黑" w:hAnsi="微软雅黑" w:cs="微软雅黑"/>
                <w:b/>
                <w:bCs/>
                <w:color w:val="000000"/>
                <w:sz w:val="20"/>
                <w:szCs w:val="20"/>
              </w:rPr>
            </w:pPr>
            <w:r>
              <w:rPr>
                <w:rFonts w:hint="eastAsia" w:ascii="微软雅黑" w:hAnsi="微软雅黑" w:cs="微软雅黑"/>
                <w:b/>
                <w:bCs/>
                <w:color w:val="000000"/>
                <w:sz w:val="20"/>
                <w:szCs w:val="20"/>
              </w:rPr>
              <w:t>功能描述</w:t>
            </w:r>
          </w:p>
        </w:tc>
      </w:tr>
      <w:tr>
        <w:tblPrEx>
          <w:tblCellMar>
            <w:top w:w="0" w:type="dxa"/>
            <w:left w:w="108" w:type="dxa"/>
            <w:bottom w:w="0" w:type="dxa"/>
            <w:right w:w="108" w:type="dxa"/>
          </w:tblCellMar>
        </w:tblPrEx>
        <w:trPr>
          <w:trHeight w:val="239"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1</w:t>
            </w:r>
          </w:p>
        </w:tc>
        <w:tc>
          <w:tcPr>
            <w:tcW w:w="946" w:type="pct"/>
            <w:vMerge w:val="restart"/>
            <w:tcBorders>
              <w:top w:val="nil"/>
              <w:left w:val="single" w:color="auto" w:sz="4" w:space="0"/>
              <w:bottom w:val="single" w:color="auto" w:sz="4" w:space="0"/>
              <w:right w:val="single" w:color="auto" w:sz="4" w:space="0"/>
            </w:tcBorders>
            <w:noWrap/>
            <w:vAlign w:val="center"/>
          </w:tcPr>
          <w:p>
            <w:pPr>
              <w:spacing w:line="320" w:lineRule="exact"/>
              <w:jc w:val="center"/>
              <w:rPr>
                <w:rFonts w:ascii="微软雅黑" w:hAnsi="微软雅黑" w:cs="微软雅黑"/>
                <w:b/>
                <w:bCs/>
                <w:color w:val="000000"/>
                <w:sz w:val="20"/>
                <w:szCs w:val="20"/>
              </w:rPr>
            </w:pPr>
            <w:r>
              <w:rPr>
                <w:rFonts w:hint="eastAsia" w:ascii="微软雅黑" w:hAnsi="微软雅黑" w:cs="微软雅黑"/>
                <w:b/>
                <w:bCs/>
                <w:color w:val="000000"/>
                <w:sz w:val="20"/>
                <w:szCs w:val="20"/>
              </w:rPr>
              <w:t>公众侧门户</w:t>
            </w:r>
          </w:p>
          <w:p>
            <w:pPr>
              <w:spacing w:line="320" w:lineRule="exact"/>
              <w:jc w:val="center"/>
              <w:rPr>
                <w:rFonts w:ascii="微软雅黑" w:hAnsi="微软雅黑" w:cs="微软雅黑"/>
                <w:b/>
                <w:bCs/>
                <w:color w:val="000000"/>
                <w:sz w:val="20"/>
                <w:szCs w:val="20"/>
              </w:rPr>
            </w:pPr>
            <w:r>
              <w:rPr>
                <w:rFonts w:hint="eastAsia" w:ascii="微软雅黑" w:hAnsi="微软雅黑" w:cs="微软雅黑"/>
                <w:b/>
                <w:bCs/>
                <w:color w:val="000000"/>
                <w:sz w:val="20"/>
                <w:szCs w:val="20"/>
              </w:rPr>
              <w:t>（小程序端+WEB</w:t>
            </w:r>
          </w:p>
          <w:p>
            <w:pPr>
              <w:spacing w:line="320" w:lineRule="exact"/>
              <w:jc w:val="center"/>
              <w:rPr>
                <w:rFonts w:ascii="微软雅黑" w:hAnsi="微软雅黑" w:cs="微软雅黑"/>
                <w:b/>
                <w:bCs/>
                <w:color w:val="000000"/>
                <w:sz w:val="20"/>
                <w:szCs w:val="20"/>
              </w:rPr>
            </w:pPr>
            <w:r>
              <w:rPr>
                <w:rFonts w:hint="eastAsia" w:ascii="微软雅黑" w:hAnsi="微软雅黑" w:cs="微软雅黑"/>
                <w:b/>
                <w:bCs/>
                <w:color w:val="000000"/>
                <w:sz w:val="20"/>
                <w:szCs w:val="20"/>
              </w:rPr>
              <w:t>端门户）</w:t>
            </w:r>
          </w:p>
        </w:tc>
        <w:tc>
          <w:tcPr>
            <w:tcW w:w="1100" w:type="pct"/>
            <w:tcBorders>
              <w:top w:val="nil"/>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首页</w:t>
            </w:r>
          </w:p>
        </w:tc>
        <w:tc>
          <w:tcPr>
            <w:tcW w:w="2587" w:type="pct"/>
            <w:tcBorders>
              <w:top w:val="nil"/>
              <w:left w:val="single" w:color="auto" w:sz="4" w:space="0"/>
              <w:bottom w:val="single" w:color="000000" w:sz="4" w:space="0"/>
              <w:right w:val="single" w:color="auto" w:sz="4" w:space="0"/>
            </w:tcBorders>
            <w:vAlign w:val="center"/>
          </w:tcPr>
          <w:p>
            <w:pPr>
              <w:rPr>
                <w:rFonts w:ascii="微软雅黑" w:hAnsi="微软雅黑" w:cs="微软雅黑"/>
                <w:sz w:val="20"/>
                <w:szCs w:val="20"/>
              </w:rPr>
            </w:pPr>
            <w:r>
              <w:rPr>
                <w:rFonts w:hint="eastAsia" w:ascii="微软雅黑" w:hAnsi="微软雅黑" w:cs="微软雅黑"/>
                <w:sz w:val="20"/>
                <w:szCs w:val="20"/>
              </w:rPr>
              <w:t>提供我要投诉、我要调解、线上调解等功能快捷入口。</w:t>
            </w:r>
          </w:p>
        </w:tc>
      </w:tr>
      <w:tr>
        <w:tblPrEx>
          <w:tblCellMar>
            <w:top w:w="0" w:type="dxa"/>
            <w:left w:w="108" w:type="dxa"/>
            <w:bottom w:w="0" w:type="dxa"/>
            <w:right w:w="108" w:type="dxa"/>
          </w:tblCellMar>
        </w:tblPrEx>
        <w:trPr>
          <w:trHeight w:val="239"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2</w:t>
            </w:r>
          </w:p>
        </w:tc>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nil"/>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服务指南</w:t>
            </w:r>
          </w:p>
        </w:tc>
        <w:tc>
          <w:tcPr>
            <w:tcW w:w="2587" w:type="pct"/>
            <w:tcBorders>
              <w:top w:val="nil"/>
              <w:left w:val="single" w:color="auto" w:sz="4" w:space="0"/>
              <w:bottom w:val="single" w:color="000000" w:sz="4" w:space="0"/>
              <w:right w:val="single" w:color="auto" w:sz="4" w:space="0"/>
            </w:tcBorders>
            <w:vAlign w:val="center"/>
          </w:tcPr>
          <w:p>
            <w:pPr>
              <w:rPr>
                <w:rFonts w:ascii="微软雅黑" w:hAnsi="微软雅黑" w:cs="微软雅黑"/>
                <w:sz w:val="20"/>
                <w:szCs w:val="20"/>
              </w:rPr>
            </w:pPr>
            <w:r>
              <w:rPr>
                <w:rFonts w:hint="eastAsia" w:ascii="微软雅黑" w:hAnsi="微软雅黑" w:cs="微软雅黑"/>
                <w:sz w:val="20"/>
                <w:szCs w:val="20"/>
              </w:rPr>
              <w:t>展示投诉或调解的申请流程。</w:t>
            </w:r>
          </w:p>
        </w:tc>
      </w:tr>
      <w:tr>
        <w:tblPrEx>
          <w:tblCellMar>
            <w:top w:w="0" w:type="dxa"/>
            <w:left w:w="108" w:type="dxa"/>
            <w:bottom w:w="0" w:type="dxa"/>
            <w:right w:w="108" w:type="dxa"/>
          </w:tblCellMar>
        </w:tblPrEx>
        <w:trPr>
          <w:trHeight w:val="239"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3</w:t>
            </w:r>
          </w:p>
        </w:tc>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nil"/>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业务申请与办理</w:t>
            </w:r>
          </w:p>
        </w:tc>
        <w:tc>
          <w:tcPr>
            <w:tcW w:w="2587" w:type="pct"/>
            <w:tcBorders>
              <w:top w:val="nil"/>
              <w:left w:val="single" w:color="auto" w:sz="4" w:space="0"/>
              <w:bottom w:val="single" w:color="000000" w:sz="4" w:space="0"/>
              <w:right w:val="single" w:color="auto" w:sz="4" w:space="0"/>
            </w:tcBorders>
            <w:vAlign w:val="center"/>
          </w:tcPr>
          <w:p>
            <w:pPr>
              <w:rPr>
                <w:rFonts w:ascii="微软雅黑" w:hAnsi="微软雅黑" w:cs="微软雅黑"/>
                <w:color w:val="000000"/>
                <w:sz w:val="20"/>
                <w:szCs w:val="20"/>
              </w:rPr>
            </w:pPr>
            <w:r>
              <w:rPr>
                <w:rFonts w:hint="eastAsia" w:ascii="微软雅黑" w:hAnsi="微软雅黑" w:cs="微软雅黑"/>
                <w:sz w:val="20"/>
                <w:szCs w:val="20"/>
              </w:rPr>
              <w:t>系统提供投诉业务和调解业务申请功能、调解房间进入功能。</w:t>
            </w:r>
          </w:p>
        </w:tc>
      </w:tr>
      <w:tr>
        <w:tblPrEx>
          <w:tblCellMar>
            <w:top w:w="0" w:type="dxa"/>
            <w:left w:w="108" w:type="dxa"/>
            <w:bottom w:w="0" w:type="dxa"/>
            <w:right w:w="108" w:type="dxa"/>
          </w:tblCellMar>
        </w:tblPrEx>
        <w:trPr>
          <w:trHeight w:val="314"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4</w:t>
            </w:r>
          </w:p>
        </w:tc>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nil"/>
              <w:left w:val="nil"/>
              <w:bottom w:val="single" w:color="auto" w:sz="4" w:space="0"/>
              <w:right w:val="single" w:color="auto" w:sz="4" w:space="0"/>
            </w:tcBorders>
            <w:noWrap/>
            <w:vAlign w:val="center"/>
          </w:tcPr>
          <w:p>
            <w:pPr>
              <w:ind w:firstLine="200" w:firstLineChars="100"/>
              <w:jc w:val="center"/>
              <w:rPr>
                <w:rFonts w:ascii="微软雅黑" w:hAnsi="微软雅黑" w:cs="微软雅黑"/>
                <w:color w:val="000000"/>
                <w:sz w:val="20"/>
                <w:szCs w:val="20"/>
              </w:rPr>
            </w:pPr>
            <w:r>
              <w:rPr>
                <w:rFonts w:hint="eastAsia" w:ascii="微软雅黑" w:hAnsi="微软雅黑" w:cs="微软雅黑"/>
                <w:color w:val="000000"/>
                <w:sz w:val="20"/>
                <w:szCs w:val="20"/>
              </w:rPr>
              <w:t>个人中心</w:t>
            </w:r>
          </w:p>
        </w:tc>
        <w:tc>
          <w:tcPr>
            <w:tcW w:w="2587" w:type="pct"/>
            <w:tcBorders>
              <w:top w:val="nil"/>
              <w:left w:val="single" w:color="auto" w:sz="4" w:space="0"/>
              <w:bottom w:val="single" w:color="000000" w:sz="4" w:space="0"/>
              <w:right w:val="single" w:color="auto" w:sz="4" w:space="0"/>
            </w:tcBorders>
            <w:vAlign w:val="center"/>
          </w:tcPr>
          <w:p>
            <w:pPr>
              <w:rPr>
                <w:rFonts w:ascii="微软雅黑" w:hAnsi="微软雅黑" w:cs="微软雅黑"/>
                <w:color w:val="000000"/>
                <w:sz w:val="20"/>
                <w:szCs w:val="20"/>
              </w:rPr>
            </w:pPr>
            <w:r>
              <w:rPr>
                <w:rFonts w:hint="eastAsia" w:ascii="微软雅黑" w:hAnsi="微软雅黑" w:cs="微软雅黑"/>
                <w:sz w:val="20"/>
                <w:szCs w:val="20"/>
              </w:rPr>
              <w:t>支持查看所有个人发起的工单，支持对已办结案件的办理情况进行评价。</w:t>
            </w:r>
          </w:p>
        </w:tc>
      </w:tr>
      <w:tr>
        <w:tblPrEx>
          <w:tblCellMar>
            <w:top w:w="0" w:type="dxa"/>
            <w:left w:w="108" w:type="dxa"/>
            <w:bottom w:w="0" w:type="dxa"/>
            <w:right w:w="108" w:type="dxa"/>
          </w:tblCellMar>
        </w:tblPrEx>
        <w:trPr>
          <w:trHeight w:val="239"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5</w:t>
            </w:r>
          </w:p>
        </w:tc>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nil"/>
              <w:left w:val="nil"/>
              <w:bottom w:val="single" w:color="auto" w:sz="4" w:space="0"/>
              <w:right w:val="single" w:color="auto" w:sz="4" w:space="0"/>
            </w:tcBorders>
            <w:noWrap/>
            <w:vAlign w:val="center"/>
          </w:tcPr>
          <w:p>
            <w:pPr>
              <w:ind w:firstLine="200" w:firstLineChars="100"/>
              <w:jc w:val="center"/>
              <w:rPr>
                <w:rFonts w:ascii="微软雅黑" w:hAnsi="微软雅黑" w:cs="微软雅黑"/>
                <w:color w:val="000000"/>
                <w:sz w:val="20"/>
                <w:szCs w:val="20"/>
              </w:rPr>
            </w:pPr>
            <w:r>
              <w:rPr>
                <w:rFonts w:hint="eastAsia" w:ascii="微软雅黑" w:hAnsi="微软雅黑" w:cs="微软雅黑"/>
                <w:color w:val="000000"/>
                <w:sz w:val="20"/>
                <w:szCs w:val="20"/>
              </w:rPr>
              <w:t>消息中心</w:t>
            </w:r>
          </w:p>
        </w:tc>
        <w:tc>
          <w:tcPr>
            <w:tcW w:w="2587" w:type="pct"/>
            <w:tcBorders>
              <w:top w:val="nil"/>
              <w:left w:val="single" w:color="auto" w:sz="4" w:space="0"/>
              <w:bottom w:val="single" w:color="000000" w:sz="4" w:space="0"/>
              <w:right w:val="single" w:color="auto" w:sz="4" w:space="0"/>
            </w:tcBorders>
            <w:vAlign w:val="center"/>
          </w:tcPr>
          <w:p>
            <w:pPr>
              <w:rPr>
                <w:rFonts w:ascii="微软雅黑" w:hAnsi="微软雅黑" w:cs="微软雅黑"/>
                <w:sz w:val="20"/>
                <w:szCs w:val="20"/>
              </w:rPr>
            </w:pPr>
            <w:r>
              <w:rPr>
                <w:rFonts w:hint="eastAsia" w:ascii="微软雅黑" w:hAnsi="微软雅黑" w:cs="微软雅黑"/>
                <w:sz w:val="20"/>
                <w:szCs w:val="20"/>
              </w:rPr>
              <w:t>工单办理进度及时通知消费者。</w:t>
            </w:r>
          </w:p>
        </w:tc>
      </w:tr>
      <w:tr>
        <w:tblPrEx>
          <w:tblCellMar>
            <w:top w:w="0" w:type="dxa"/>
            <w:left w:w="108" w:type="dxa"/>
            <w:bottom w:w="0" w:type="dxa"/>
            <w:right w:w="108" w:type="dxa"/>
          </w:tblCellMar>
        </w:tblPrEx>
        <w:trPr>
          <w:trHeight w:val="239"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6</w:t>
            </w:r>
          </w:p>
        </w:tc>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nil"/>
              <w:left w:val="nil"/>
              <w:bottom w:val="single" w:color="auto" w:sz="4" w:space="0"/>
              <w:right w:val="single" w:color="auto" w:sz="4" w:space="0"/>
            </w:tcBorders>
            <w:noWrap/>
            <w:vAlign w:val="center"/>
          </w:tcPr>
          <w:p>
            <w:pPr>
              <w:ind w:firstLine="200" w:firstLineChars="100"/>
              <w:jc w:val="center"/>
              <w:rPr>
                <w:rFonts w:ascii="微软雅黑" w:hAnsi="微软雅黑" w:cs="微软雅黑"/>
                <w:color w:val="000000"/>
                <w:sz w:val="20"/>
                <w:szCs w:val="20"/>
              </w:rPr>
            </w:pPr>
            <w:r>
              <w:rPr>
                <w:rFonts w:hint="eastAsia" w:ascii="微软雅黑" w:hAnsi="微软雅黑" w:cs="微软雅黑"/>
                <w:color w:val="000000"/>
                <w:sz w:val="20"/>
                <w:szCs w:val="20"/>
              </w:rPr>
              <w:t>适老版配置</w:t>
            </w:r>
          </w:p>
        </w:tc>
        <w:tc>
          <w:tcPr>
            <w:tcW w:w="2587" w:type="pct"/>
            <w:tcBorders>
              <w:top w:val="nil"/>
              <w:left w:val="single" w:color="auto" w:sz="4" w:space="0"/>
              <w:bottom w:val="single" w:color="000000" w:sz="4" w:space="0"/>
              <w:right w:val="single" w:color="auto" w:sz="4" w:space="0"/>
            </w:tcBorders>
            <w:vAlign w:val="center"/>
          </w:tcPr>
          <w:p>
            <w:pPr>
              <w:rPr>
                <w:rFonts w:ascii="微软雅黑" w:hAnsi="微软雅黑" w:cs="微软雅黑"/>
                <w:sz w:val="20"/>
                <w:szCs w:val="20"/>
              </w:rPr>
            </w:pPr>
            <w:r>
              <w:rPr>
                <w:rFonts w:hint="eastAsia" w:ascii="微软雅黑" w:hAnsi="微软雅黑" w:cs="微软雅黑"/>
                <w:sz w:val="20"/>
                <w:szCs w:val="20"/>
              </w:rPr>
              <w:t>小程序端门户提供适老版配置，支持语音输入、一键通话功能。</w:t>
            </w:r>
          </w:p>
        </w:tc>
      </w:tr>
      <w:tr>
        <w:tblPrEx>
          <w:tblCellMar>
            <w:top w:w="0" w:type="dxa"/>
            <w:left w:w="108" w:type="dxa"/>
            <w:bottom w:w="0" w:type="dxa"/>
            <w:right w:w="108" w:type="dxa"/>
          </w:tblCellMar>
        </w:tblPrEx>
        <w:trPr>
          <w:trHeight w:val="239"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ascii="微软雅黑" w:hAnsi="微软雅黑" w:cs="微软雅黑"/>
                <w:color w:val="000000"/>
                <w:sz w:val="20"/>
                <w:szCs w:val="20"/>
              </w:rPr>
              <w:t>7</w:t>
            </w:r>
          </w:p>
        </w:tc>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nil"/>
              <w:left w:val="nil"/>
              <w:bottom w:val="single" w:color="auto" w:sz="4" w:space="0"/>
              <w:right w:val="single" w:color="auto" w:sz="4" w:space="0"/>
            </w:tcBorders>
            <w:noWrap/>
            <w:vAlign w:val="center"/>
          </w:tcPr>
          <w:p>
            <w:pPr>
              <w:ind w:firstLine="200" w:firstLineChars="100"/>
              <w:jc w:val="center"/>
              <w:rPr>
                <w:rFonts w:ascii="微软雅黑" w:hAnsi="微软雅黑" w:cs="微软雅黑"/>
                <w:color w:val="000000"/>
                <w:sz w:val="20"/>
                <w:szCs w:val="20"/>
              </w:rPr>
            </w:pPr>
            <w:r>
              <w:rPr>
                <w:rFonts w:hint="eastAsia" w:ascii="微软雅黑" w:hAnsi="微软雅黑" w:cs="微软雅黑"/>
                <w:color w:val="000000"/>
                <w:sz w:val="20"/>
                <w:szCs w:val="20"/>
              </w:rPr>
              <w:t>个人中心对接</w:t>
            </w:r>
          </w:p>
        </w:tc>
        <w:tc>
          <w:tcPr>
            <w:tcW w:w="2587" w:type="pct"/>
            <w:tcBorders>
              <w:top w:val="nil"/>
              <w:left w:val="single" w:color="auto" w:sz="4" w:space="0"/>
              <w:bottom w:val="single" w:color="000000" w:sz="4" w:space="0"/>
              <w:right w:val="single" w:color="auto" w:sz="4" w:space="0"/>
            </w:tcBorders>
            <w:vAlign w:val="center"/>
          </w:tcPr>
          <w:p>
            <w:pPr>
              <w:rPr>
                <w:rFonts w:ascii="微软雅黑" w:hAnsi="微软雅黑" w:cs="微软雅黑"/>
                <w:sz w:val="20"/>
                <w:szCs w:val="20"/>
              </w:rPr>
            </w:pPr>
            <w:r>
              <w:rPr>
                <w:rFonts w:hint="eastAsia" w:ascii="微软雅黑" w:hAnsi="微软雅黑" w:cs="微软雅黑"/>
                <w:sz w:val="20"/>
                <w:szCs w:val="20"/>
              </w:rPr>
              <w:t>对接正和消保中心PC网站、正和消保小程序、统一政务服务平台等，实现跨系统个人中心工单数据的统一管理。</w:t>
            </w:r>
          </w:p>
        </w:tc>
      </w:tr>
      <w:tr>
        <w:tblPrEx>
          <w:tblCellMar>
            <w:top w:w="0" w:type="dxa"/>
            <w:left w:w="108" w:type="dxa"/>
            <w:bottom w:w="0" w:type="dxa"/>
            <w:right w:w="108" w:type="dxa"/>
          </w:tblCellMar>
        </w:tblPrEx>
        <w:trPr>
          <w:trHeight w:val="239"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ascii="微软雅黑" w:hAnsi="微软雅黑" w:cs="微软雅黑"/>
                <w:color w:val="000000"/>
                <w:sz w:val="20"/>
                <w:szCs w:val="20"/>
              </w:rPr>
              <w:t>8</w:t>
            </w:r>
          </w:p>
        </w:tc>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nil"/>
              <w:left w:val="nil"/>
              <w:bottom w:val="single" w:color="auto" w:sz="4" w:space="0"/>
              <w:right w:val="single" w:color="auto" w:sz="4" w:space="0"/>
            </w:tcBorders>
            <w:noWrap/>
            <w:vAlign w:val="center"/>
          </w:tcPr>
          <w:p>
            <w:pPr>
              <w:ind w:firstLine="200" w:firstLineChars="100"/>
              <w:jc w:val="center"/>
              <w:rPr>
                <w:rFonts w:ascii="微软雅黑" w:hAnsi="微软雅黑" w:cs="微软雅黑"/>
                <w:color w:val="000000"/>
                <w:sz w:val="20"/>
                <w:szCs w:val="20"/>
              </w:rPr>
            </w:pPr>
            <w:r>
              <w:rPr>
                <w:rFonts w:hint="eastAsia" w:ascii="微软雅黑" w:hAnsi="微软雅黑" w:cs="微软雅黑"/>
                <w:color w:val="000000"/>
                <w:sz w:val="20"/>
                <w:szCs w:val="20"/>
              </w:rPr>
              <w:t>消息中心对接</w:t>
            </w:r>
          </w:p>
        </w:tc>
        <w:tc>
          <w:tcPr>
            <w:tcW w:w="2587" w:type="pct"/>
            <w:tcBorders>
              <w:top w:val="nil"/>
              <w:left w:val="single" w:color="auto" w:sz="4" w:space="0"/>
              <w:bottom w:val="single" w:color="000000" w:sz="4" w:space="0"/>
              <w:right w:val="single" w:color="auto" w:sz="4" w:space="0"/>
            </w:tcBorders>
            <w:vAlign w:val="center"/>
          </w:tcPr>
          <w:p>
            <w:pPr>
              <w:rPr>
                <w:rFonts w:ascii="微软雅黑" w:hAnsi="微软雅黑" w:cs="微软雅黑"/>
                <w:sz w:val="20"/>
                <w:szCs w:val="20"/>
              </w:rPr>
            </w:pPr>
            <w:r>
              <w:rPr>
                <w:rFonts w:hint="eastAsia" w:ascii="微软雅黑" w:hAnsi="微软雅黑" w:cs="微软雅黑"/>
                <w:sz w:val="20"/>
                <w:szCs w:val="20"/>
              </w:rPr>
              <w:t>对接正和消保中心PC网站、正和消保小程序、统一政务服务平台等，实现跨系统工单各系统均能接收消息通知。</w:t>
            </w:r>
          </w:p>
        </w:tc>
      </w:tr>
      <w:tr>
        <w:tblPrEx>
          <w:tblCellMar>
            <w:top w:w="0" w:type="dxa"/>
            <w:left w:w="108" w:type="dxa"/>
            <w:bottom w:w="0" w:type="dxa"/>
            <w:right w:w="108" w:type="dxa"/>
          </w:tblCellMar>
        </w:tblPrEx>
        <w:trPr>
          <w:trHeight w:val="239"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ascii="微软雅黑" w:hAnsi="微软雅黑" w:cs="微软雅黑"/>
                <w:color w:val="000000"/>
                <w:sz w:val="20"/>
                <w:szCs w:val="20"/>
              </w:rPr>
              <w:t>9</w:t>
            </w:r>
          </w:p>
        </w:tc>
        <w:tc>
          <w:tcPr>
            <w:tcW w:w="946" w:type="pct"/>
            <w:vMerge w:val="restart"/>
            <w:tcBorders>
              <w:top w:val="nil"/>
              <w:left w:val="single" w:color="auto" w:sz="4" w:space="0"/>
              <w:bottom w:val="single" w:color="auto" w:sz="4" w:space="0"/>
              <w:right w:val="single" w:color="auto" w:sz="4" w:space="0"/>
            </w:tcBorders>
            <w:vAlign w:val="center"/>
          </w:tcPr>
          <w:p>
            <w:pPr>
              <w:spacing w:line="320" w:lineRule="exact"/>
              <w:jc w:val="center"/>
              <w:rPr>
                <w:rFonts w:ascii="微软雅黑" w:hAnsi="微软雅黑" w:cs="微软雅黑"/>
                <w:b/>
                <w:bCs/>
                <w:color w:val="000000"/>
                <w:sz w:val="20"/>
                <w:szCs w:val="20"/>
              </w:rPr>
            </w:pPr>
            <w:r>
              <w:rPr>
                <w:rFonts w:hint="eastAsia" w:ascii="微软雅黑" w:hAnsi="微软雅黑" w:cs="微软雅黑"/>
                <w:b/>
                <w:bCs/>
                <w:color w:val="000000"/>
                <w:sz w:val="20"/>
                <w:szCs w:val="20"/>
              </w:rPr>
              <w:t>全渠道业务接收平台</w:t>
            </w:r>
          </w:p>
        </w:tc>
        <w:tc>
          <w:tcPr>
            <w:tcW w:w="1100" w:type="pct"/>
            <w:tcBorders>
              <w:top w:val="nil"/>
              <w:left w:val="nil"/>
              <w:bottom w:val="single" w:color="auto" w:sz="4" w:space="0"/>
              <w:right w:val="single" w:color="auto" w:sz="4" w:space="0"/>
            </w:tcBorders>
            <w:noWrap/>
            <w:vAlign w:val="center"/>
          </w:tcPr>
          <w:p>
            <w:pPr>
              <w:ind w:firstLine="200" w:firstLineChars="100"/>
              <w:jc w:val="center"/>
              <w:rPr>
                <w:rFonts w:ascii="微软雅黑" w:hAnsi="微软雅黑" w:cs="微软雅黑"/>
                <w:color w:val="000000"/>
                <w:sz w:val="20"/>
                <w:szCs w:val="20"/>
              </w:rPr>
            </w:pPr>
            <w:r>
              <w:rPr>
                <w:rFonts w:hint="eastAsia" w:ascii="微软雅黑" w:hAnsi="微软雅黑" w:cs="微软雅黑"/>
                <w:color w:val="000000"/>
                <w:sz w:val="20"/>
                <w:szCs w:val="20"/>
              </w:rPr>
              <w:t>数据汇聚</w:t>
            </w:r>
          </w:p>
        </w:tc>
        <w:tc>
          <w:tcPr>
            <w:tcW w:w="2587" w:type="pct"/>
            <w:tcBorders>
              <w:top w:val="nil"/>
              <w:left w:val="single" w:color="auto" w:sz="4" w:space="0"/>
              <w:bottom w:val="single" w:color="000000" w:sz="4" w:space="0"/>
              <w:right w:val="single" w:color="auto" w:sz="4" w:space="0"/>
            </w:tcBorders>
            <w:vAlign w:val="center"/>
          </w:tcPr>
          <w:p>
            <w:pPr>
              <w:rPr>
                <w:rFonts w:ascii="微软雅黑" w:hAnsi="微软雅黑" w:cs="微软雅黑"/>
                <w:color w:val="000000"/>
                <w:sz w:val="20"/>
                <w:szCs w:val="20"/>
              </w:rPr>
            </w:pPr>
            <w:r>
              <w:rPr>
                <w:rFonts w:hint="eastAsia" w:ascii="微软雅黑" w:hAnsi="微软雅黑" w:cs="微软雅黑"/>
                <w:sz w:val="20"/>
                <w:szCs w:val="20"/>
              </w:rPr>
              <w:t>提供多渠道工单数据汇聚管理功能。</w:t>
            </w:r>
          </w:p>
        </w:tc>
      </w:tr>
      <w:tr>
        <w:tblPrEx>
          <w:tblCellMar>
            <w:top w:w="0" w:type="dxa"/>
            <w:left w:w="108" w:type="dxa"/>
            <w:bottom w:w="0" w:type="dxa"/>
            <w:right w:w="108" w:type="dxa"/>
          </w:tblCellMar>
        </w:tblPrEx>
        <w:trPr>
          <w:trHeight w:val="239"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ascii="微软雅黑" w:hAnsi="微软雅黑" w:cs="微软雅黑"/>
                <w:color w:val="000000"/>
                <w:sz w:val="20"/>
                <w:szCs w:val="20"/>
              </w:rPr>
              <w:t>10</w:t>
            </w:r>
          </w:p>
        </w:tc>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nil"/>
              <w:left w:val="nil"/>
              <w:bottom w:val="single" w:color="auto" w:sz="4" w:space="0"/>
              <w:right w:val="single" w:color="auto" w:sz="4" w:space="0"/>
            </w:tcBorders>
            <w:noWrap/>
            <w:vAlign w:val="center"/>
          </w:tcPr>
          <w:p>
            <w:pPr>
              <w:ind w:firstLine="200" w:firstLineChars="100"/>
              <w:jc w:val="center"/>
              <w:rPr>
                <w:rFonts w:ascii="微软雅黑" w:hAnsi="微软雅黑" w:cs="微软雅黑"/>
                <w:color w:val="000000"/>
                <w:sz w:val="20"/>
                <w:szCs w:val="20"/>
              </w:rPr>
            </w:pPr>
            <w:r>
              <w:rPr>
                <w:rFonts w:hint="eastAsia" w:ascii="微软雅黑" w:hAnsi="微软雅黑" w:cs="微软雅黑"/>
                <w:color w:val="000000"/>
                <w:sz w:val="20"/>
                <w:szCs w:val="20"/>
              </w:rPr>
              <w:t>案件模板管理</w:t>
            </w:r>
          </w:p>
        </w:tc>
        <w:tc>
          <w:tcPr>
            <w:tcW w:w="2587" w:type="pct"/>
            <w:tcBorders>
              <w:top w:val="nil"/>
              <w:left w:val="single" w:color="auto" w:sz="4" w:space="0"/>
              <w:bottom w:val="single" w:color="000000" w:sz="4" w:space="0"/>
              <w:right w:val="single" w:color="auto" w:sz="4" w:space="0"/>
            </w:tcBorders>
            <w:vAlign w:val="center"/>
          </w:tcPr>
          <w:p>
            <w:pPr>
              <w:rPr>
                <w:rFonts w:ascii="微软雅黑" w:hAnsi="微软雅黑" w:cs="微软雅黑"/>
                <w:color w:val="000000"/>
                <w:sz w:val="20"/>
                <w:szCs w:val="20"/>
              </w:rPr>
            </w:pPr>
            <w:r>
              <w:rPr>
                <w:rFonts w:hint="eastAsia" w:ascii="微软雅黑" w:hAnsi="微软雅黑" w:cs="微软雅黑"/>
                <w:sz w:val="20"/>
                <w:szCs w:val="20"/>
              </w:rPr>
              <w:t>支持运营管理人员对信息采集字段、信息采集模板进行灵活配置。</w:t>
            </w:r>
          </w:p>
        </w:tc>
      </w:tr>
      <w:tr>
        <w:tblPrEx>
          <w:tblCellMar>
            <w:top w:w="0" w:type="dxa"/>
            <w:left w:w="108" w:type="dxa"/>
            <w:bottom w:w="0" w:type="dxa"/>
            <w:right w:w="108" w:type="dxa"/>
          </w:tblCellMar>
        </w:tblPrEx>
        <w:trPr>
          <w:trHeight w:val="239"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ascii="微软雅黑" w:hAnsi="微软雅黑" w:cs="微软雅黑"/>
                <w:color w:val="000000"/>
                <w:sz w:val="20"/>
                <w:szCs w:val="20"/>
              </w:rPr>
              <w:t>11</w:t>
            </w:r>
          </w:p>
        </w:tc>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nil"/>
              <w:left w:val="nil"/>
              <w:bottom w:val="single" w:color="auto" w:sz="4" w:space="0"/>
              <w:right w:val="single" w:color="auto" w:sz="4" w:space="0"/>
            </w:tcBorders>
            <w:noWrap/>
            <w:vAlign w:val="center"/>
          </w:tcPr>
          <w:p>
            <w:pPr>
              <w:ind w:firstLine="200" w:firstLineChars="100"/>
              <w:jc w:val="center"/>
              <w:rPr>
                <w:rFonts w:ascii="微软雅黑" w:hAnsi="微软雅黑" w:cs="微软雅黑"/>
                <w:color w:val="000000"/>
                <w:sz w:val="20"/>
                <w:szCs w:val="20"/>
              </w:rPr>
            </w:pPr>
            <w:r>
              <w:rPr>
                <w:rFonts w:hint="eastAsia" w:ascii="微软雅黑" w:hAnsi="微软雅黑" w:cs="微软雅黑"/>
                <w:color w:val="000000"/>
                <w:sz w:val="20"/>
                <w:szCs w:val="20"/>
              </w:rPr>
              <w:t>工单管理</w:t>
            </w:r>
          </w:p>
        </w:tc>
        <w:tc>
          <w:tcPr>
            <w:tcW w:w="2587" w:type="pct"/>
            <w:tcBorders>
              <w:top w:val="nil"/>
              <w:left w:val="single" w:color="auto" w:sz="4" w:space="0"/>
              <w:bottom w:val="single" w:color="000000" w:sz="4" w:space="0"/>
              <w:right w:val="single" w:color="auto" w:sz="4" w:space="0"/>
            </w:tcBorders>
            <w:vAlign w:val="center"/>
          </w:tcPr>
          <w:p>
            <w:pPr>
              <w:rPr>
                <w:rFonts w:ascii="微软雅黑" w:hAnsi="微软雅黑" w:cs="微软雅黑"/>
                <w:color w:val="000000"/>
                <w:sz w:val="20"/>
                <w:szCs w:val="20"/>
              </w:rPr>
            </w:pPr>
            <w:r>
              <w:rPr>
                <w:rFonts w:hint="eastAsia" w:ascii="微软雅黑" w:hAnsi="微软雅黑" w:cs="微软雅黑"/>
                <w:sz w:val="20"/>
                <w:szCs w:val="20"/>
              </w:rPr>
              <w:t>支持查看所有待办与已办结的工单，针对待办工单进行审核、结案等操作、查看工单流转日志。</w:t>
            </w:r>
          </w:p>
        </w:tc>
      </w:tr>
      <w:tr>
        <w:tblPrEx>
          <w:tblCellMar>
            <w:top w:w="0" w:type="dxa"/>
            <w:left w:w="108" w:type="dxa"/>
            <w:bottom w:w="0" w:type="dxa"/>
            <w:right w:w="108" w:type="dxa"/>
          </w:tblCellMar>
        </w:tblPrEx>
        <w:trPr>
          <w:trHeight w:val="282"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ascii="微软雅黑" w:hAnsi="微软雅黑" w:cs="微软雅黑"/>
                <w:color w:val="000000"/>
                <w:sz w:val="20"/>
                <w:szCs w:val="20"/>
              </w:rPr>
              <w:t>12</w:t>
            </w:r>
          </w:p>
        </w:tc>
        <w:tc>
          <w:tcPr>
            <w:tcW w:w="946" w:type="pct"/>
            <w:vMerge w:val="restart"/>
            <w:tcBorders>
              <w:top w:val="nil"/>
              <w:left w:val="single" w:color="auto" w:sz="4" w:space="0"/>
              <w:bottom w:val="single" w:color="auto" w:sz="4" w:space="0"/>
              <w:right w:val="single" w:color="auto" w:sz="4" w:space="0"/>
            </w:tcBorders>
            <w:vAlign w:val="center"/>
          </w:tcPr>
          <w:p>
            <w:pPr>
              <w:spacing w:line="320" w:lineRule="exact"/>
              <w:jc w:val="center"/>
              <w:rPr>
                <w:rFonts w:ascii="微软雅黑" w:hAnsi="微软雅黑" w:cs="微软雅黑"/>
                <w:b/>
                <w:bCs/>
                <w:color w:val="000000"/>
                <w:sz w:val="20"/>
                <w:szCs w:val="20"/>
              </w:rPr>
            </w:pPr>
            <w:r>
              <w:rPr>
                <w:rFonts w:hint="eastAsia" w:ascii="微软雅黑" w:hAnsi="微软雅黑" w:cs="微软雅黑"/>
                <w:b/>
                <w:bCs/>
                <w:color w:val="000000"/>
                <w:sz w:val="20"/>
                <w:szCs w:val="20"/>
              </w:rPr>
              <w:t>投诉业务管理平台</w:t>
            </w:r>
          </w:p>
        </w:tc>
        <w:tc>
          <w:tcPr>
            <w:tcW w:w="1100" w:type="pct"/>
            <w:tcBorders>
              <w:top w:val="nil"/>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投诉案件审核与受理</w:t>
            </w:r>
          </w:p>
        </w:tc>
        <w:tc>
          <w:tcPr>
            <w:tcW w:w="2587" w:type="pct"/>
            <w:tcBorders>
              <w:top w:val="nil"/>
              <w:left w:val="nil"/>
              <w:bottom w:val="single" w:color="auto" w:sz="4" w:space="0"/>
              <w:right w:val="single" w:color="auto" w:sz="4"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正和消保中心工作人员对投诉案件进行审核与受理。</w:t>
            </w:r>
          </w:p>
        </w:tc>
      </w:tr>
      <w:tr>
        <w:tblPrEx>
          <w:tblCellMar>
            <w:top w:w="0" w:type="dxa"/>
            <w:left w:w="108" w:type="dxa"/>
            <w:bottom w:w="0" w:type="dxa"/>
            <w:right w:w="108" w:type="dxa"/>
          </w:tblCellMar>
        </w:tblPrEx>
        <w:trPr>
          <w:trHeight w:val="202"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ascii="微软雅黑" w:hAnsi="微软雅黑" w:cs="微软雅黑"/>
                <w:color w:val="000000"/>
                <w:sz w:val="20"/>
                <w:szCs w:val="20"/>
              </w:rPr>
              <w:t>13</w:t>
            </w:r>
          </w:p>
        </w:tc>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nil"/>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投诉案件转办</w:t>
            </w:r>
          </w:p>
        </w:tc>
        <w:tc>
          <w:tcPr>
            <w:tcW w:w="2587" w:type="pct"/>
            <w:tcBorders>
              <w:top w:val="nil"/>
              <w:left w:val="nil"/>
              <w:bottom w:val="single" w:color="auto" w:sz="4" w:space="0"/>
              <w:right w:val="single" w:color="auto" w:sz="4"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正和消保中心工作人员审核资料符合要求且消费者同意协商，即转给相关银行保险机构进行处理。银行保险一级机构向具体涉案下级机构分派投诉案件工单，机构下级用户登录系统并处理工单。</w:t>
            </w:r>
          </w:p>
        </w:tc>
      </w:tr>
      <w:tr>
        <w:tblPrEx>
          <w:tblCellMar>
            <w:top w:w="0" w:type="dxa"/>
            <w:left w:w="108" w:type="dxa"/>
            <w:bottom w:w="0" w:type="dxa"/>
            <w:right w:w="108" w:type="dxa"/>
          </w:tblCellMar>
        </w:tblPrEx>
        <w:trPr>
          <w:trHeight w:val="270"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1</w:t>
            </w:r>
            <w:r>
              <w:rPr>
                <w:rFonts w:ascii="微软雅黑" w:hAnsi="微软雅黑" w:cs="微软雅黑"/>
                <w:color w:val="000000"/>
                <w:sz w:val="20"/>
                <w:szCs w:val="20"/>
              </w:rPr>
              <w:t>4</w:t>
            </w:r>
          </w:p>
        </w:tc>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nil"/>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投诉案件结案</w:t>
            </w:r>
          </w:p>
        </w:tc>
        <w:tc>
          <w:tcPr>
            <w:tcW w:w="2587" w:type="pct"/>
            <w:tcBorders>
              <w:top w:val="nil"/>
              <w:left w:val="nil"/>
              <w:bottom w:val="single" w:color="auto" w:sz="4" w:space="0"/>
              <w:right w:val="single" w:color="auto" w:sz="4"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正和消保中心工作人员办理完结进行结案操作。</w:t>
            </w:r>
          </w:p>
        </w:tc>
      </w:tr>
      <w:tr>
        <w:tblPrEx>
          <w:tblCellMar>
            <w:top w:w="0" w:type="dxa"/>
            <w:left w:w="108" w:type="dxa"/>
            <w:bottom w:w="0" w:type="dxa"/>
            <w:right w:w="108" w:type="dxa"/>
          </w:tblCellMar>
        </w:tblPrEx>
        <w:trPr>
          <w:trHeight w:val="214"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1</w:t>
            </w:r>
            <w:r>
              <w:rPr>
                <w:rFonts w:ascii="微软雅黑" w:hAnsi="微软雅黑" w:cs="微软雅黑"/>
                <w:color w:val="000000"/>
                <w:sz w:val="20"/>
                <w:szCs w:val="20"/>
              </w:rPr>
              <w:t>5</w:t>
            </w:r>
          </w:p>
        </w:tc>
        <w:tc>
          <w:tcPr>
            <w:tcW w:w="946" w:type="pct"/>
            <w:vMerge w:val="restart"/>
            <w:tcBorders>
              <w:top w:val="nil"/>
              <w:left w:val="single" w:color="auto" w:sz="4" w:space="0"/>
              <w:bottom w:val="single" w:color="auto" w:sz="4" w:space="0"/>
              <w:right w:val="single" w:color="auto" w:sz="4" w:space="0"/>
            </w:tcBorders>
            <w:vAlign w:val="center"/>
          </w:tcPr>
          <w:p>
            <w:pPr>
              <w:spacing w:line="320" w:lineRule="exact"/>
              <w:jc w:val="center"/>
              <w:rPr>
                <w:rFonts w:ascii="微软雅黑" w:hAnsi="微软雅黑" w:cs="微软雅黑"/>
                <w:b/>
                <w:bCs/>
                <w:color w:val="000000"/>
                <w:sz w:val="20"/>
                <w:szCs w:val="20"/>
              </w:rPr>
            </w:pPr>
            <w:r>
              <w:rPr>
                <w:rFonts w:hint="eastAsia" w:ascii="微软雅黑" w:hAnsi="微软雅黑" w:cs="微软雅黑"/>
                <w:b/>
                <w:bCs/>
                <w:color w:val="000000"/>
                <w:sz w:val="20"/>
                <w:szCs w:val="20"/>
              </w:rPr>
              <w:t>调解业务管理平台</w:t>
            </w:r>
          </w:p>
        </w:tc>
        <w:tc>
          <w:tcPr>
            <w:tcW w:w="1100" w:type="pct"/>
            <w:tcBorders>
              <w:top w:val="nil"/>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调解案件审核与受理</w:t>
            </w:r>
          </w:p>
        </w:tc>
        <w:tc>
          <w:tcPr>
            <w:tcW w:w="2587" w:type="pct"/>
            <w:tcBorders>
              <w:top w:val="nil"/>
              <w:left w:val="nil"/>
              <w:bottom w:val="single" w:color="auto" w:sz="4" w:space="0"/>
              <w:right w:val="single" w:color="auto" w:sz="4"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正和消保中心工作人员对调解案件进行审核与受理。</w:t>
            </w:r>
          </w:p>
        </w:tc>
      </w:tr>
      <w:tr>
        <w:tblPrEx>
          <w:tblCellMar>
            <w:top w:w="0" w:type="dxa"/>
            <w:left w:w="108" w:type="dxa"/>
            <w:bottom w:w="0" w:type="dxa"/>
            <w:right w:w="108" w:type="dxa"/>
          </w:tblCellMar>
        </w:tblPrEx>
        <w:trPr>
          <w:trHeight w:val="143"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1</w:t>
            </w:r>
            <w:r>
              <w:rPr>
                <w:rFonts w:ascii="微软雅黑" w:hAnsi="微软雅黑" w:cs="微软雅黑"/>
                <w:color w:val="000000"/>
                <w:sz w:val="20"/>
                <w:szCs w:val="20"/>
              </w:rPr>
              <w:t>6</w:t>
            </w:r>
          </w:p>
        </w:tc>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nil"/>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调解办理</w:t>
            </w:r>
          </w:p>
        </w:tc>
        <w:tc>
          <w:tcPr>
            <w:tcW w:w="2587" w:type="pct"/>
            <w:tcBorders>
              <w:top w:val="nil"/>
              <w:left w:val="nil"/>
              <w:bottom w:val="single" w:color="auto" w:sz="4" w:space="0"/>
              <w:right w:val="single" w:color="auto" w:sz="4"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调解员制订调解方案，按照约定进行线上视频调解或线下调解；</w:t>
            </w:r>
          </w:p>
          <w:p>
            <w:pPr>
              <w:rPr>
                <w:rFonts w:ascii="微软雅黑" w:hAnsi="微软雅黑" w:cs="微软雅黑"/>
                <w:color w:val="000000"/>
                <w:sz w:val="20"/>
                <w:szCs w:val="20"/>
              </w:rPr>
            </w:pPr>
            <w:r>
              <w:rPr>
                <w:rFonts w:hint="eastAsia" w:ascii="微软雅黑" w:hAnsi="微软雅黑" w:cs="微软雅黑"/>
                <w:color w:val="000000"/>
                <w:sz w:val="20"/>
                <w:szCs w:val="20"/>
              </w:rPr>
              <w:t>系统支持在线文档、电子签名、电子签章等功能，实现调解流程线上化。</w:t>
            </w:r>
          </w:p>
        </w:tc>
      </w:tr>
      <w:tr>
        <w:tblPrEx>
          <w:tblCellMar>
            <w:top w:w="0" w:type="dxa"/>
            <w:left w:w="108" w:type="dxa"/>
            <w:bottom w:w="0" w:type="dxa"/>
            <w:right w:w="108" w:type="dxa"/>
          </w:tblCellMar>
        </w:tblPrEx>
        <w:trPr>
          <w:trHeight w:val="214"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1</w:t>
            </w:r>
            <w:r>
              <w:rPr>
                <w:rFonts w:ascii="微软雅黑" w:hAnsi="微软雅黑" w:cs="微软雅黑"/>
                <w:color w:val="000000"/>
                <w:sz w:val="20"/>
                <w:szCs w:val="20"/>
              </w:rPr>
              <w:t>7</w:t>
            </w:r>
          </w:p>
        </w:tc>
        <w:tc>
          <w:tcPr>
            <w:tcW w:w="0" w:type="auto"/>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nil"/>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调解案件结案</w:t>
            </w:r>
          </w:p>
        </w:tc>
        <w:tc>
          <w:tcPr>
            <w:tcW w:w="2587" w:type="pct"/>
            <w:tcBorders>
              <w:top w:val="nil"/>
              <w:left w:val="nil"/>
              <w:bottom w:val="single" w:color="auto" w:sz="4" w:space="0"/>
              <w:right w:val="single" w:color="auto" w:sz="4"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调解员调解完毕由涉案双方确认后进行结案。</w:t>
            </w:r>
          </w:p>
        </w:tc>
      </w:tr>
      <w:tr>
        <w:tblPrEx>
          <w:tblCellMar>
            <w:top w:w="0" w:type="dxa"/>
            <w:left w:w="108" w:type="dxa"/>
            <w:bottom w:w="0" w:type="dxa"/>
            <w:right w:w="108" w:type="dxa"/>
          </w:tblCellMar>
        </w:tblPrEx>
        <w:trPr>
          <w:trHeight w:val="572"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1</w:t>
            </w:r>
            <w:r>
              <w:rPr>
                <w:rFonts w:ascii="微软雅黑" w:hAnsi="微软雅黑" w:cs="微软雅黑"/>
                <w:color w:val="000000"/>
                <w:sz w:val="20"/>
                <w:szCs w:val="20"/>
              </w:rPr>
              <w:t>8</w:t>
            </w:r>
          </w:p>
        </w:tc>
        <w:tc>
          <w:tcPr>
            <w:tcW w:w="946" w:type="pct"/>
            <w:vMerge w:val="restart"/>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微软雅黑" w:hAnsi="微软雅黑" w:cs="微软雅黑"/>
                <w:b/>
                <w:bCs/>
                <w:color w:val="000000"/>
                <w:sz w:val="20"/>
                <w:szCs w:val="20"/>
              </w:rPr>
            </w:pPr>
            <w:r>
              <w:rPr>
                <w:rFonts w:hint="eastAsia" w:ascii="微软雅黑" w:hAnsi="微软雅黑" w:cs="微软雅黑"/>
                <w:b/>
                <w:bCs/>
                <w:color w:val="000000"/>
                <w:sz w:val="20"/>
                <w:szCs w:val="20"/>
              </w:rPr>
              <w:t>数据统计与监测分析平台</w:t>
            </w:r>
          </w:p>
        </w:tc>
        <w:tc>
          <w:tcPr>
            <w:tcW w:w="1100" w:type="pct"/>
            <w:tcBorders>
              <w:top w:val="single" w:color="auto" w:sz="4" w:space="0"/>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数据总览</w:t>
            </w:r>
          </w:p>
        </w:tc>
        <w:tc>
          <w:tcPr>
            <w:tcW w:w="2587" w:type="pct"/>
            <w:vMerge w:val="restart"/>
            <w:tcBorders>
              <w:top w:val="nil"/>
              <w:left w:val="single" w:color="auto" w:sz="4" w:space="0"/>
              <w:bottom w:val="single" w:color="000000" w:sz="4" w:space="0"/>
              <w:right w:val="single" w:color="auto" w:sz="4" w:space="0"/>
            </w:tcBorders>
            <w:vAlign w:val="center"/>
          </w:tcPr>
          <w:p>
            <w:pPr>
              <w:spacing w:line="400" w:lineRule="exact"/>
              <w:rPr>
                <w:rFonts w:ascii="微软雅黑" w:hAnsi="微软雅黑" w:cs="微软雅黑"/>
                <w:color w:val="000000"/>
                <w:sz w:val="20"/>
                <w:szCs w:val="20"/>
              </w:rPr>
            </w:pPr>
            <w:r>
              <w:rPr>
                <w:rFonts w:hint="eastAsia" w:ascii="微软雅黑" w:hAnsi="微软雅黑" w:cs="微软雅黑"/>
                <w:color w:val="000000"/>
                <w:sz w:val="20"/>
                <w:szCs w:val="20"/>
              </w:rPr>
              <w:t>实时对全局投诉数据、调解数据、业务评价数据、业务类型、产品类型（包含银行投诉业务、保险投诉业务、银行业务调解、保险业务调解）数据进行分析和展示，包括广东省（深圳除外）各银行、保险机构的投诉、调解案件量、排名和处理情况的统计、展示及导出，用于监测相关银行和保险机构的投诉、调解情况。支持数据导入，一键生成报表。</w:t>
            </w:r>
          </w:p>
        </w:tc>
      </w:tr>
      <w:tr>
        <w:tblPrEx>
          <w:tblCellMar>
            <w:top w:w="0" w:type="dxa"/>
            <w:left w:w="108" w:type="dxa"/>
            <w:bottom w:w="0" w:type="dxa"/>
            <w:right w:w="108" w:type="dxa"/>
          </w:tblCellMar>
        </w:tblPrEx>
        <w:trPr>
          <w:trHeight w:val="535"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1</w:t>
            </w:r>
            <w:r>
              <w:rPr>
                <w:rFonts w:ascii="微软雅黑" w:hAnsi="微软雅黑" w:cs="微软雅黑"/>
                <w:color w:val="000000"/>
                <w:sz w:val="20"/>
                <w:szCs w:val="20"/>
              </w:rPr>
              <w:t>9</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single" w:color="auto" w:sz="4" w:space="0"/>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投诉热点分析</w:t>
            </w:r>
          </w:p>
        </w:tc>
        <w:tc>
          <w:tcPr>
            <w:tcW w:w="0" w:type="auto"/>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微软雅黑" w:hAnsi="微软雅黑" w:cs="微软雅黑"/>
                <w:color w:val="000000"/>
                <w:sz w:val="20"/>
                <w:szCs w:val="20"/>
              </w:rPr>
            </w:pPr>
          </w:p>
        </w:tc>
      </w:tr>
      <w:tr>
        <w:tblPrEx>
          <w:tblCellMar>
            <w:top w:w="0" w:type="dxa"/>
            <w:left w:w="108" w:type="dxa"/>
            <w:bottom w:w="0" w:type="dxa"/>
            <w:right w:w="108" w:type="dxa"/>
          </w:tblCellMar>
        </w:tblPrEx>
        <w:trPr>
          <w:trHeight w:val="277"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ascii="微软雅黑" w:hAnsi="微软雅黑" w:cs="微软雅黑"/>
                <w:color w:val="000000"/>
                <w:sz w:val="20"/>
                <w:szCs w:val="20"/>
              </w:rPr>
              <w:t>20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single" w:color="auto" w:sz="4" w:space="0"/>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业务评价情况</w:t>
            </w:r>
          </w:p>
        </w:tc>
        <w:tc>
          <w:tcPr>
            <w:tcW w:w="0" w:type="auto"/>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微软雅黑" w:hAnsi="微软雅黑" w:cs="微软雅黑"/>
                <w:color w:val="000000"/>
                <w:sz w:val="20"/>
                <w:szCs w:val="20"/>
              </w:rPr>
            </w:pPr>
          </w:p>
        </w:tc>
      </w:tr>
      <w:tr>
        <w:tblPrEx>
          <w:tblCellMar>
            <w:top w:w="0" w:type="dxa"/>
            <w:left w:w="108" w:type="dxa"/>
            <w:bottom w:w="0" w:type="dxa"/>
            <w:right w:w="108" w:type="dxa"/>
          </w:tblCellMar>
        </w:tblPrEx>
        <w:trPr>
          <w:trHeight w:val="189"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ascii="微软雅黑" w:hAnsi="微软雅黑" w:cs="微软雅黑"/>
                <w:color w:val="000000"/>
                <w:sz w:val="20"/>
                <w:szCs w:val="20"/>
              </w:rPr>
              <w:t>21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single" w:color="auto" w:sz="4" w:space="0"/>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报表管理</w:t>
            </w:r>
          </w:p>
        </w:tc>
        <w:tc>
          <w:tcPr>
            <w:tcW w:w="0" w:type="auto"/>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微软雅黑" w:hAnsi="微软雅黑" w:cs="微软雅黑"/>
                <w:color w:val="000000"/>
                <w:sz w:val="20"/>
                <w:szCs w:val="20"/>
              </w:rPr>
            </w:pPr>
          </w:p>
        </w:tc>
      </w:tr>
      <w:tr>
        <w:tblPrEx>
          <w:tblCellMar>
            <w:top w:w="0" w:type="dxa"/>
            <w:left w:w="108" w:type="dxa"/>
            <w:bottom w:w="0" w:type="dxa"/>
            <w:right w:w="108" w:type="dxa"/>
          </w:tblCellMar>
        </w:tblPrEx>
        <w:trPr>
          <w:trHeight w:val="189"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2</w:t>
            </w:r>
            <w:r>
              <w:rPr>
                <w:rFonts w:ascii="微软雅黑" w:hAnsi="微软雅黑" w:cs="微软雅黑"/>
                <w:color w:val="000000"/>
                <w:sz w:val="20"/>
                <w:szCs w:val="20"/>
              </w:rPr>
              <w:t>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single" w:color="auto" w:sz="4" w:space="0"/>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监测预警</w:t>
            </w:r>
          </w:p>
        </w:tc>
        <w:tc>
          <w:tcPr>
            <w:tcW w:w="2587" w:type="pct"/>
            <w:tcBorders>
              <w:top w:val="nil"/>
              <w:left w:val="single" w:color="auto" w:sz="4" w:space="0"/>
              <w:bottom w:val="single" w:color="000000" w:sz="4" w:space="0"/>
              <w:right w:val="single" w:color="auto" w:sz="4"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汇总平台数据情况，重点对黑产等进行分析预警。</w:t>
            </w:r>
          </w:p>
        </w:tc>
      </w:tr>
      <w:tr>
        <w:tblPrEx>
          <w:tblCellMar>
            <w:top w:w="0" w:type="dxa"/>
            <w:left w:w="108" w:type="dxa"/>
            <w:bottom w:w="0" w:type="dxa"/>
            <w:right w:w="108" w:type="dxa"/>
          </w:tblCellMar>
        </w:tblPrEx>
        <w:trPr>
          <w:trHeight w:val="379"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ascii="微软雅黑" w:hAnsi="微软雅黑" w:cs="微软雅黑"/>
                <w:color w:val="000000"/>
                <w:sz w:val="20"/>
                <w:szCs w:val="20"/>
              </w:rPr>
              <w:t>23</w:t>
            </w:r>
          </w:p>
        </w:tc>
        <w:tc>
          <w:tcPr>
            <w:tcW w:w="946" w:type="pct"/>
            <w:vMerge w:val="restart"/>
            <w:tcBorders>
              <w:top w:val="single" w:color="auto" w:sz="4" w:space="0"/>
              <w:left w:val="nil"/>
              <w:bottom w:val="single" w:color="auto" w:sz="4" w:space="0"/>
              <w:right w:val="single" w:color="auto" w:sz="4" w:space="0"/>
            </w:tcBorders>
            <w:noWrap/>
            <w:vAlign w:val="center"/>
          </w:tcPr>
          <w:p>
            <w:pPr>
              <w:spacing w:line="320" w:lineRule="exact"/>
              <w:jc w:val="center"/>
              <w:rPr>
                <w:rFonts w:ascii="微软雅黑" w:hAnsi="微软雅黑" w:cs="微软雅黑"/>
                <w:b/>
                <w:bCs/>
                <w:color w:val="000000"/>
                <w:sz w:val="20"/>
                <w:szCs w:val="20"/>
              </w:rPr>
            </w:pPr>
            <w:r>
              <w:rPr>
                <w:rFonts w:hint="eastAsia" w:ascii="微软雅黑" w:hAnsi="微软雅黑" w:cs="微软雅黑"/>
                <w:b/>
                <w:bCs/>
                <w:color w:val="000000"/>
                <w:sz w:val="20"/>
                <w:szCs w:val="20"/>
              </w:rPr>
              <w:t>知识交流平台</w:t>
            </w:r>
          </w:p>
        </w:tc>
        <w:tc>
          <w:tcPr>
            <w:tcW w:w="1100" w:type="pct"/>
            <w:tcBorders>
              <w:top w:val="single" w:color="auto" w:sz="4" w:space="0"/>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法规库管理</w:t>
            </w:r>
          </w:p>
        </w:tc>
        <w:tc>
          <w:tcPr>
            <w:tcW w:w="2587" w:type="pct"/>
            <w:tcBorders>
              <w:top w:val="nil"/>
              <w:left w:val="nil"/>
              <w:bottom w:val="single" w:color="auto" w:sz="4" w:space="0"/>
              <w:right w:val="single" w:color="auto" w:sz="4" w:space="0"/>
            </w:tcBorders>
            <w:vAlign w:val="center"/>
          </w:tcPr>
          <w:p>
            <w:pPr>
              <w:spacing w:line="400" w:lineRule="exact"/>
              <w:rPr>
                <w:rFonts w:ascii="微软雅黑" w:hAnsi="微软雅黑" w:cs="微软雅黑"/>
                <w:color w:val="000000"/>
                <w:sz w:val="20"/>
                <w:szCs w:val="20"/>
              </w:rPr>
            </w:pPr>
            <w:r>
              <w:rPr>
                <w:rFonts w:hint="eastAsia" w:ascii="微软雅黑" w:hAnsi="微软雅黑" w:cs="微软雅黑"/>
                <w:color w:val="000000"/>
                <w:sz w:val="20"/>
                <w:szCs w:val="20"/>
              </w:rPr>
              <w:t>系统提供投诉、调解制度的查询功能，支持模糊查询及多条件精准查询。</w:t>
            </w:r>
          </w:p>
        </w:tc>
      </w:tr>
      <w:tr>
        <w:tblPrEx>
          <w:tblCellMar>
            <w:top w:w="0" w:type="dxa"/>
            <w:left w:w="108" w:type="dxa"/>
            <w:bottom w:w="0" w:type="dxa"/>
            <w:right w:w="108" w:type="dxa"/>
          </w:tblCellMar>
        </w:tblPrEx>
        <w:trPr>
          <w:trHeight w:val="221"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ascii="微软雅黑" w:hAnsi="微软雅黑" w:cs="微软雅黑"/>
                <w:color w:val="000000"/>
                <w:sz w:val="20"/>
                <w:szCs w:val="20"/>
              </w:rPr>
              <w:t>24</w:t>
            </w:r>
          </w:p>
        </w:tc>
        <w:tc>
          <w:tcPr>
            <w:tcW w:w="0" w:type="auto"/>
            <w:vMerge w:val="continue"/>
            <w:tcBorders>
              <w:top w:val="single" w:color="auto" w:sz="4" w:space="0"/>
              <w:left w:val="nil"/>
              <w:bottom w:val="single" w:color="auto"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single" w:color="auto" w:sz="4" w:space="0"/>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案例库管理</w:t>
            </w:r>
          </w:p>
        </w:tc>
        <w:tc>
          <w:tcPr>
            <w:tcW w:w="2587" w:type="pct"/>
            <w:tcBorders>
              <w:top w:val="nil"/>
              <w:left w:val="nil"/>
              <w:bottom w:val="single" w:color="auto" w:sz="4" w:space="0"/>
              <w:right w:val="single" w:color="auto" w:sz="4" w:space="0"/>
            </w:tcBorders>
            <w:vAlign w:val="center"/>
          </w:tcPr>
          <w:p>
            <w:pPr>
              <w:spacing w:line="400" w:lineRule="exact"/>
              <w:rPr>
                <w:rFonts w:ascii="微软雅黑" w:hAnsi="微软雅黑" w:cs="微软雅黑"/>
                <w:color w:val="000000"/>
                <w:sz w:val="20"/>
                <w:szCs w:val="20"/>
              </w:rPr>
            </w:pPr>
            <w:r>
              <w:rPr>
                <w:rFonts w:hint="eastAsia" w:ascii="微软雅黑" w:hAnsi="微软雅黑" w:cs="微软雅黑"/>
                <w:sz w:val="20"/>
                <w:szCs w:val="20"/>
              </w:rPr>
              <w:t>支持按关键词、时间范围等条件筛选查询历史案件，支持查看案件详情及对应工单的处理详情（如有），支持对案例库的维护管理。</w:t>
            </w:r>
          </w:p>
        </w:tc>
      </w:tr>
      <w:tr>
        <w:tblPrEx>
          <w:tblCellMar>
            <w:top w:w="0" w:type="dxa"/>
            <w:left w:w="108" w:type="dxa"/>
            <w:bottom w:w="0" w:type="dxa"/>
            <w:right w:w="108" w:type="dxa"/>
          </w:tblCellMar>
        </w:tblPrEx>
        <w:trPr>
          <w:trHeight w:val="214"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ascii="微软雅黑" w:hAnsi="微软雅黑" w:cs="微软雅黑"/>
                <w:color w:val="000000"/>
                <w:sz w:val="20"/>
                <w:szCs w:val="20"/>
              </w:rPr>
              <w:t>25</w:t>
            </w:r>
          </w:p>
        </w:tc>
        <w:tc>
          <w:tcPr>
            <w:tcW w:w="0" w:type="auto"/>
            <w:vMerge w:val="continue"/>
            <w:tcBorders>
              <w:top w:val="single" w:color="auto" w:sz="4" w:space="0"/>
              <w:left w:val="nil"/>
              <w:bottom w:val="single" w:color="auto"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nil"/>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知识检索</w:t>
            </w:r>
          </w:p>
        </w:tc>
        <w:tc>
          <w:tcPr>
            <w:tcW w:w="2587" w:type="pct"/>
            <w:tcBorders>
              <w:top w:val="nil"/>
              <w:left w:val="nil"/>
              <w:bottom w:val="single" w:color="auto" w:sz="4" w:space="0"/>
              <w:right w:val="single" w:color="auto" w:sz="4" w:space="0"/>
            </w:tcBorders>
            <w:vAlign w:val="center"/>
          </w:tcPr>
          <w:p>
            <w:pPr>
              <w:spacing w:line="400" w:lineRule="exact"/>
              <w:rPr>
                <w:rFonts w:ascii="微软雅黑" w:hAnsi="微软雅黑" w:cs="微软雅黑"/>
                <w:color w:val="000000"/>
                <w:sz w:val="20"/>
                <w:szCs w:val="20"/>
              </w:rPr>
            </w:pPr>
            <w:r>
              <w:rPr>
                <w:rFonts w:hint="eastAsia" w:ascii="微软雅黑" w:hAnsi="微软雅黑" w:cs="微软雅黑"/>
                <w:sz w:val="20"/>
                <w:szCs w:val="20"/>
              </w:rPr>
              <w:t>提供法规库、案例库的全量检索功能。</w:t>
            </w:r>
          </w:p>
        </w:tc>
      </w:tr>
      <w:tr>
        <w:tblPrEx>
          <w:tblCellMar>
            <w:top w:w="0" w:type="dxa"/>
            <w:left w:w="108" w:type="dxa"/>
            <w:bottom w:w="0" w:type="dxa"/>
            <w:right w:w="108" w:type="dxa"/>
          </w:tblCellMar>
        </w:tblPrEx>
        <w:trPr>
          <w:trHeight w:val="214"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ascii="微软雅黑" w:hAnsi="微软雅黑" w:cs="微软雅黑"/>
                <w:color w:val="000000"/>
                <w:sz w:val="20"/>
                <w:szCs w:val="20"/>
              </w:rPr>
              <w:t>26</w:t>
            </w:r>
          </w:p>
        </w:tc>
        <w:tc>
          <w:tcPr>
            <w:tcW w:w="946" w:type="pct"/>
            <w:tcBorders>
              <w:top w:val="nil"/>
              <w:left w:val="nil"/>
              <w:bottom w:val="single" w:color="auto" w:sz="4" w:space="0"/>
              <w:right w:val="single" w:color="auto" w:sz="4" w:space="0"/>
            </w:tcBorders>
            <w:noWrap/>
            <w:vAlign w:val="center"/>
          </w:tcPr>
          <w:p>
            <w:pPr>
              <w:spacing w:line="320" w:lineRule="exact"/>
              <w:jc w:val="center"/>
              <w:rPr>
                <w:rFonts w:ascii="微软雅黑" w:hAnsi="微软雅黑" w:cs="微软雅黑"/>
                <w:b/>
                <w:bCs/>
                <w:color w:val="000000"/>
                <w:sz w:val="20"/>
                <w:szCs w:val="20"/>
              </w:rPr>
            </w:pPr>
            <w:r>
              <w:rPr>
                <w:rFonts w:hint="eastAsia" w:ascii="微软雅黑" w:hAnsi="微软雅黑" w:cs="微软雅黑"/>
                <w:b/>
                <w:bCs/>
                <w:color w:val="000000"/>
                <w:sz w:val="20"/>
                <w:szCs w:val="20"/>
              </w:rPr>
              <w:t>粤港澳调解平台</w:t>
            </w:r>
          </w:p>
        </w:tc>
        <w:tc>
          <w:tcPr>
            <w:tcW w:w="1100" w:type="pct"/>
            <w:tcBorders>
              <w:top w:val="nil"/>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p>
        </w:tc>
        <w:tc>
          <w:tcPr>
            <w:tcW w:w="2587" w:type="pct"/>
            <w:tcBorders>
              <w:top w:val="nil"/>
              <w:left w:val="nil"/>
              <w:bottom w:val="single" w:color="auto" w:sz="4" w:space="0"/>
              <w:right w:val="single" w:color="auto" w:sz="4" w:space="0"/>
            </w:tcBorders>
            <w:vAlign w:val="center"/>
          </w:tcPr>
          <w:p>
            <w:pPr>
              <w:spacing w:line="400" w:lineRule="exact"/>
              <w:rPr>
                <w:rFonts w:ascii="微软雅黑" w:hAnsi="微软雅黑" w:cs="微软雅黑"/>
                <w:sz w:val="20"/>
                <w:szCs w:val="20"/>
              </w:rPr>
            </w:pPr>
            <w:r>
              <w:rPr>
                <w:rFonts w:hint="eastAsia" w:ascii="微软雅黑" w:hAnsi="微软雅黑" w:cs="微软雅黑"/>
                <w:sz w:val="20"/>
                <w:szCs w:val="20"/>
              </w:rPr>
              <w:t>本平台需支持港澳地区消保</w:t>
            </w:r>
            <w:r>
              <w:rPr>
                <w:rFonts w:hint="eastAsia" w:ascii="微软雅黑" w:hAnsi="微软雅黑" w:cs="微软雅黑"/>
                <w:sz w:val="20"/>
                <w:szCs w:val="20"/>
                <w:lang w:eastAsia="zh-Hans"/>
              </w:rPr>
              <w:t>组织或者调解员</w:t>
            </w:r>
            <w:r>
              <w:rPr>
                <w:rFonts w:hint="eastAsia" w:ascii="微软雅黑" w:hAnsi="微软雅黑" w:cs="微软雅黑"/>
                <w:sz w:val="20"/>
                <w:szCs w:val="20"/>
              </w:rPr>
              <w:t>录入工单，处理工单等功能，</w:t>
            </w:r>
            <w:r>
              <w:rPr>
                <w:rFonts w:hint="eastAsia" w:ascii="微软雅黑" w:hAnsi="微软雅黑" w:cs="微软雅黑"/>
                <w:sz w:val="20"/>
                <w:szCs w:val="20"/>
                <w:lang w:eastAsia="zh-Hans"/>
              </w:rPr>
              <w:t>并与数字消保中心项目其他平台对接</w:t>
            </w:r>
            <w:r>
              <w:rPr>
                <w:rFonts w:hint="eastAsia" w:ascii="微软雅黑" w:hAnsi="微软雅黑" w:cs="微软雅黑"/>
                <w:sz w:val="20"/>
                <w:szCs w:val="20"/>
              </w:rPr>
              <w:t>。</w:t>
            </w:r>
          </w:p>
        </w:tc>
      </w:tr>
      <w:tr>
        <w:tblPrEx>
          <w:tblCellMar>
            <w:top w:w="0" w:type="dxa"/>
            <w:left w:w="108" w:type="dxa"/>
            <w:bottom w:w="0" w:type="dxa"/>
            <w:right w:w="108" w:type="dxa"/>
          </w:tblCellMar>
        </w:tblPrEx>
        <w:trPr>
          <w:trHeight w:val="239"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ascii="微软雅黑" w:hAnsi="微软雅黑" w:cs="微软雅黑"/>
                <w:color w:val="000000"/>
                <w:sz w:val="20"/>
                <w:szCs w:val="20"/>
              </w:rPr>
              <w:t>27</w:t>
            </w:r>
          </w:p>
        </w:tc>
        <w:tc>
          <w:tcPr>
            <w:tcW w:w="946" w:type="pct"/>
            <w:vMerge w:val="restart"/>
            <w:tcBorders>
              <w:top w:val="nil"/>
              <w:left w:val="single" w:color="auto" w:sz="4" w:space="0"/>
              <w:bottom w:val="single" w:color="000000" w:sz="4" w:space="0"/>
              <w:right w:val="single" w:color="auto" w:sz="4" w:space="0"/>
            </w:tcBorders>
            <w:noWrap/>
            <w:vAlign w:val="center"/>
          </w:tcPr>
          <w:p>
            <w:pPr>
              <w:spacing w:line="320" w:lineRule="exact"/>
              <w:jc w:val="center"/>
              <w:rPr>
                <w:rFonts w:ascii="微软雅黑" w:hAnsi="微软雅黑" w:cs="微软雅黑"/>
                <w:b/>
                <w:bCs/>
                <w:color w:val="000000"/>
                <w:sz w:val="20"/>
                <w:szCs w:val="20"/>
              </w:rPr>
            </w:pPr>
            <w:r>
              <w:rPr>
                <w:rFonts w:hint="eastAsia" w:ascii="微软雅黑" w:hAnsi="微软雅黑" w:cs="微软雅黑"/>
                <w:b/>
                <w:bCs/>
                <w:color w:val="000000"/>
                <w:sz w:val="20"/>
                <w:szCs w:val="20"/>
              </w:rPr>
              <w:t>系统管理</w:t>
            </w:r>
          </w:p>
        </w:tc>
        <w:tc>
          <w:tcPr>
            <w:tcW w:w="1100" w:type="pct"/>
            <w:tcBorders>
              <w:top w:val="nil"/>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权限管理</w:t>
            </w:r>
          </w:p>
        </w:tc>
        <w:tc>
          <w:tcPr>
            <w:tcW w:w="2587" w:type="pct"/>
            <w:tcBorders>
              <w:top w:val="nil"/>
              <w:left w:val="single" w:color="auto" w:sz="4" w:space="0"/>
              <w:bottom w:val="single" w:color="auto" w:sz="4" w:space="0"/>
              <w:right w:val="single" w:color="auto" w:sz="4"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管理员根据实际需要进行角色的新增、编辑、删除与权限配置。</w:t>
            </w:r>
          </w:p>
        </w:tc>
      </w:tr>
      <w:tr>
        <w:tblPrEx>
          <w:tblCellMar>
            <w:top w:w="0" w:type="dxa"/>
            <w:left w:w="108" w:type="dxa"/>
            <w:bottom w:w="0" w:type="dxa"/>
            <w:right w:w="108" w:type="dxa"/>
          </w:tblCellMar>
        </w:tblPrEx>
        <w:trPr>
          <w:trHeight w:val="292"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ascii="微软雅黑" w:hAnsi="微软雅黑" w:cs="微软雅黑"/>
                <w:color w:val="000000"/>
                <w:sz w:val="20"/>
                <w:szCs w:val="20"/>
              </w:rPr>
              <w:t>28</w:t>
            </w:r>
          </w:p>
        </w:tc>
        <w:tc>
          <w:tcPr>
            <w:tcW w:w="0" w:type="auto"/>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nil"/>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机构管理</w:t>
            </w:r>
          </w:p>
        </w:tc>
        <w:tc>
          <w:tcPr>
            <w:tcW w:w="2587" w:type="pct"/>
            <w:tcBorders>
              <w:top w:val="nil"/>
              <w:left w:val="single" w:color="auto" w:sz="4" w:space="0"/>
              <w:bottom w:val="single" w:color="auto" w:sz="4" w:space="0"/>
              <w:right w:val="single" w:color="auto" w:sz="4"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管理员根据实际需要进行机构的新增、编辑、删除。</w:t>
            </w:r>
          </w:p>
        </w:tc>
      </w:tr>
      <w:tr>
        <w:tblPrEx>
          <w:tblCellMar>
            <w:top w:w="0" w:type="dxa"/>
            <w:left w:w="108" w:type="dxa"/>
            <w:bottom w:w="0" w:type="dxa"/>
            <w:right w:w="108" w:type="dxa"/>
          </w:tblCellMar>
        </w:tblPrEx>
        <w:trPr>
          <w:trHeight w:val="292"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2</w:t>
            </w:r>
            <w:r>
              <w:rPr>
                <w:rFonts w:ascii="微软雅黑" w:hAnsi="微软雅黑" w:cs="微软雅黑"/>
                <w:color w:val="000000"/>
                <w:sz w:val="20"/>
                <w:szCs w:val="20"/>
              </w:rPr>
              <w:t>9</w:t>
            </w:r>
          </w:p>
        </w:tc>
        <w:tc>
          <w:tcPr>
            <w:tcW w:w="0" w:type="auto"/>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nil"/>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用户管理</w:t>
            </w:r>
          </w:p>
        </w:tc>
        <w:tc>
          <w:tcPr>
            <w:tcW w:w="2587" w:type="pct"/>
            <w:tcBorders>
              <w:top w:val="nil"/>
              <w:left w:val="single" w:color="auto" w:sz="4" w:space="0"/>
              <w:bottom w:val="single" w:color="auto" w:sz="4" w:space="0"/>
              <w:right w:val="single" w:color="auto" w:sz="4"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管理员根据实际需要进行用户的新增、编辑。</w:t>
            </w:r>
          </w:p>
        </w:tc>
      </w:tr>
      <w:tr>
        <w:tblPrEx>
          <w:tblCellMar>
            <w:top w:w="0" w:type="dxa"/>
            <w:left w:w="108" w:type="dxa"/>
            <w:bottom w:w="0" w:type="dxa"/>
            <w:right w:w="108" w:type="dxa"/>
          </w:tblCellMar>
        </w:tblPrEx>
        <w:trPr>
          <w:trHeight w:val="239"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3</w:t>
            </w:r>
            <w:r>
              <w:rPr>
                <w:rFonts w:ascii="微软雅黑" w:hAnsi="微软雅黑" w:cs="微软雅黑"/>
                <w:color w:val="000000"/>
                <w:sz w:val="20"/>
                <w:szCs w:val="20"/>
              </w:rPr>
              <w:t>0</w:t>
            </w:r>
          </w:p>
        </w:tc>
        <w:tc>
          <w:tcPr>
            <w:tcW w:w="0" w:type="auto"/>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nil"/>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标签管理</w:t>
            </w:r>
          </w:p>
        </w:tc>
        <w:tc>
          <w:tcPr>
            <w:tcW w:w="2587" w:type="pct"/>
            <w:tcBorders>
              <w:top w:val="nil"/>
              <w:left w:val="single" w:color="auto" w:sz="4" w:space="0"/>
              <w:bottom w:val="single" w:color="auto" w:sz="4" w:space="0"/>
              <w:right w:val="single" w:color="auto" w:sz="4" w:space="0"/>
            </w:tcBorders>
            <w:vAlign w:val="center"/>
          </w:tcPr>
          <w:p>
            <w:pPr>
              <w:rPr>
                <w:rFonts w:ascii="微软雅黑" w:hAnsi="微软雅黑" w:cs="微软雅黑"/>
                <w:sz w:val="20"/>
                <w:szCs w:val="20"/>
              </w:rPr>
            </w:pPr>
            <w:r>
              <w:rPr>
                <w:rFonts w:hint="eastAsia" w:ascii="微软雅黑" w:hAnsi="微软雅黑" w:cs="微软雅黑"/>
                <w:sz w:val="20"/>
                <w:szCs w:val="20"/>
              </w:rPr>
              <w:t>支持对用户、工单进行标签配置，包括投诉黑产高危用户、调解黑产高危用户、重点关注人员等各类标签配置。</w:t>
            </w:r>
          </w:p>
        </w:tc>
      </w:tr>
      <w:tr>
        <w:tblPrEx>
          <w:tblCellMar>
            <w:top w:w="0" w:type="dxa"/>
            <w:left w:w="108" w:type="dxa"/>
            <w:bottom w:w="0" w:type="dxa"/>
            <w:right w:w="108" w:type="dxa"/>
          </w:tblCellMar>
        </w:tblPrEx>
        <w:trPr>
          <w:trHeight w:val="239"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ascii="微软雅黑" w:hAnsi="微软雅黑" w:cs="微软雅黑"/>
                <w:color w:val="000000"/>
                <w:sz w:val="20"/>
                <w:szCs w:val="20"/>
              </w:rPr>
              <w:t>31</w:t>
            </w:r>
          </w:p>
        </w:tc>
        <w:tc>
          <w:tcPr>
            <w:tcW w:w="0" w:type="auto"/>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nil"/>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消息规则管理</w:t>
            </w:r>
          </w:p>
        </w:tc>
        <w:tc>
          <w:tcPr>
            <w:tcW w:w="2587" w:type="pct"/>
            <w:tcBorders>
              <w:top w:val="nil"/>
              <w:left w:val="single" w:color="auto" w:sz="4" w:space="0"/>
              <w:bottom w:val="single" w:color="auto" w:sz="4" w:space="0"/>
              <w:right w:val="single" w:color="auto" w:sz="4" w:space="0"/>
            </w:tcBorders>
            <w:vAlign w:val="center"/>
          </w:tcPr>
          <w:p>
            <w:pPr>
              <w:rPr>
                <w:rFonts w:ascii="微软雅黑" w:hAnsi="微软雅黑" w:cs="微软雅黑"/>
                <w:color w:val="000000"/>
                <w:sz w:val="20"/>
                <w:szCs w:val="20"/>
              </w:rPr>
            </w:pPr>
            <w:r>
              <w:rPr>
                <w:rFonts w:hint="eastAsia" w:ascii="微软雅黑" w:hAnsi="微软雅黑" w:cs="微软雅黑"/>
                <w:sz w:val="20"/>
                <w:szCs w:val="20"/>
              </w:rPr>
              <w:t>支持各类消息规则配置，含工单到达通知、案件督办通知、工单进度通知、调解消息通知等。</w:t>
            </w:r>
          </w:p>
        </w:tc>
      </w:tr>
      <w:tr>
        <w:tblPrEx>
          <w:tblCellMar>
            <w:top w:w="0" w:type="dxa"/>
            <w:left w:w="108" w:type="dxa"/>
            <w:bottom w:w="0" w:type="dxa"/>
            <w:right w:w="108" w:type="dxa"/>
          </w:tblCellMar>
        </w:tblPrEx>
        <w:trPr>
          <w:trHeight w:val="239"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ascii="微软雅黑" w:hAnsi="微软雅黑" w:cs="微软雅黑"/>
                <w:color w:val="000000"/>
                <w:sz w:val="20"/>
                <w:szCs w:val="20"/>
              </w:rPr>
              <w:t>32</w:t>
            </w:r>
          </w:p>
        </w:tc>
        <w:tc>
          <w:tcPr>
            <w:tcW w:w="0" w:type="auto"/>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nil"/>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预警时限配置</w:t>
            </w:r>
          </w:p>
        </w:tc>
        <w:tc>
          <w:tcPr>
            <w:tcW w:w="2587" w:type="pct"/>
            <w:tcBorders>
              <w:top w:val="nil"/>
              <w:left w:val="nil"/>
              <w:bottom w:val="single" w:color="auto" w:sz="4" w:space="0"/>
              <w:right w:val="single" w:color="auto" w:sz="4"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配置投诉各环节、调解各环节预警时限规则信息。</w:t>
            </w:r>
          </w:p>
        </w:tc>
      </w:tr>
      <w:tr>
        <w:tblPrEx>
          <w:tblCellMar>
            <w:top w:w="0" w:type="dxa"/>
            <w:left w:w="108" w:type="dxa"/>
            <w:bottom w:w="0" w:type="dxa"/>
            <w:right w:w="108" w:type="dxa"/>
          </w:tblCellMar>
        </w:tblPrEx>
        <w:trPr>
          <w:trHeight w:val="239" w:hRule="atLeast"/>
        </w:trPr>
        <w:tc>
          <w:tcPr>
            <w:tcW w:w="364" w:type="pct"/>
            <w:tcBorders>
              <w:top w:val="nil"/>
              <w:left w:val="single" w:color="auto" w:sz="4" w:space="0"/>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ascii="微软雅黑" w:hAnsi="微软雅黑" w:cs="微软雅黑"/>
                <w:color w:val="000000"/>
                <w:sz w:val="20"/>
                <w:szCs w:val="20"/>
              </w:rPr>
              <w:t>33</w:t>
            </w:r>
          </w:p>
        </w:tc>
        <w:tc>
          <w:tcPr>
            <w:tcW w:w="0" w:type="auto"/>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微软雅黑" w:hAnsi="微软雅黑" w:cs="微软雅黑"/>
                <w:b/>
                <w:bCs/>
                <w:color w:val="000000"/>
                <w:sz w:val="20"/>
                <w:szCs w:val="20"/>
              </w:rPr>
            </w:pPr>
          </w:p>
        </w:tc>
        <w:tc>
          <w:tcPr>
            <w:tcW w:w="1100" w:type="pct"/>
            <w:tcBorders>
              <w:top w:val="nil"/>
              <w:left w:val="nil"/>
              <w:bottom w:val="single" w:color="auto" w:sz="4" w:space="0"/>
              <w:right w:val="single" w:color="auto" w:sz="4" w:space="0"/>
            </w:tcBorders>
            <w:noWrap/>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操作日志管理</w:t>
            </w:r>
          </w:p>
        </w:tc>
        <w:tc>
          <w:tcPr>
            <w:tcW w:w="2587" w:type="pct"/>
            <w:tcBorders>
              <w:top w:val="nil"/>
              <w:left w:val="nil"/>
              <w:bottom w:val="single" w:color="auto" w:sz="4" w:space="0"/>
              <w:right w:val="single" w:color="auto" w:sz="4" w:space="0"/>
            </w:tcBorders>
            <w:vAlign w:val="center"/>
          </w:tcPr>
          <w:p>
            <w:pPr>
              <w:rPr>
                <w:rFonts w:ascii="微软雅黑" w:hAnsi="微软雅黑" w:cs="微软雅黑"/>
                <w:color w:val="000000"/>
                <w:sz w:val="20"/>
                <w:szCs w:val="20"/>
              </w:rPr>
            </w:pPr>
            <w:r>
              <w:rPr>
                <w:rFonts w:hint="eastAsia" w:ascii="微软雅黑" w:hAnsi="微软雅黑" w:cs="微软雅黑"/>
                <w:color w:val="000000"/>
                <w:sz w:val="20"/>
                <w:szCs w:val="20"/>
              </w:rPr>
              <w:t>检索与查看系统操作日志。</w:t>
            </w:r>
          </w:p>
        </w:tc>
      </w:tr>
      <w:bookmarkEnd w:id="1141"/>
      <w:bookmarkEnd w:id="1142"/>
      <w:bookmarkEnd w:id="1143"/>
      <w:bookmarkEnd w:id="1144"/>
      <w:bookmarkEnd w:id="1145"/>
      <w:bookmarkEnd w:id="1146"/>
      <w:bookmarkEnd w:id="1147"/>
      <w:bookmarkEnd w:id="1148"/>
      <w:bookmarkEnd w:id="1149"/>
      <w:bookmarkEnd w:id="1150"/>
      <w:bookmarkEnd w:id="1151"/>
      <w:bookmarkEnd w:id="1152"/>
      <w:bookmarkEnd w:id="1153"/>
    </w:tbl>
    <w:p>
      <w:pPr>
        <w:pStyle w:val="192"/>
        <w:numPr>
          <w:ilvl w:val="0"/>
          <w:numId w:val="0"/>
        </w:numPr>
        <w:jc w:val="both"/>
        <w:rPr>
          <w:rFonts w:ascii="宋体" w:hAnsi="宋体" w:cs="宋体"/>
          <w:b/>
        </w:rPr>
      </w:pPr>
    </w:p>
    <w:p>
      <w:pPr>
        <w:pStyle w:val="190"/>
        <w:numPr>
          <w:ilvl w:val="1"/>
          <w:numId w:val="7"/>
        </w:numPr>
        <w:spacing w:before="84" w:after="84"/>
        <w:ind w:left="0" w:firstLine="0"/>
      </w:pPr>
      <w:r>
        <w:t>管理要求</w:t>
      </w:r>
    </w:p>
    <w:p>
      <w:pPr>
        <w:pStyle w:val="190"/>
        <w:numPr>
          <w:ilvl w:val="2"/>
          <w:numId w:val="7"/>
        </w:numPr>
        <w:spacing w:before="84" w:after="84"/>
        <w:outlineLvl w:val="2"/>
        <w:rPr>
          <w:sz w:val="30"/>
          <w:szCs w:val="30"/>
        </w:rPr>
      </w:pPr>
      <w:r>
        <w:rPr>
          <w:sz w:val="30"/>
          <w:szCs w:val="30"/>
        </w:rPr>
        <w:t>服务人员</w:t>
      </w:r>
    </w:p>
    <w:p>
      <w:pPr>
        <w:pStyle w:val="258"/>
        <w:spacing w:line="380" w:lineRule="exact"/>
        <w:ind w:firstLine="400"/>
        <w:jc w:val="both"/>
        <w:rPr>
          <w:rFonts w:ascii="微软雅黑" w:hAnsi="微软雅黑" w:eastAsia="微软雅黑" w:cs="微软雅黑"/>
          <w:iCs w:val="0"/>
          <w:color w:val="000000"/>
          <w:kern w:val="0"/>
          <w:sz w:val="20"/>
          <w:szCs w:val="20"/>
        </w:rPr>
      </w:pPr>
      <w:r>
        <w:rPr>
          <w:rFonts w:hint="eastAsia" w:ascii="微软雅黑" w:hAnsi="微软雅黑" w:eastAsia="微软雅黑" w:cs="微软雅黑"/>
          <w:iCs w:val="0"/>
          <w:color w:val="000000"/>
          <w:kern w:val="0"/>
          <w:sz w:val="20"/>
          <w:szCs w:val="20"/>
        </w:rPr>
        <w:t>投标人须书面承诺，如在项目实际执行过程中发生项目经理不能按采购文件要求胜任相关工作的，采购人有权要求更换项目经理，投标人必须在两周内调整为符合采购文件要求且能胜任相关工作的项目经理并到位开展工作，否则采购人有权终止合同并报相关管理部门进行处理。</w:t>
      </w:r>
    </w:p>
    <w:p>
      <w:pPr>
        <w:pStyle w:val="258"/>
        <w:spacing w:line="380" w:lineRule="exact"/>
        <w:ind w:firstLine="400"/>
        <w:jc w:val="both"/>
        <w:rPr>
          <w:rFonts w:ascii="微软雅黑" w:hAnsi="微软雅黑" w:eastAsia="微软雅黑" w:cs="微软雅黑"/>
          <w:iCs w:val="0"/>
          <w:color w:val="000000"/>
          <w:kern w:val="0"/>
          <w:sz w:val="20"/>
          <w:szCs w:val="20"/>
        </w:rPr>
      </w:pPr>
      <w:r>
        <w:rPr>
          <w:rFonts w:hint="eastAsia" w:ascii="微软雅黑" w:hAnsi="微软雅黑" w:eastAsia="微软雅黑" w:cs="微软雅黑"/>
          <w:iCs w:val="0"/>
          <w:color w:val="000000"/>
          <w:kern w:val="0"/>
          <w:sz w:val="20"/>
          <w:szCs w:val="20"/>
        </w:rPr>
        <w:t>服务商应指派固定的团队为本项目提供专业服务，服务团队成员不得少于</w:t>
      </w:r>
      <w:r>
        <w:rPr>
          <w:rFonts w:ascii="微软雅黑" w:hAnsi="微软雅黑" w:eastAsia="微软雅黑" w:cs="微软雅黑"/>
          <w:iCs w:val="0"/>
          <w:color w:val="000000"/>
          <w:kern w:val="0"/>
          <w:sz w:val="20"/>
          <w:szCs w:val="20"/>
          <w:u w:val="single"/>
        </w:rPr>
        <w:t xml:space="preserve">  5  </w:t>
      </w:r>
      <w:r>
        <w:rPr>
          <w:rFonts w:hint="eastAsia" w:ascii="微软雅黑" w:hAnsi="微软雅黑" w:eastAsia="微软雅黑" w:cs="微软雅黑"/>
          <w:iCs w:val="0"/>
          <w:color w:val="000000"/>
          <w:kern w:val="0"/>
          <w:sz w:val="20"/>
          <w:szCs w:val="20"/>
        </w:rPr>
        <w:t>人。</w:t>
      </w:r>
    </w:p>
    <w:p>
      <w:pPr>
        <w:pStyle w:val="258"/>
        <w:spacing w:line="380" w:lineRule="exact"/>
        <w:ind w:firstLine="400"/>
        <w:jc w:val="both"/>
        <w:rPr>
          <w:rFonts w:ascii="微软雅黑" w:hAnsi="微软雅黑" w:eastAsia="微软雅黑" w:cs="微软雅黑"/>
          <w:iCs w:val="0"/>
          <w:color w:val="000000"/>
          <w:kern w:val="0"/>
          <w:sz w:val="20"/>
          <w:szCs w:val="20"/>
        </w:rPr>
      </w:pPr>
      <w:r>
        <w:rPr>
          <w:rFonts w:hint="eastAsia" w:ascii="微软雅黑" w:hAnsi="微软雅黑" w:eastAsia="微软雅黑" w:cs="微软雅黑"/>
          <w:iCs w:val="0"/>
          <w:color w:val="000000"/>
          <w:kern w:val="0"/>
          <w:sz w:val="20"/>
          <w:szCs w:val="20"/>
        </w:rPr>
        <w:t>如须调整服务团队成员，须书面向采购人提出申请，说明申请理由，经采购人书面同意方可调整团队人员，调入人员的资历和从业经验不低于调出人员，否则视为违约行为，采购人有权终止服务合同。</w:t>
      </w:r>
    </w:p>
    <w:p>
      <w:pPr>
        <w:pStyle w:val="258"/>
        <w:spacing w:line="380" w:lineRule="exact"/>
        <w:ind w:firstLine="400"/>
        <w:jc w:val="both"/>
        <w:rPr>
          <w:rFonts w:ascii="微软雅黑" w:hAnsi="微软雅黑" w:eastAsia="微软雅黑" w:cs="微软雅黑"/>
          <w:iCs w:val="0"/>
          <w:color w:val="000000"/>
          <w:kern w:val="0"/>
          <w:sz w:val="20"/>
          <w:szCs w:val="20"/>
        </w:rPr>
      </w:pPr>
      <w:r>
        <w:rPr>
          <w:rFonts w:hint="eastAsia" w:ascii="微软雅黑" w:hAnsi="微软雅黑" w:eastAsia="微软雅黑" w:cs="微软雅黑"/>
          <w:iCs w:val="0"/>
          <w:color w:val="000000"/>
          <w:kern w:val="0"/>
          <w:sz w:val="20"/>
          <w:szCs w:val="20"/>
        </w:rPr>
        <w:t>应提供以上人员相关证明资料复印件并加盖公章，并提供以上人员在本公司任职的有效外部证明材料（如加盖政府有关部门印章的《投保单》或《社会保险参保人员证明》，或单位代缴个人所得税税单等，事业法人的相关人员应提供该单位的相关证明）复印件。</w:t>
      </w:r>
    </w:p>
    <w:p>
      <w:pPr>
        <w:pStyle w:val="190"/>
        <w:numPr>
          <w:ilvl w:val="2"/>
          <w:numId w:val="7"/>
        </w:numPr>
        <w:spacing w:before="84" w:after="84"/>
        <w:outlineLvl w:val="2"/>
        <w:rPr>
          <w:sz w:val="30"/>
          <w:szCs w:val="30"/>
        </w:rPr>
      </w:pPr>
      <w:r>
        <w:rPr>
          <w:sz w:val="30"/>
          <w:szCs w:val="30"/>
        </w:rPr>
        <w:t>进度要求</w:t>
      </w:r>
    </w:p>
    <w:p>
      <w:pPr>
        <w:pStyle w:val="258"/>
        <w:spacing w:line="380" w:lineRule="exact"/>
        <w:ind w:firstLine="400"/>
        <w:jc w:val="both"/>
        <w:rPr>
          <w:rFonts w:ascii="微软雅黑" w:hAnsi="微软雅黑" w:eastAsia="微软雅黑" w:cs="微软雅黑"/>
          <w:iCs w:val="0"/>
          <w:color w:val="000000"/>
          <w:kern w:val="0"/>
          <w:sz w:val="20"/>
          <w:szCs w:val="20"/>
        </w:rPr>
      </w:pPr>
      <w:r>
        <w:rPr>
          <w:rFonts w:hint="eastAsia" w:ascii="微软雅黑" w:hAnsi="微软雅黑" w:eastAsia="微软雅黑" w:cs="微软雅黑"/>
          <w:iCs w:val="0"/>
          <w:color w:val="000000"/>
          <w:kern w:val="0"/>
          <w:sz w:val="20"/>
          <w:szCs w:val="20"/>
        </w:rPr>
        <w:t>项目周期为</w:t>
      </w:r>
      <w:r>
        <w:rPr>
          <w:rFonts w:ascii="微软雅黑" w:hAnsi="微软雅黑" w:eastAsia="微软雅黑" w:cs="微软雅黑"/>
          <w:iCs w:val="0"/>
          <w:color w:val="000000"/>
          <w:kern w:val="0"/>
          <w:sz w:val="20"/>
          <w:szCs w:val="20"/>
        </w:rPr>
        <w:t>9</w:t>
      </w:r>
      <w:r>
        <w:rPr>
          <w:rFonts w:hint="eastAsia" w:ascii="微软雅黑" w:hAnsi="微软雅黑" w:eastAsia="微软雅黑" w:cs="微软雅黑"/>
          <w:iCs w:val="0"/>
          <w:color w:val="000000"/>
          <w:kern w:val="0"/>
          <w:sz w:val="20"/>
          <w:szCs w:val="20"/>
        </w:rPr>
        <w:t>个月，具体时间以项目合同为准。</w:t>
      </w:r>
    </w:p>
    <w:p>
      <w:pPr>
        <w:pStyle w:val="258"/>
        <w:spacing w:line="380" w:lineRule="exact"/>
        <w:ind w:firstLine="400"/>
        <w:jc w:val="both"/>
        <w:rPr>
          <w:rFonts w:ascii="微软雅黑" w:hAnsi="微软雅黑" w:eastAsia="微软雅黑" w:cs="微软雅黑"/>
          <w:iCs w:val="0"/>
          <w:color w:val="000000"/>
          <w:kern w:val="0"/>
          <w:sz w:val="20"/>
          <w:szCs w:val="20"/>
        </w:rPr>
      </w:pPr>
      <w:r>
        <w:rPr>
          <w:rFonts w:hint="eastAsia" w:ascii="微软雅黑" w:hAnsi="微软雅黑" w:eastAsia="微软雅黑" w:cs="微软雅黑"/>
          <w:iCs w:val="0"/>
          <w:color w:val="000000"/>
          <w:kern w:val="0"/>
          <w:sz w:val="20"/>
          <w:szCs w:val="20"/>
        </w:rPr>
        <w:t>项目里程碑计划严格按照本服务项目的建设任务和进度要求，通过关键节点、里程碑事件的监控，来控制项目工作的进展和保证实现总目标。本服务项目里程碑计划如下：（</w:t>
      </w:r>
      <w:r>
        <w:rPr>
          <w:rFonts w:ascii="微软雅黑" w:hAnsi="微软雅黑" w:eastAsia="微软雅黑" w:cs="微软雅黑"/>
          <w:iCs w:val="0"/>
          <w:color w:val="000000"/>
          <w:kern w:val="0"/>
          <w:sz w:val="20"/>
          <w:szCs w:val="20"/>
        </w:rPr>
        <w:t>T</w:t>
      </w:r>
      <w:r>
        <w:rPr>
          <w:rFonts w:hint="eastAsia" w:ascii="微软雅黑" w:hAnsi="微软雅黑" w:eastAsia="微软雅黑" w:cs="微软雅黑"/>
          <w:iCs w:val="0"/>
          <w:color w:val="000000"/>
          <w:kern w:val="0"/>
          <w:sz w:val="20"/>
          <w:szCs w:val="20"/>
        </w:rPr>
        <w:t>表示项目合同签订日期）</w:t>
      </w:r>
    </w:p>
    <w:p>
      <w:pPr>
        <w:jc w:val="center"/>
      </w:pPr>
    </w:p>
    <w:tbl>
      <w:tblPr>
        <w:tblStyle w:val="45"/>
        <w:tblW w:w="8238" w:type="dxa"/>
        <w:tblInd w:w="113" w:type="dxa"/>
        <w:shd w:val="clear" w:color="auto" w:fill="FFFFFF"/>
        <w:tblLayout w:type="fixed"/>
        <w:tblCellMar>
          <w:top w:w="57" w:type="dxa"/>
          <w:left w:w="108" w:type="dxa"/>
          <w:bottom w:w="57" w:type="dxa"/>
          <w:right w:w="108" w:type="dxa"/>
        </w:tblCellMar>
      </w:tblPr>
      <w:tblGrid>
        <w:gridCol w:w="1696"/>
        <w:gridCol w:w="5123"/>
        <w:gridCol w:w="1419"/>
      </w:tblGrid>
      <w:tr>
        <w:tblPrEx>
          <w:shd w:val="clear" w:color="auto" w:fill="FFFFFF"/>
          <w:tblCellMar>
            <w:top w:w="57" w:type="dxa"/>
            <w:left w:w="108" w:type="dxa"/>
            <w:bottom w:w="57" w:type="dxa"/>
            <w:right w:w="108" w:type="dxa"/>
          </w:tblCellMar>
        </w:tblPrEx>
        <w:trPr>
          <w:trHeight w:val="32" w:hRule="atLeast"/>
          <w:tblHeader/>
        </w:trPr>
        <w:tc>
          <w:tcPr>
            <w:tcW w:w="169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5"/>
              <w:ind w:left="88"/>
              <w:rPr>
                <w:b/>
              </w:rPr>
            </w:pPr>
            <w:r>
              <w:rPr>
                <w:b/>
              </w:rPr>
              <w:t>工作内容</w:t>
            </w:r>
          </w:p>
        </w:tc>
        <w:tc>
          <w:tcPr>
            <w:tcW w:w="512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5"/>
              <w:ind w:left="88"/>
              <w:rPr>
                <w:b/>
              </w:rPr>
            </w:pPr>
            <w:r>
              <w:rPr>
                <w:b/>
              </w:rPr>
              <w:t>里程碑事件</w:t>
            </w:r>
          </w:p>
        </w:tc>
        <w:tc>
          <w:tcPr>
            <w:tcW w:w="141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45"/>
              <w:ind w:left="88"/>
              <w:rPr>
                <w:b/>
              </w:rPr>
            </w:pPr>
            <w:r>
              <w:rPr>
                <w:b/>
              </w:rPr>
              <w:t>时间</w:t>
            </w:r>
          </w:p>
        </w:tc>
      </w:tr>
      <w:tr>
        <w:tblPrEx>
          <w:shd w:val="clear" w:color="auto" w:fill="FFFFFF"/>
          <w:tblCellMar>
            <w:top w:w="57" w:type="dxa"/>
            <w:left w:w="108" w:type="dxa"/>
            <w:bottom w:w="57" w:type="dxa"/>
            <w:right w:w="108" w:type="dxa"/>
          </w:tblCellMar>
        </w:tblPrEx>
        <w:trPr>
          <w:trHeight w:val="42" w:hRule="atLeast"/>
        </w:trPr>
        <w:tc>
          <w:tcPr>
            <w:tcW w:w="1696" w:type="dxa"/>
            <w:tcBorders>
              <w:top w:val="nil"/>
              <w:left w:val="single" w:color="auto" w:sz="4" w:space="0"/>
              <w:bottom w:val="single" w:color="auto" w:sz="4" w:space="0"/>
              <w:right w:val="single" w:color="auto" w:sz="4" w:space="0"/>
            </w:tcBorders>
            <w:shd w:val="clear" w:color="auto" w:fill="FFFFFF"/>
            <w:vAlign w:val="center"/>
          </w:tcPr>
          <w:p>
            <w:pPr>
              <w:pStyle w:val="145"/>
              <w:ind w:left="88"/>
            </w:pPr>
            <w:r>
              <w:t>项目启动</w:t>
            </w:r>
          </w:p>
        </w:tc>
        <w:tc>
          <w:tcPr>
            <w:tcW w:w="5123" w:type="dxa"/>
            <w:tcBorders>
              <w:top w:val="nil"/>
              <w:left w:val="nil"/>
              <w:bottom w:val="single" w:color="auto" w:sz="4" w:space="0"/>
              <w:right w:val="single" w:color="auto" w:sz="4" w:space="0"/>
            </w:tcBorders>
            <w:shd w:val="clear" w:color="auto" w:fill="FFFFFF"/>
            <w:vAlign w:val="center"/>
          </w:tcPr>
          <w:p>
            <w:pPr>
              <w:pStyle w:val="145"/>
              <w:ind w:left="88"/>
            </w:pPr>
            <w:r>
              <w:t>项目正式启动</w:t>
            </w:r>
          </w:p>
        </w:tc>
        <w:tc>
          <w:tcPr>
            <w:tcW w:w="1419" w:type="dxa"/>
            <w:tcBorders>
              <w:top w:val="nil"/>
              <w:left w:val="nil"/>
              <w:bottom w:val="single" w:color="auto" w:sz="4" w:space="0"/>
              <w:right w:val="single" w:color="auto" w:sz="4" w:space="0"/>
            </w:tcBorders>
            <w:shd w:val="clear" w:color="auto" w:fill="FFFFFF"/>
          </w:tcPr>
          <w:p>
            <w:pPr>
              <w:pStyle w:val="145"/>
              <w:ind w:left="88"/>
            </w:pPr>
            <w:r>
              <w:t>T+10</w:t>
            </w:r>
          </w:p>
        </w:tc>
      </w:tr>
      <w:tr>
        <w:tblPrEx>
          <w:shd w:val="clear" w:color="auto" w:fill="FFFFFF"/>
          <w:tblCellMar>
            <w:top w:w="57" w:type="dxa"/>
            <w:left w:w="108" w:type="dxa"/>
            <w:bottom w:w="57" w:type="dxa"/>
            <w:right w:w="108" w:type="dxa"/>
          </w:tblCellMar>
        </w:tblPrEx>
        <w:trPr>
          <w:trHeight w:val="42" w:hRule="atLeast"/>
        </w:trPr>
        <w:tc>
          <w:tcPr>
            <w:tcW w:w="1696" w:type="dxa"/>
            <w:tcBorders>
              <w:top w:val="nil"/>
              <w:left w:val="single" w:color="auto" w:sz="4" w:space="0"/>
              <w:bottom w:val="single" w:color="auto" w:sz="4" w:space="0"/>
              <w:right w:val="single" w:color="auto" w:sz="4" w:space="0"/>
            </w:tcBorders>
            <w:shd w:val="clear" w:color="auto" w:fill="FFFFFF"/>
            <w:vAlign w:val="center"/>
          </w:tcPr>
          <w:p>
            <w:pPr>
              <w:pStyle w:val="145"/>
              <w:ind w:left="88"/>
            </w:pPr>
            <w:r>
              <w:t>需求调研</w:t>
            </w:r>
          </w:p>
        </w:tc>
        <w:tc>
          <w:tcPr>
            <w:tcW w:w="5123" w:type="dxa"/>
            <w:tcBorders>
              <w:top w:val="nil"/>
              <w:left w:val="nil"/>
              <w:bottom w:val="single" w:color="auto" w:sz="4" w:space="0"/>
              <w:right w:val="single" w:color="auto" w:sz="4" w:space="0"/>
            </w:tcBorders>
            <w:shd w:val="clear" w:color="auto" w:fill="FFFFFF"/>
            <w:vAlign w:val="center"/>
          </w:tcPr>
          <w:p>
            <w:pPr>
              <w:pStyle w:val="145"/>
              <w:ind w:left="88"/>
            </w:pPr>
            <w:r>
              <w:t>调研报告</w:t>
            </w:r>
          </w:p>
        </w:tc>
        <w:tc>
          <w:tcPr>
            <w:tcW w:w="1419" w:type="dxa"/>
            <w:tcBorders>
              <w:top w:val="nil"/>
              <w:left w:val="nil"/>
              <w:bottom w:val="single" w:color="auto" w:sz="4" w:space="0"/>
              <w:right w:val="single" w:color="auto" w:sz="4" w:space="0"/>
            </w:tcBorders>
            <w:shd w:val="clear" w:color="auto" w:fill="FFFFFF"/>
          </w:tcPr>
          <w:p>
            <w:pPr>
              <w:pStyle w:val="145"/>
              <w:ind w:left="88"/>
            </w:pPr>
            <w:r>
              <w:t>T+20</w:t>
            </w:r>
          </w:p>
        </w:tc>
      </w:tr>
      <w:tr>
        <w:tblPrEx>
          <w:shd w:val="clear" w:color="auto" w:fill="FFFFFF"/>
          <w:tblCellMar>
            <w:top w:w="57" w:type="dxa"/>
            <w:left w:w="108" w:type="dxa"/>
            <w:bottom w:w="57" w:type="dxa"/>
            <w:right w:w="108" w:type="dxa"/>
          </w:tblCellMar>
        </w:tblPrEx>
        <w:trPr>
          <w:trHeight w:val="42" w:hRule="atLeast"/>
        </w:trPr>
        <w:tc>
          <w:tcPr>
            <w:tcW w:w="1696" w:type="dxa"/>
            <w:tcBorders>
              <w:top w:val="nil"/>
              <w:left w:val="single" w:color="auto" w:sz="4" w:space="0"/>
              <w:bottom w:val="single" w:color="auto" w:sz="4" w:space="0"/>
              <w:right w:val="single" w:color="auto" w:sz="4" w:space="0"/>
            </w:tcBorders>
            <w:shd w:val="clear" w:color="auto" w:fill="FFFFFF"/>
            <w:vAlign w:val="center"/>
          </w:tcPr>
          <w:p>
            <w:pPr>
              <w:pStyle w:val="145"/>
              <w:ind w:left="88"/>
            </w:pPr>
            <w:r>
              <w:t>需求分析</w:t>
            </w:r>
          </w:p>
        </w:tc>
        <w:tc>
          <w:tcPr>
            <w:tcW w:w="5123" w:type="dxa"/>
            <w:tcBorders>
              <w:top w:val="nil"/>
              <w:left w:val="nil"/>
              <w:bottom w:val="single" w:color="auto" w:sz="4" w:space="0"/>
              <w:right w:val="single" w:color="auto" w:sz="4" w:space="0"/>
            </w:tcBorders>
            <w:shd w:val="clear" w:color="auto" w:fill="FFFFFF"/>
            <w:vAlign w:val="center"/>
          </w:tcPr>
          <w:p>
            <w:pPr>
              <w:pStyle w:val="145"/>
              <w:ind w:left="88"/>
            </w:pPr>
            <w:r>
              <w:t>确认业务需求说明书</w:t>
            </w:r>
          </w:p>
        </w:tc>
        <w:tc>
          <w:tcPr>
            <w:tcW w:w="1419" w:type="dxa"/>
            <w:tcBorders>
              <w:top w:val="nil"/>
              <w:left w:val="nil"/>
              <w:bottom w:val="single" w:color="auto" w:sz="4" w:space="0"/>
              <w:right w:val="single" w:color="auto" w:sz="4" w:space="0"/>
            </w:tcBorders>
            <w:shd w:val="clear" w:color="auto" w:fill="FFFFFF"/>
          </w:tcPr>
          <w:p>
            <w:pPr>
              <w:pStyle w:val="145"/>
              <w:ind w:left="88"/>
            </w:pPr>
            <w:r>
              <w:t>T+30</w:t>
            </w:r>
          </w:p>
        </w:tc>
      </w:tr>
      <w:tr>
        <w:tblPrEx>
          <w:shd w:val="clear" w:color="auto" w:fill="FFFFFF"/>
          <w:tblCellMar>
            <w:top w:w="57" w:type="dxa"/>
            <w:left w:w="108" w:type="dxa"/>
            <w:bottom w:w="57" w:type="dxa"/>
            <w:right w:w="108" w:type="dxa"/>
          </w:tblCellMar>
        </w:tblPrEx>
        <w:trPr>
          <w:trHeight w:val="42" w:hRule="atLeast"/>
        </w:trPr>
        <w:tc>
          <w:tcPr>
            <w:tcW w:w="1696" w:type="dxa"/>
            <w:tcBorders>
              <w:top w:val="nil"/>
              <w:left w:val="single" w:color="auto" w:sz="4" w:space="0"/>
              <w:bottom w:val="single" w:color="auto" w:sz="4" w:space="0"/>
              <w:right w:val="single" w:color="auto" w:sz="4" w:space="0"/>
            </w:tcBorders>
            <w:shd w:val="clear" w:color="auto" w:fill="FFFFFF"/>
            <w:vAlign w:val="center"/>
          </w:tcPr>
          <w:p>
            <w:pPr>
              <w:pStyle w:val="145"/>
              <w:ind w:left="88"/>
            </w:pPr>
            <w:r>
              <w:t>系统开发</w:t>
            </w:r>
          </w:p>
        </w:tc>
        <w:tc>
          <w:tcPr>
            <w:tcW w:w="5123" w:type="dxa"/>
            <w:tcBorders>
              <w:top w:val="nil"/>
              <w:left w:val="nil"/>
              <w:bottom w:val="single" w:color="auto" w:sz="4" w:space="0"/>
              <w:right w:val="single" w:color="auto" w:sz="4" w:space="0"/>
            </w:tcBorders>
            <w:shd w:val="clear" w:color="auto" w:fill="FFFFFF"/>
            <w:vAlign w:val="center"/>
          </w:tcPr>
          <w:p>
            <w:pPr>
              <w:pStyle w:val="145"/>
              <w:ind w:left="88"/>
            </w:pPr>
            <w:r>
              <w:t>完成系统主体功能开发</w:t>
            </w:r>
          </w:p>
        </w:tc>
        <w:tc>
          <w:tcPr>
            <w:tcW w:w="1419" w:type="dxa"/>
            <w:tcBorders>
              <w:top w:val="nil"/>
              <w:left w:val="nil"/>
              <w:bottom w:val="single" w:color="auto" w:sz="4" w:space="0"/>
              <w:right w:val="single" w:color="auto" w:sz="4" w:space="0"/>
            </w:tcBorders>
            <w:shd w:val="clear" w:color="auto" w:fill="FFFFFF"/>
          </w:tcPr>
          <w:p>
            <w:pPr>
              <w:pStyle w:val="145"/>
              <w:ind w:left="88"/>
            </w:pPr>
            <w:r>
              <w:t>T+220</w:t>
            </w:r>
          </w:p>
        </w:tc>
      </w:tr>
      <w:tr>
        <w:tblPrEx>
          <w:shd w:val="clear" w:color="auto" w:fill="FFFFFF"/>
          <w:tblCellMar>
            <w:top w:w="57" w:type="dxa"/>
            <w:left w:w="108" w:type="dxa"/>
            <w:bottom w:w="57" w:type="dxa"/>
            <w:right w:w="108" w:type="dxa"/>
          </w:tblCellMar>
        </w:tblPrEx>
        <w:trPr>
          <w:trHeight w:val="42" w:hRule="atLeast"/>
        </w:trPr>
        <w:tc>
          <w:tcPr>
            <w:tcW w:w="1696" w:type="dxa"/>
            <w:tcBorders>
              <w:top w:val="nil"/>
              <w:left w:val="single" w:color="auto" w:sz="4" w:space="0"/>
              <w:bottom w:val="single" w:color="auto" w:sz="4" w:space="0"/>
              <w:right w:val="single" w:color="auto" w:sz="4" w:space="0"/>
            </w:tcBorders>
            <w:shd w:val="clear" w:color="auto" w:fill="FFFFFF"/>
            <w:vAlign w:val="center"/>
          </w:tcPr>
          <w:p>
            <w:pPr>
              <w:pStyle w:val="145"/>
              <w:ind w:left="88"/>
            </w:pPr>
            <w:r>
              <w:t>功能测试</w:t>
            </w:r>
          </w:p>
        </w:tc>
        <w:tc>
          <w:tcPr>
            <w:tcW w:w="5123" w:type="dxa"/>
            <w:tcBorders>
              <w:top w:val="nil"/>
              <w:left w:val="nil"/>
              <w:bottom w:val="single" w:color="auto" w:sz="4" w:space="0"/>
              <w:right w:val="single" w:color="auto" w:sz="4" w:space="0"/>
            </w:tcBorders>
            <w:shd w:val="clear" w:color="auto" w:fill="FFFFFF"/>
            <w:vAlign w:val="center"/>
          </w:tcPr>
          <w:p>
            <w:pPr>
              <w:pStyle w:val="145"/>
              <w:ind w:left="88"/>
            </w:pPr>
            <w:r>
              <w:t>完成主体功能测试报告</w:t>
            </w:r>
          </w:p>
        </w:tc>
        <w:tc>
          <w:tcPr>
            <w:tcW w:w="1419" w:type="dxa"/>
            <w:tcBorders>
              <w:top w:val="nil"/>
              <w:left w:val="nil"/>
              <w:bottom w:val="single" w:color="auto" w:sz="4" w:space="0"/>
              <w:right w:val="single" w:color="auto" w:sz="4" w:space="0"/>
            </w:tcBorders>
            <w:shd w:val="clear" w:color="auto" w:fill="FFFFFF"/>
          </w:tcPr>
          <w:p>
            <w:pPr>
              <w:pStyle w:val="145"/>
              <w:ind w:left="88"/>
            </w:pPr>
            <w:r>
              <w:t>T+235</w:t>
            </w:r>
          </w:p>
        </w:tc>
      </w:tr>
      <w:tr>
        <w:tblPrEx>
          <w:shd w:val="clear" w:color="auto" w:fill="FFFFFF"/>
          <w:tblCellMar>
            <w:top w:w="57" w:type="dxa"/>
            <w:left w:w="108" w:type="dxa"/>
            <w:bottom w:w="57" w:type="dxa"/>
            <w:right w:w="108" w:type="dxa"/>
          </w:tblCellMar>
        </w:tblPrEx>
        <w:trPr>
          <w:trHeight w:val="42" w:hRule="atLeast"/>
        </w:trPr>
        <w:tc>
          <w:tcPr>
            <w:tcW w:w="1696" w:type="dxa"/>
            <w:tcBorders>
              <w:top w:val="nil"/>
              <w:left w:val="single" w:color="auto" w:sz="4" w:space="0"/>
              <w:bottom w:val="single" w:color="auto" w:sz="4" w:space="0"/>
              <w:right w:val="single" w:color="auto" w:sz="4" w:space="0"/>
            </w:tcBorders>
            <w:shd w:val="clear" w:color="auto" w:fill="FFFFFF"/>
            <w:vAlign w:val="center"/>
          </w:tcPr>
          <w:p>
            <w:pPr>
              <w:pStyle w:val="145"/>
              <w:ind w:left="88"/>
            </w:pPr>
            <w:r>
              <w:t>部署上线</w:t>
            </w:r>
          </w:p>
        </w:tc>
        <w:tc>
          <w:tcPr>
            <w:tcW w:w="5123" w:type="dxa"/>
            <w:tcBorders>
              <w:top w:val="nil"/>
              <w:left w:val="nil"/>
              <w:bottom w:val="single" w:color="auto" w:sz="4" w:space="0"/>
              <w:right w:val="single" w:color="auto" w:sz="4" w:space="0"/>
            </w:tcBorders>
            <w:shd w:val="clear" w:color="auto" w:fill="FFFFFF"/>
            <w:vAlign w:val="center"/>
          </w:tcPr>
          <w:p>
            <w:pPr>
              <w:pStyle w:val="145"/>
              <w:ind w:left="88"/>
            </w:pPr>
            <w:r>
              <w:t>完成系统上线总结</w:t>
            </w:r>
          </w:p>
        </w:tc>
        <w:tc>
          <w:tcPr>
            <w:tcW w:w="1419" w:type="dxa"/>
            <w:tcBorders>
              <w:top w:val="nil"/>
              <w:left w:val="nil"/>
              <w:bottom w:val="single" w:color="auto" w:sz="4" w:space="0"/>
              <w:right w:val="single" w:color="auto" w:sz="4" w:space="0"/>
            </w:tcBorders>
            <w:shd w:val="clear" w:color="auto" w:fill="FFFFFF"/>
          </w:tcPr>
          <w:p>
            <w:pPr>
              <w:pStyle w:val="145"/>
              <w:ind w:left="88"/>
            </w:pPr>
            <w:r>
              <w:t>T+240</w:t>
            </w:r>
          </w:p>
        </w:tc>
      </w:tr>
      <w:tr>
        <w:tblPrEx>
          <w:shd w:val="clear" w:color="auto" w:fill="FFFFFF"/>
          <w:tblCellMar>
            <w:top w:w="57" w:type="dxa"/>
            <w:left w:w="108" w:type="dxa"/>
            <w:bottom w:w="57" w:type="dxa"/>
            <w:right w:w="108" w:type="dxa"/>
          </w:tblCellMar>
        </w:tblPrEx>
        <w:trPr>
          <w:trHeight w:val="42" w:hRule="atLeast"/>
        </w:trPr>
        <w:tc>
          <w:tcPr>
            <w:tcW w:w="1696" w:type="dxa"/>
            <w:tcBorders>
              <w:top w:val="nil"/>
              <w:left w:val="single" w:color="auto" w:sz="4" w:space="0"/>
              <w:bottom w:val="single" w:color="auto" w:sz="4" w:space="0"/>
              <w:right w:val="single" w:color="auto" w:sz="4" w:space="0"/>
            </w:tcBorders>
            <w:shd w:val="clear" w:color="auto" w:fill="FFFFFF"/>
            <w:vAlign w:val="center"/>
          </w:tcPr>
          <w:p>
            <w:pPr>
              <w:pStyle w:val="145"/>
              <w:ind w:left="88"/>
            </w:pPr>
            <w:r>
              <w:t>系统</w:t>
            </w:r>
            <w:r>
              <w:rPr>
                <w:rFonts w:hint="eastAsia"/>
              </w:rPr>
              <w:t>试运行</w:t>
            </w:r>
          </w:p>
        </w:tc>
        <w:tc>
          <w:tcPr>
            <w:tcW w:w="5123" w:type="dxa"/>
            <w:tcBorders>
              <w:top w:val="nil"/>
              <w:left w:val="nil"/>
              <w:bottom w:val="single" w:color="auto" w:sz="4" w:space="0"/>
              <w:right w:val="single" w:color="auto" w:sz="4" w:space="0"/>
            </w:tcBorders>
            <w:shd w:val="clear" w:color="auto" w:fill="FFFFFF"/>
            <w:vAlign w:val="center"/>
          </w:tcPr>
          <w:p>
            <w:pPr>
              <w:pStyle w:val="145"/>
              <w:ind w:left="88"/>
            </w:pPr>
            <w:r>
              <w:rPr>
                <w:rFonts w:hint="eastAsia"/>
              </w:rPr>
              <w:t>系统试运行</w:t>
            </w:r>
            <w:r>
              <w:t>及功能优化</w:t>
            </w:r>
          </w:p>
        </w:tc>
        <w:tc>
          <w:tcPr>
            <w:tcW w:w="1419" w:type="dxa"/>
            <w:tcBorders>
              <w:top w:val="nil"/>
              <w:left w:val="nil"/>
              <w:bottom w:val="single" w:color="auto" w:sz="4" w:space="0"/>
              <w:right w:val="single" w:color="auto" w:sz="4" w:space="0"/>
            </w:tcBorders>
            <w:shd w:val="clear" w:color="auto" w:fill="FFFFFF"/>
          </w:tcPr>
          <w:p>
            <w:pPr>
              <w:pStyle w:val="145"/>
              <w:ind w:left="88"/>
            </w:pPr>
            <w:r>
              <w:t>T+255</w:t>
            </w:r>
          </w:p>
        </w:tc>
      </w:tr>
      <w:tr>
        <w:tblPrEx>
          <w:shd w:val="clear" w:color="auto" w:fill="FFFFFF"/>
          <w:tblCellMar>
            <w:top w:w="57" w:type="dxa"/>
            <w:left w:w="108" w:type="dxa"/>
            <w:bottom w:w="57" w:type="dxa"/>
            <w:right w:w="108" w:type="dxa"/>
          </w:tblCellMar>
        </w:tblPrEx>
        <w:trPr>
          <w:trHeight w:val="42" w:hRule="atLeast"/>
        </w:trPr>
        <w:tc>
          <w:tcPr>
            <w:tcW w:w="1696" w:type="dxa"/>
            <w:tcBorders>
              <w:top w:val="nil"/>
              <w:left w:val="single" w:color="auto" w:sz="4" w:space="0"/>
              <w:bottom w:val="single" w:color="auto" w:sz="4" w:space="0"/>
              <w:right w:val="single" w:color="auto" w:sz="4" w:space="0"/>
            </w:tcBorders>
            <w:shd w:val="clear" w:color="auto" w:fill="FFFFFF"/>
            <w:vAlign w:val="center"/>
          </w:tcPr>
          <w:p>
            <w:pPr>
              <w:pStyle w:val="145"/>
              <w:ind w:left="88"/>
            </w:pPr>
            <w:r>
              <w:rPr>
                <w:rFonts w:hint="eastAsia"/>
              </w:rPr>
              <w:t>项目验收</w:t>
            </w:r>
          </w:p>
        </w:tc>
        <w:tc>
          <w:tcPr>
            <w:tcW w:w="5123" w:type="dxa"/>
            <w:tcBorders>
              <w:top w:val="nil"/>
              <w:left w:val="nil"/>
              <w:bottom w:val="single" w:color="auto" w:sz="4" w:space="0"/>
              <w:right w:val="single" w:color="auto" w:sz="4" w:space="0"/>
            </w:tcBorders>
            <w:shd w:val="clear" w:color="auto" w:fill="FFFFFF"/>
            <w:vAlign w:val="center"/>
          </w:tcPr>
          <w:p>
            <w:pPr>
              <w:pStyle w:val="145"/>
              <w:ind w:left="88"/>
            </w:pPr>
            <w:r>
              <w:rPr>
                <w:rFonts w:hint="eastAsia"/>
              </w:rPr>
              <w:t>项目验收</w:t>
            </w:r>
          </w:p>
        </w:tc>
        <w:tc>
          <w:tcPr>
            <w:tcW w:w="1419" w:type="dxa"/>
            <w:tcBorders>
              <w:top w:val="nil"/>
              <w:left w:val="nil"/>
              <w:bottom w:val="single" w:color="auto" w:sz="4" w:space="0"/>
              <w:right w:val="single" w:color="auto" w:sz="4" w:space="0"/>
            </w:tcBorders>
            <w:shd w:val="clear" w:color="auto" w:fill="FFFFFF"/>
          </w:tcPr>
          <w:p>
            <w:pPr>
              <w:pStyle w:val="145"/>
              <w:ind w:left="88"/>
            </w:pPr>
            <w:r>
              <w:t>T+270</w:t>
            </w:r>
          </w:p>
        </w:tc>
      </w:tr>
    </w:tbl>
    <w:p>
      <w:pPr>
        <w:ind w:firstLine="560" w:firstLineChars="200"/>
        <w:rPr>
          <w:rFonts w:eastAsia="楷体_GB2312"/>
          <w:i/>
          <w:color w:val="7F7F7F"/>
          <w:sz w:val="28"/>
          <w:szCs w:val="28"/>
        </w:rPr>
      </w:pPr>
    </w:p>
    <w:p>
      <w:pPr>
        <w:pStyle w:val="190"/>
        <w:numPr>
          <w:ilvl w:val="2"/>
          <w:numId w:val="7"/>
        </w:numPr>
        <w:spacing w:before="84" w:after="84"/>
        <w:outlineLvl w:val="2"/>
        <w:rPr>
          <w:sz w:val="30"/>
          <w:szCs w:val="30"/>
        </w:rPr>
      </w:pPr>
      <w:r>
        <w:rPr>
          <w:sz w:val="30"/>
          <w:szCs w:val="30"/>
        </w:rPr>
        <w:t>组织实施要求</w:t>
      </w:r>
    </w:p>
    <w:p>
      <w:pPr>
        <w:pStyle w:val="260"/>
        <w:spacing w:line="380" w:lineRule="exact"/>
        <w:ind w:firstLine="400"/>
        <w:rPr>
          <w:rFonts w:ascii="微软雅黑" w:hAnsi="微软雅黑" w:eastAsia="微软雅黑" w:cs="微软雅黑"/>
          <w:iCs w:val="0"/>
          <w:color w:val="000000"/>
          <w:kern w:val="0"/>
          <w:sz w:val="20"/>
          <w:szCs w:val="20"/>
          <w:lang w:val="en-US"/>
        </w:rPr>
      </w:pPr>
      <w:r>
        <w:rPr>
          <w:rFonts w:ascii="微软雅黑" w:hAnsi="微软雅黑" w:eastAsia="微软雅黑" w:cs="微软雅黑"/>
          <w:iCs w:val="0"/>
          <w:color w:val="000000"/>
          <w:kern w:val="0"/>
          <w:sz w:val="20"/>
          <w:szCs w:val="20"/>
          <w:lang w:val="en-US"/>
        </w:rPr>
        <w:t>为使项目按质、按量、按时及有序实施，投标人应建立完善、稳定的项目团队、内部组织管理方式及管理机构、协调机制、技术基础，支撑保障要求及其他相关要求。在机制保障方面，成立组织实施小组和项目专家组的双轨制的组织模式。在项目日常管理和条件保障方面，从行政组织、后勤保障和支撑条件各方面创造良好的服务环境，确保项目的顺利实施。</w:t>
      </w:r>
    </w:p>
    <w:p>
      <w:pPr>
        <w:pStyle w:val="190"/>
        <w:numPr>
          <w:ilvl w:val="2"/>
          <w:numId w:val="7"/>
        </w:numPr>
        <w:spacing w:before="84" w:after="84"/>
        <w:outlineLvl w:val="2"/>
        <w:rPr>
          <w:sz w:val="30"/>
          <w:szCs w:val="30"/>
        </w:rPr>
      </w:pPr>
      <w:r>
        <w:rPr>
          <w:rFonts w:hint="eastAsia"/>
          <w:sz w:val="30"/>
          <w:szCs w:val="30"/>
        </w:rPr>
        <w:t>文档管理要求</w:t>
      </w:r>
    </w:p>
    <w:p>
      <w:pPr>
        <w:pStyle w:val="260"/>
        <w:spacing w:line="380" w:lineRule="exact"/>
        <w:ind w:firstLine="400"/>
        <w:rPr>
          <w:rFonts w:ascii="微软雅黑" w:hAnsi="微软雅黑" w:eastAsia="微软雅黑" w:cs="微软雅黑"/>
          <w:iCs w:val="0"/>
          <w:color w:val="000000"/>
          <w:kern w:val="0"/>
          <w:sz w:val="20"/>
          <w:szCs w:val="20"/>
          <w:lang w:val="en-US"/>
        </w:rPr>
      </w:pPr>
      <w:r>
        <w:rPr>
          <w:rFonts w:ascii="微软雅黑" w:hAnsi="微软雅黑" w:eastAsia="微软雅黑" w:cs="微软雅黑"/>
          <w:iCs w:val="0"/>
          <w:color w:val="000000"/>
          <w:kern w:val="0"/>
          <w:sz w:val="20"/>
          <w:szCs w:val="20"/>
          <w:lang w:val="en-US"/>
        </w:rPr>
        <w:t>投标人应在项目完成时，将本项目所有文档、资料汇集成册交付给采购人，所有文件要求用中文书写或有完整的中文注释。验收后，投标人按国家、省以及采购人档案管理要求，向采购人提供装订成册的纸质文档至少  1  套，电子文档  1 套。</w:t>
      </w:r>
    </w:p>
    <w:p>
      <w:pPr>
        <w:pStyle w:val="190"/>
        <w:numPr>
          <w:ilvl w:val="2"/>
          <w:numId w:val="7"/>
        </w:numPr>
        <w:spacing w:before="84" w:after="84"/>
        <w:outlineLvl w:val="2"/>
        <w:rPr>
          <w:sz w:val="30"/>
          <w:szCs w:val="30"/>
        </w:rPr>
      </w:pPr>
      <w:r>
        <w:rPr>
          <w:sz w:val="30"/>
          <w:szCs w:val="30"/>
        </w:rPr>
        <w:t>质量保证要求</w:t>
      </w:r>
    </w:p>
    <w:p>
      <w:pPr>
        <w:pStyle w:val="258"/>
        <w:spacing w:line="380" w:lineRule="exact"/>
        <w:ind w:firstLine="400"/>
        <w:rPr>
          <w:rFonts w:ascii="微软雅黑" w:hAnsi="微软雅黑" w:eastAsia="微软雅黑" w:cs="微软雅黑"/>
          <w:iCs w:val="0"/>
          <w:color w:val="000000"/>
          <w:kern w:val="0"/>
          <w:sz w:val="20"/>
          <w:szCs w:val="20"/>
        </w:rPr>
      </w:pPr>
      <w:r>
        <w:rPr>
          <w:rFonts w:hint="eastAsia" w:ascii="微软雅黑" w:hAnsi="微软雅黑" w:eastAsia="微软雅黑" w:cs="微软雅黑"/>
          <w:iCs w:val="0"/>
          <w:color w:val="000000"/>
          <w:kern w:val="0"/>
          <w:sz w:val="20"/>
          <w:szCs w:val="20"/>
        </w:rPr>
        <w:t>为保证本项目能按时高质的顺利完成，规避项目风险或将风险降至最低程度，投标人应建立项目质量管理体系，包括但不限于质量目标、质量指标、岗位责任、问题处理计划、质量评价、整改完善等内容，并建立奖惩制度。</w:t>
      </w:r>
    </w:p>
    <w:p>
      <w:pPr>
        <w:pStyle w:val="190"/>
        <w:numPr>
          <w:ilvl w:val="1"/>
          <w:numId w:val="7"/>
        </w:numPr>
        <w:spacing w:before="84" w:after="84"/>
        <w:ind w:left="0" w:firstLine="0"/>
      </w:pPr>
      <w:r>
        <w:t>验收</w:t>
      </w:r>
      <w:r>
        <w:rPr>
          <w:rFonts w:hint="eastAsia"/>
        </w:rPr>
        <w:t>要求</w:t>
      </w:r>
    </w:p>
    <w:p>
      <w:pPr>
        <w:pStyle w:val="258"/>
        <w:spacing w:line="380" w:lineRule="exact"/>
        <w:ind w:firstLine="400"/>
        <w:jc w:val="both"/>
        <w:rPr>
          <w:rFonts w:ascii="微软雅黑" w:hAnsi="微软雅黑" w:eastAsia="微软雅黑" w:cs="微软雅黑"/>
          <w:iCs w:val="0"/>
          <w:color w:val="000000"/>
          <w:kern w:val="0"/>
          <w:sz w:val="20"/>
          <w:szCs w:val="20"/>
        </w:rPr>
      </w:pPr>
      <w:r>
        <w:rPr>
          <w:rFonts w:hint="eastAsia" w:ascii="微软雅黑" w:hAnsi="微软雅黑" w:eastAsia="微软雅黑" w:cs="微软雅黑"/>
          <w:iCs w:val="0"/>
          <w:color w:val="000000"/>
          <w:kern w:val="0"/>
          <w:sz w:val="20"/>
          <w:szCs w:val="20"/>
        </w:rPr>
        <w:t>产品安装、调试完毕，软件试用后，由中标方提出验收申请，采购人应于中标方提出验收申请后组织验收。采购人验收合格后应当出具验收报告。具体验收标准如下：</w:t>
      </w:r>
    </w:p>
    <w:p>
      <w:pPr>
        <w:pStyle w:val="258"/>
        <w:spacing w:line="380" w:lineRule="exact"/>
        <w:ind w:firstLine="400"/>
        <w:jc w:val="both"/>
        <w:rPr>
          <w:rFonts w:ascii="微软雅黑" w:hAnsi="微软雅黑" w:eastAsia="微软雅黑" w:cs="微软雅黑"/>
          <w:iCs w:val="0"/>
          <w:color w:val="000000"/>
          <w:kern w:val="0"/>
          <w:sz w:val="20"/>
          <w:szCs w:val="20"/>
        </w:rPr>
      </w:pPr>
      <w:r>
        <w:rPr>
          <w:rFonts w:ascii="微软雅黑" w:hAnsi="微软雅黑" w:eastAsia="微软雅黑" w:cs="微软雅黑"/>
          <w:iCs w:val="0"/>
          <w:color w:val="000000"/>
          <w:kern w:val="0"/>
          <w:sz w:val="20"/>
          <w:szCs w:val="20"/>
        </w:rPr>
        <w:t>1</w:t>
      </w:r>
      <w:r>
        <w:rPr>
          <w:rFonts w:hint="eastAsia" w:ascii="微软雅黑" w:hAnsi="微软雅黑" w:eastAsia="微软雅黑" w:cs="微软雅黑"/>
          <w:iCs w:val="0"/>
          <w:color w:val="000000"/>
          <w:kern w:val="0"/>
          <w:sz w:val="20"/>
          <w:szCs w:val="20"/>
        </w:rPr>
        <w:t>．在规定时间内完成项目交付。</w:t>
      </w:r>
    </w:p>
    <w:p>
      <w:pPr>
        <w:pStyle w:val="258"/>
        <w:spacing w:line="380" w:lineRule="exact"/>
        <w:ind w:firstLine="400"/>
        <w:jc w:val="both"/>
        <w:rPr>
          <w:rFonts w:ascii="微软雅黑" w:hAnsi="微软雅黑" w:eastAsia="微软雅黑" w:cs="微软雅黑"/>
          <w:iCs w:val="0"/>
          <w:color w:val="000000"/>
          <w:kern w:val="0"/>
          <w:sz w:val="20"/>
          <w:szCs w:val="20"/>
        </w:rPr>
      </w:pPr>
      <w:r>
        <w:rPr>
          <w:rFonts w:ascii="微软雅黑" w:hAnsi="微软雅黑" w:eastAsia="微软雅黑" w:cs="微软雅黑"/>
          <w:iCs w:val="0"/>
          <w:color w:val="000000"/>
          <w:kern w:val="0"/>
          <w:sz w:val="20"/>
          <w:szCs w:val="20"/>
        </w:rPr>
        <w:t>2</w:t>
      </w:r>
      <w:r>
        <w:rPr>
          <w:rFonts w:hint="eastAsia" w:ascii="微软雅黑" w:hAnsi="微软雅黑" w:eastAsia="微软雅黑" w:cs="微软雅黑"/>
          <w:iCs w:val="0"/>
          <w:color w:val="000000"/>
          <w:kern w:val="0"/>
          <w:sz w:val="20"/>
          <w:szCs w:val="20"/>
        </w:rPr>
        <w:t>．系统功能满足本项目立项方案的主要建设内容，并出具由业主方签字确认同意验收的《系统试运行报告》。</w:t>
      </w:r>
    </w:p>
    <w:p>
      <w:pPr>
        <w:pStyle w:val="258"/>
        <w:spacing w:line="380" w:lineRule="exact"/>
        <w:ind w:firstLine="400"/>
        <w:jc w:val="both"/>
        <w:rPr>
          <w:rFonts w:ascii="微软雅黑" w:hAnsi="微软雅黑" w:eastAsia="微软雅黑" w:cs="微软雅黑"/>
          <w:iCs w:val="0"/>
          <w:color w:val="000000"/>
          <w:kern w:val="0"/>
          <w:sz w:val="20"/>
          <w:szCs w:val="20"/>
        </w:rPr>
      </w:pPr>
      <w:r>
        <w:rPr>
          <w:rFonts w:ascii="微软雅黑" w:hAnsi="微软雅黑" w:eastAsia="微软雅黑" w:cs="微软雅黑"/>
          <w:iCs w:val="0"/>
          <w:color w:val="000000"/>
          <w:kern w:val="0"/>
          <w:sz w:val="20"/>
          <w:szCs w:val="20"/>
        </w:rPr>
        <w:t>3</w:t>
      </w:r>
      <w:r>
        <w:rPr>
          <w:rFonts w:hint="eastAsia" w:ascii="微软雅黑" w:hAnsi="微软雅黑" w:eastAsia="微软雅黑" w:cs="微软雅黑"/>
          <w:iCs w:val="0"/>
          <w:color w:val="000000"/>
          <w:kern w:val="0"/>
          <w:sz w:val="20"/>
          <w:szCs w:val="20"/>
        </w:rPr>
        <w:t>．根据符合性审查要求、业主要求，中标方需配合信息安全等级保护测评等工作开展。</w:t>
      </w:r>
    </w:p>
    <w:p>
      <w:pPr>
        <w:pStyle w:val="190"/>
        <w:numPr>
          <w:ilvl w:val="1"/>
          <w:numId w:val="7"/>
        </w:numPr>
        <w:spacing w:before="84" w:after="84"/>
      </w:pPr>
      <w:r>
        <w:rPr>
          <w:rFonts w:hint="eastAsia"/>
        </w:rPr>
        <w:t>基础设施要求</w:t>
      </w:r>
    </w:p>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数字消保中心项目主要部署于广东省“数字政府”政务云平台，系统主要使用的是“政务外网”互联网侧出口。</w:t>
      </w:r>
    </w:p>
    <w:p>
      <w:pPr>
        <w:pStyle w:val="190"/>
        <w:numPr>
          <w:ilvl w:val="1"/>
          <w:numId w:val="7"/>
        </w:numPr>
        <w:spacing w:before="84" w:after="84"/>
      </w:pPr>
      <w:r>
        <w:rPr>
          <w:rFonts w:hint="eastAsia"/>
        </w:rPr>
        <w:t>项目集成要求</w:t>
      </w:r>
    </w:p>
    <w:p>
      <w:pPr>
        <w:pStyle w:val="190"/>
        <w:numPr>
          <w:ilvl w:val="2"/>
          <w:numId w:val="7"/>
        </w:numPr>
        <w:spacing w:before="84" w:after="84"/>
        <w:outlineLvl w:val="2"/>
        <w:rPr>
          <w:sz w:val="30"/>
          <w:szCs w:val="30"/>
        </w:rPr>
      </w:pPr>
      <w:r>
        <w:rPr>
          <w:rFonts w:hint="eastAsia"/>
          <w:sz w:val="30"/>
          <w:szCs w:val="30"/>
        </w:rPr>
        <w:t>对接公共身份认证体系</w:t>
      </w:r>
    </w:p>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项目需对接已建成的公共身份认证体系，为公众和工作人员提供统一的账号密码管理体系。</w:t>
      </w:r>
    </w:p>
    <w:p>
      <w:pPr>
        <w:pStyle w:val="190"/>
        <w:numPr>
          <w:ilvl w:val="2"/>
          <w:numId w:val="7"/>
        </w:numPr>
        <w:spacing w:before="84" w:after="84"/>
        <w:outlineLvl w:val="2"/>
        <w:rPr>
          <w:sz w:val="30"/>
          <w:szCs w:val="30"/>
        </w:rPr>
      </w:pPr>
      <w:r>
        <w:rPr>
          <w:rFonts w:hint="eastAsia"/>
          <w:sz w:val="30"/>
          <w:szCs w:val="30"/>
        </w:rPr>
        <w:t>对接统一政务服务平台</w:t>
      </w:r>
    </w:p>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项目需上线统一政务服务平台，为公众侧提供便捷入口。</w:t>
      </w:r>
    </w:p>
    <w:p>
      <w:pPr>
        <w:pStyle w:val="190"/>
        <w:numPr>
          <w:ilvl w:val="2"/>
          <w:numId w:val="7"/>
        </w:numPr>
        <w:spacing w:before="84" w:after="84"/>
        <w:outlineLvl w:val="2"/>
        <w:rPr>
          <w:sz w:val="30"/>
          <w:szCs w:val="30"/>
        </w:rPr>
      </w:pPr>
      <w:r>
        <w:rPr>
          <w:rFonts w:hint="eastAsia"/>
          <w:sz w:val="30"/>
          <w:szCs w:val="30"/>
        </w:rPr>
        <w:t>对接中国银行保险信息技术管理有限公司系统</w:t>
      </w:r>
    </w:p>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 xml:space="preserve">对接中国银行保险信息技术管理有限公司系统，实现个人保单查询功能。 </w:t>
      </w:r>
    </w:p>
    <w:p>
      <w:pPr>
        <w:pStyle w:val="190"/>
        <w:numPr>
          <w:ilvl w:val="2"/>
          <w:numId w:val="7"/>
        </w:numPr>
        <w:spacing w:before="84" w:after="84"/>
        <w:outlineLvl w:val="2"/>
        <w:rPr>
          <w:sz w:val="30"/>
          <w:szCs w:val="30"/>
        </w:rPr>
      </w:pPr>
      <w:r>
        <w:rPr>
          <w:rFonts w:hint="eastAsia"/>
          <w:sz w:val="30"/>
          <w:szCs w:val="30"/>
        </w:rPr>
        <w:t>对接视频工具</w:t>
      </w:r>
    </w:p>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对接第三方视频工具，实现线上视频调解功能。</w:t>
      </w:r>
    </w:p>
    <w:p>
      <w:pPr>
        <w:pStyle w:val="190"/>
        <w:numPr>
          <w:ilvl w:val="2"/>
          <w:numId w:val="7"/>
        </w:numPr>
        <w:spacing w:before="84" w:after="84"/>
        <w:outlineLvl w:val="2"/>
        <w:rPr>
          <w:sz w:val="30"/>
          <w:szCs w:val="30"/>
        </w:rPr>
      </w:pPr>
      <w:r>
        <w:rPr>
          <w:rFonts w:hint="eastAsia"/>
          <w:sz w:val="30"/>
          <w:szCs w:val="30"/>
        </w:rPr>
        <w:t>对接在线文档</w:t>
      </w:r>
    </w:p>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对接第三方在线文档工具，实现线上多方协同修改文档。</w:t>
      </w:r>
    </w:p>
    <w:p>
      <w:pPr>
        <w:pStyle w:val="190"/>
        <w:numPr>
          <w:ilvl w:val="2"/>
          <w:numId w:val="7"/>
        </w:numPr>
        <w:spacing w:before="84" w:after="84"/>
        <w:outlineLvl w:val="2"/>
        <w:rPr>
          <w:sz w:val="30"/>
          <w:szCs w:val="30"/>
        </w:rPr>
      </w:pPr>
      <w:r>
        <w:rPr>
          <w:rFonts w:hint="eastAsia"/>
          <w:sz w:val="30"/>
          <w:szCs w:val="30"/>
        </w:rPr>
        <w:t>对接电子印章服务平台</w:t>
      </w:r>
    </w:p>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对接电子印章服务平台，实现电子签章功能。</w:t>
      </w:r>
    </w:p>
    <w:p>
      <w:pPr>
        <w:pStyle w:val="190"/>
        <w:numPr>
          <w:ilvl w:val="2"/>
          <w:numId w:val="7"/>
        </w:numPr>
        <w:spacing w:before="84" w:after="84"/>
        <w:outlineLvl w:val="2"/>
        <w:rPr>
          <w:sz w:val="30"/>
          <w:szCs w:val="30"/>
        </w:rPr>
      </w:pPr>
      <w:r>
        <w:rPr>
          <w:rFonts w:hint="eastAsia"/>
          <w:sz w:val="30"/>
          <w:szCs w:val="30"/>
        </w:rPr>
        <w:t>对接电子签名平台</w:t>
      </w:r>
    </w:p>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对接电子签名平台，提供自然人、法人的电子签名能力，实现随时随地进行线上文件签署。</w:t>
      </w:r>
    </w:p>
    <w:p>
      <w:pPr>
        <w:pStyle w:val="190"/>
        <w:numPr>
          <w:ilvl w:val="1"/>
          <w:numId w:val="7"/>
        </w:numPr>
        <w:spacing w:before="84" w:after="84"/>
      </w:pPr>
      <w:r>
        <w:rPr>
          <w:rFonts w:hint="eastAsia"/>
        </w:rPr>
        <w:t>安全要求</w:t>
      </w:r>
    </w:p>
    <w:p>
      <w:pPr>
        <w:pStyle w:val="190"/>
        <w:numPr>
          <w:ilvl w:val="2"/>
          <w:numId w:val="7"/>
        </w:numPr>
        <w:spacing w:before="84" w:after="84"/>
        <w:outlineLvl w:val="2"/>
        <w:rPr>
          <w:sz w:val="30"/>
          <w:szCs w:val="30"/>
        </w:rPr>
      </w:pPr>
      <w:r>
        <w:rPr>
          <w:rFonts w:hint="eastAsia"/>
          <w:sz w:val="30"/>
          <w:szCs w:val="30"/>
        </w:rPr>
        <w:t>业务保障安全要求</w:t>
      </w:r>
    </w:p>
    <w:p>
      <w:pPr>
        <w:spacing w:line="380" w:lineRule="exact"/>
        <w:ind w:firstLine="400" w:firstLineChars="200"/>
        <w:jc w:val="both"/>
        <w:rPr>
          <w:rFonts w:ascii="微软雅黑" w:hAnsi="微软雅黑" w:cs="微软雅黑"/>
          <w:color w:val="000000"/>
          <w:sz w:val="20"/>
          <w:szCs w:val="20"/>
        </w:rPr>
      </w:pPr>
      <w:r>
        <w:rPr>
          <w:rFonts w:hint="eastAsia" w:ascii="微软雅黑" w:hAnsi="微软雅黑" w:cs="微软雅黑"/>
          <w:color w:val="000000"/>
          <w:sz w:val="20"/>
          <w:szCs w:val="20"/>
        </w:rPr>
        <w:t>信息安全是数字消保中心项目得以顺利实施的前提。在系统日常运维工作中，通过7×24小时不间断的系统性维护服务，确保平台具有良好的安全性和可靠性，同时结合备份恢复、入侵监测、防火墙等工作，共同构建起多层次，全方位的安全保障体系。另外，通过日常维护使系统具备一定的容错性，避免由于误操作或其他原因导致的系统错误。本项目的安全体系应实现如下具体安全目标：</w:t>
      </w:r>
    </w:p>
    <w:p>
      <w:pPr>
        <w:pStyle w:val="15"/>
        <w:keepNext/>
        <w:spacing w:before="84" w:after="84"/>
        <w:rPr>
          <w:rFonts w:ascii="宋体" w:hAnsi="宋体"/>
          <w:b/>
        </w:rPr>
      </w:pPr>
      <w:r>
        <w:rPr>
          <w:rFonts w:hint="eastAsia" w:ascii="宋体" w:hAnsi="宋体"/>
          <w:b/>
        </w:rPr>
        <w:t>表3 安全体系具体安全目标</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1845"/>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60" w:hRule="atLeast"/>
          <w:tblHeader/>
        </w:trPr>
        <w:tc>
          <w:tcPr>
            <w:tcW w:w="926"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szCs w:val="21"/>
              </w:rPr>
            </w:pPr>
            <w:r>
              <w:rPr>
                <w:rFonts w:hint="eastAsia"/>
                <w:b/>
                <w:szCs w:val="21"/>
              </w:rPr>
              <w:t>安全目标</w:t>
            </w:r>
          </w:p>
        </w:tc>
        <w:tc>
          <w:tcPr>
            <w:tcW w:w="4074" w:type="pct"/>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b/>
                <w:szCs w:val="21"/>
              </w:rPr>
            </w:pPr>
            <w:r>
              <w:rPr>
                <w:rFonts w:hint="eastAsia"/>
                <w:b/>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Pr>
        <w:tc>
          <w:tcPr>
            <w:tcW w:w="926"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数据安全性</w:t>
            </w:r>
          </w:p>
        </w:tc>
        <w:tc>
          <w:tcPr>
            <w:tcW w:w="4074"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本项目应不包含涉密数据，对于敏感数据基于软件应用设计加强数据管控，数据的共享交换存在的安全风险需要结合省气象局的行政管理手段予以解决。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Pr>
        <w:tc>
          <w:tcPr>
            <w:tcW w:w="926"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身份真实性</w:t>
            </w:r>
          </w:p>
        </w:tc>
        <w:tc>
          <w:tcPr>
            <w:tcW w:w="4074"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能对通讯实体身份的真实性进行鉴别。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Pr>
        <w:tc>
          <w:tcPr>
            <w:tcW w:w="926"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信息机密性</w:t>
            </w:r>
          </w:p>
        </w:tc>
        <w:tc>
          <w:tcPr>
            <w:tcW w:w="4074"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保证机密信息不会泄露给非授权的人或实体。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Pr>
        <w:tc>
          <w:tcPr>
            <w:tcW w:w="926"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信息完整性</w:t>
            </w:r>
          </w:p>
        </w:tc>
        <w:tc>
          <w:tcPr>
            <w:tcW w:w="4074"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保证数据的一致性，能够防止数据被非授权用户或实体建立、修改和破坏。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Pr>
        <w:tc>
          <w:tcPr>
            <w:tcW w:w="926"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服务可用性</w:t>
            </w:r>
          </w:p>
        </w:tc>
        <w:tc>
          <w:tcPr>
            <w:tcW w:w="4074"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保证合法用户对信息和资源的使用不会被不正当地拒绝。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Pr>
        <w:tc>
          <w:tcPr>
            <w:tcW w:w="926"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不可否认性</w:t>
            </w:r>
          </w:p>
        </w:tc>
        <w:tc>
          <w:tcPr>
            <w:tcW w:w="4074"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建立有效的责任机制，防止实体否认其行为。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Pr>
        <w:tc>
          <w:tcPr>
            <w:tcW w:w="926"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系统可控性</w:t>
            </w:r>
          </w:p>
        </w:tc>
        <w:tc>
          <w:tcPr>
            <w:tcW w:w="4074"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能够控制使用资源的人或实体的使用方式。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Pr>
        <w:tc>
          <w:tcPr>
            <w:tcW w:w="926"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系统易用性</w:t>
            </w:r>
          </w:p>
        </w:tc>
        <w:tc>
          <w:tcPr>
            <w:tcW w:w="4074"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在满足安全要求的条件下，系统应当操作简单、维护方便。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Pr>
        <w:tc>
          <w:tcPr>
            <w:tcW w:w="926"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可审查性</w:t>
            </w:r>
          </w:p>
        </w:tc>
        <w:tc>
          <w:tcPr>
            <w:tcW w:w="4074" w:type="pct"/>
            <w:tcBorders>
              <w:top w:val="single" w:color="auto" w:sz="4" w:space="0"/>
              <w:left w:val="single" w:color="auto" w:sz="4" w:space="0"/>
              <w:bottom w:val="single" w:color="auto" w:sz="4" w:space="0"/>
              <w:right w:val="single" w:color="auto" w:sz="4" w:space="0"/>
            </w:tcBorders>
            <w:shd w:val="clear" w:color="auto" w:fill="FFFFFF"/>
            <w:vAlign w:val="center"/>
          </w:tcPr>
          <w:p>
            <w:pPr>
              <w:ind w:firstLine="400" w:firstLineChars="200"/>
              <w:rPr>
                <w:rFonts w:ascii="微软雅黑" w:hAnsi="微软雅黑" w:cs="微软雅黑"/>
                <w:color w:val="000000"/>
                <w:sz w:val="20"/>
                <w:szCs w:val="20"/>
              </w:rPr>
            </w:pPr>
            <w:r>
              <w:rPr>
                <w:rFonts w:hint="eastAsia" w:ascii="微软雅黑" w:hAnsi="微软雅黑" w:cs="微软雅黑"/>
                <w:color w:val="000000"/>
                <w:sz w:val="20"/>
                <w:szCs w:val="20"/>
              </w:rPr>
              <w:t>对出现的网络安全问题提供调查的依据和手段。</w:t>
            </w:r>
          </w:p>
        </w:tc>
      </w:tr>
    </w:tbl>
    <w:p>
      <w:pPr>
        <w:pStyle w:val="190"/>
        <w:numPr>
          <w:ilvl w:val="2"/>
          <w:numId w:val="7"/>
        </w:numPr>
        <w:spacing w:before="84" w:after="84"/>
        <w:outlineLvl w:val="2"/>
        <w:rPr>
          <w:sz w:val="30"/>
          <w:szCs w:val="30"/>
        </w:rPr>
      </w:pPr>
      <w:r>
        <w:rPr>
          <w:rFonts w:hint="eastAsia"/>
          <w:sz w:val="30"/>
          <w:szCs w:val="30"/>
        </w:rPr>
        <w:t>信息安全合规性要求</w:t>
      </w:r>
    </w:p>
    <w:p>
      <w:pPr>
        <w:spacing w:line="380" w:lineRule="exact"/>
        <w:ind w:firstLine="482"/>
        <w:jc w:val="both"/>
        <w:rPr>
          <w:color w:val="000000"/>
          <w:sz w:val="20"/>
          <w:szCs w:val="20"/>
        </w:rPr>
      </w:pPr>
      <w:r>
        <w:rPr>
          <w:rFonts w:hint="eastAsia"/>
          <w:color w:val="000000"/>
          <w:sz w:val="20"/>
          <w:szCs w:val="20"/>
        </w:rPr>
        <w:t>依据《信息安全等级保护管理办法》，本项目建设的系统应用定为</w:t>
      </w:r>
      <w:r>
        <w:rPr>
          <w:rFonts w:hint="eastAsia"/>
          <w:b/>
          <w:color w:val="000000"/>
          <w:sz w:val="20"/>
          <w:szCs w:val="20"/>
        </w:rPr>
        <w:t>信息系统安全等级保护（二级）</w:t>
      </w:r>
      <w:r>
        <w:rPr>
          <w:rFonts w:hint="eastAsia"/>
          <w:color w:val="000000"/>
          <w:sz w:val="20"/>
          <w:szCs w:val="20"/>
        </w:rPr>
        <w:t>，信息系统一旦受到破坏会对相关公民、法人和其他组织的合法权益造成严重损害，不会对社会秩序和公共利益造成危害，不危害国家安全</w:t>
      </w:r>
      <w:r>
        <w:rPr>
          <w:rFonts w:hint="eastAsia"/>
          <w:sz w:val="20"/>
          <w:szCs w:val="20"/>
        </w:rPr>
        <w:t>，正和消保中心</w:t>
      </w:r>
      <w:r>
        <w:rPr>
          <w:rFonts w:hint="eastAsia"/>
          <w:color w:val="000000"/>
          <w:sz w:val="20"/>
          <w:szCs w:val="20"/>
        </w:rPr>
        <w:t>将依据国家有关管理规范和技术标准进行保护。</w:t>
      </w:r>
    </w:p>
    <w:p>
      <w:pPr>
        <w:spacing w:before="120" w:beforeLines="50" w:after="120" w:afterLines="50"/>
        <w:ind w:firstLine="440" w:firstLineChars="200"/>
        <w:contextualSpacing/>
        <w:rPr>
          <w:b/>
          <w:color w:val="000000"/>
          <w:lang w:val="en-GB"/>
        </w:rPr>
      </w:pPr>
      <w:r>
        <w:rPr>
          <w:b/>
          <w:color w:val="000000"/>
          <w:lang w:val="en-GB"/>
        </w:rPr>
        <w:t xml:space="preserve">1. </w:t>
      </w:r>
      <w:r>
        <w:rPr>
          <w:rFonts w:hint="eastAsia"/>
          <w:b/>
          <w:color w:val="000000"/>
          <w:lang w:val="en-GB"/>
        </w:rPr>
        <w:t>系统定级和关键信息基础设施评估要求</w:t>
      </w:r>
    </w:p>
    <w:p>
      <w:pPr>
        <w:spacing w:line="380" w:lineRule="exact"/>
        <w:ind w:firstLine="482"/>
        <w:rPr>
          <w:color w:val="000000"/>
          <w:sz w:val="20"/>
          <w:szCs w:val="20"/>
          <w:lang w:val="en-GB"/>
        </w:rPr>
      </w:pPr>
      <w:r>
        <w:rPr>
          <w:rFonts w:hint="eastAsia"/>
          <w:color w:val="000000"/>
          <w:sz w:val="20"/>
          <w:szCs w:val="20"/>
          <w:lang w:val="en-GB"/>
        </w:rPr>
        <w:t>信息系统应在设计之初，依据信息系统安全等级保护定级指南，确定定级对象，分别确定定级对象的系统服务和业务信息的安全保护等级，进而确定定级对象的安全等级。</w:t>
      </w:r>
    </w:p>
    <w:p>
      <w:pPr>
        <w:spacing w:before="120" w:beforeLines="50" w:after="120" w:afterLines="50"/>
        <w:ind w:firstLine="440" w:firstLineChars="200"/>
        <w:contextualSpacing/>
        <w:rPr>
          <w:b/>
          <w:color w:val="000000"/>
          <w:lang w:val="en-GB"/>
        </w:rPr>
      </w:pPr>
      <w:r>
        <w:rPr>
          <w:b/>
          <w:color w:val="000000"/>
          <w:lang w:val="en-GB"/>
        </w:rPr>
        <w:t xml:space="preserve">2. </w:t>
      </w:r>
      <w:r>
        <w:rPr>
          <w:rFonts w:hint="eastAsia"/>
          <w:b/>
          <w:color w:val="000000"/>
          <w:lang w:val="en-GB"/>
        </w:rPr>
        <w:t>信息系统安全功能设计要求</w:t>
      </w:r>
    </w:p>
    <w:p>
      <w:pPr>
        <w:spacing w:line="380" w:lineRule="exact"/>
        <w:ind w:firstLine="482"/>
        <w:rPr>
          <w:color w:val="000000"/>
          <w:sz w:val="20"/>
          <w:szCs w:val="20"/>
          <w:lang w:val="en-GB"/>
        </w:rPr>
      </w:pPr>
      <w:r>
        <w:rPr>
          <w:rFonts w:hint="eastAsia"/>
          <w:color w:val="000000"/>
          <w:sz w:val="20"/>
          <w:szCs w:val="20"/>
          <w:lang w:val="en-GB"/>
        </w:rPr>
        <w:t>信息系统在进行功能设计时应包括身份认证、权限管理、安全审计、交互安全、数据分类、数据传输和存储安全等功能，为应用系统提供安全服务。</w:t>
      </w:r>
    </w:p>
    <w:p>
      <w:pPr>
        <w:spacing w:line="380" w:lineRule="exact"/>
        <w:ind w:firstLine="482"/>
        <w:rPr>
          <w:color w:val="000000"/>
          <w:sz w:val="20"/>
          <w:szCs w:val="20"/>
          <w:lang w:val="en-GB"/>
        </w:rPr>
      </w:pPr>
      <w:r>
        <w:rPr>
          <w:rFonts w:hint="eastAsia"/>
          <w:color w:val="000000"/>
          <w:sz w:val="20"/>
          <w:szCs w:val="20"/>
          <w:lang w:val="en-GB"/>
        </w:rPr>
        <w:t>权限管理功能：对系统用户进行权限管理，为相关职能部门以及各级机构提供权限内服务；</w:t>
      </w:r>
    </w:p>
    <w:p>
      <w:pPr>
        <w:spacing w:line="380" w:lineRule="exact"/>
        <w:ind w:firstLine="482"/>
        <w:rPr>
          <w:color w:val="000000"/>
          <w:sz w:val="20"/>
          <w:szCs w:val="20"/>
          <w:lang w:val="en-GB"/>
        </w:rPr>
      </w:pPr>
      <w:r>
        <w:rPr>
          <w:rFonts w:hint="eastAsia"/>
          <w:color w:val="000000"/>
          <w:sz w:val="20"/>
          <w:szCs w:val="20"/>
          <w:lang w:val="en-GB"/>
        </w:rPr>
        <w:t>安全审计功能：记录用户操作业务系统与安全相关的行为和操作数据，形成审计记录。并通过实现对审计记录的分析，实现快速准确定位业务系统的安全状态；</w:t>
      </w:r>
    </w:p>
    <w:p>
      <w:pPr>
        <w:spacing w:line="380" w:lineRule="exact"/>
        <w:ind w:firstLine="482"/>
        <w:jc w:val="both"/>
        <w:rPr>
          <w:color w:val="000000"/>
          <w:sz w:val="20"/>
          <w:szCs w:val="20"/>
          <w:lang w:val="en-GB"/>
        </w:rPr>
      </w:pPr>
      <w:r>
        <w:rPr>
          <w:rFonts w:hint="eastAsia"/>
          <w:color w:val="000000"/>
          <w:sz w:val="20"/>
          <w:szCs w:val="20"/>
          <w:lang w:val="en-GB"/>
        </w:rPr>
        <w:t>交互安全功能：应用系统应对人机交互及系统间调用接口实现安全保护等；</w:t>
      </w:r>
    </w:p>
    <w:p>
      <w:pPr>
        <w:spacing w:line="380" w:lineRule="exact"/>
        <w:ind w:firstLine="482"/>
        <w:jc w:val="both"/>
        <w:rPr>
          <w:color w:val="000000"/>
          <w:sz w:val="20"/>
          <w:szCs w:val="20"/>
          <w:lang w:val="en-GB"/>
        </w:rPr>
      </w:pPr>
      <w:r>
        <w:rPr>
          <w:rFonts w:hint="eastAsia"/>
          <w:color w:val="000000"/>
          <w:sz w:val="20"/>
          <w:szCs w:val="20"/>
          <w:lang w:val="en-GB"/>
        </w:rPr>
        <w:t>数据分类功能：对数据不同类别进行标记，并进行相应保护；</w:t>
      </w:r>
    </w:p>
    <w:p>
      <w:pPr>
        <w:spacing w:line="380" w:lineRule="exact"/>
        <w:ind w:firstLine="482"/>
        <w:jc w:val="both"/>
        <w:rPr>
          <w:color w:val="000000"/>
          <w:sz w:val="20"/>
          <w:szCs w:val="20"/>
          <w:lang w:val="en-GB"/>
        </w:rPr>
      </w:pPr>
      <w:r>
        <w:rPr>
          <w:rFonts w:hint="eastAsia"/>
          <w:color w:val="000000"/>
          <w:sz w:val="20"/>
          <w:szCs w:val="20"/>
          <w:lang w:val="en-GB"/>
        </w:rPr>
        <w:t>数据传输和存储安全功能：对重要数据和个人信息进行非明文传输和存储保护。</w:t>
      </w:r>
    </w:p>
    <w:p>
      <w:pPr>
        <w:spacing w:before="120" w:beforeLines="50" w:after="120" w:afterLines="50"/>
        <w:ind w:firstLine="440" w:firstLineChars="200"/>
        <w:contextualSpacing/>
        <w:rPr>
          <w:b/>
          <w:color w:val="000000"/>
          <w:lang w:val="en-GB"/>
        </w:rPr>
      </w:pPr>
      <w:r>
        <w:rPr>
          <w:b/>
          <w:color w:val="000000"/>
          <w:lang w:val="en-GB"/>
        </w:rPr>
        <w:t xml:space="preserve">3. </w:t>
      </w:r>
      <w:r>
        <w:rPr>
          <w:rFonts w:hint="eastAsia"/>
          <w:b/>
          <w:color w:val="000000"/>
          <w:lang w:val="en-GB"/>
        </w:rPr>
        <w:t>信息系统源代码编码安全要求</w:t>
      </w:r>
    </w:p>
    <w:p>
      <w:pPr>
        <w:spacing w:line="380" w:lineRule="exact"/>
        <w:ind w:firstLine="482"/>
        <w:jc w:val="both"/>
        <w:rPr>
          <w:color w:val="000000"/>
          <w:sz w:val="20"/>
          <w:szCs w:val="20"/>
          <w:lang w:val="en-GB"/>
        </w:rPr>
      </w:pPr>
      <w:r>
        <w:rPr>
          <w:rFonts w:hint="eastAsia"/>
          <w:color w:val="000000"/>
          <w:sz w:val="20"/>
          <w:szCs w:val="20"/>
          <w:lang w:val="en-GB"/>
        </w:rPr>
        <w:t>信息系统应在设计、开发阶段遵循源代码安全要求，包括对输入校验、输出编码、会话管理、文件系统访问、数据传输及存储、异常处理和代码注释等进行规范。</w:t>
      </w:r>
    </w:p>
    <w:p>
      <w:pPr>
        <w:spacing w:before="120" w:beforeLines="50" w:after="120" w:afterLines="50"/>
        <w:ind w:firstLine="440" w:firstLineChars="200"/>
        <w:contextualSpacing/>
        <w:rPr>
          <w:b/>
          <w:color w:val="000000"/>
          <w:lang w:val="en-GB"/>
        </w:rPr>
      </w:pPr>
      <w:r>
        <w:rPr>
          <w:b/>
          <w:color w:val="000000"/>
          <w:lang w:val="en-GB"/>
        </w:rPr>
        <w:t xml:space="preserve">4. </w:t>
      </w:r>
      <w:r>
        <w:rPr>
          <w:rFonts w:hint="eastAsia"/>
          <w:b/>
          <w:color w:val="000000"/>
          <w:lang w:val="en-GB"/>
        </w:rPr>
        <w:t>数据保护要求</w:t>
      </w:r>
    </w:p>
    <w:p>
      <w:pPr>
        <w:spacing w:line="380" w:lineRule="exact"/>
        <w:ind w:firstLine="482"/>
        <w:jc w:val="both"/>
        <w:rPr>
          <w:color w:val="000000"/>
          <w:sz w:val="20"/>
          <w:szCs w:val="20"/>
          <w:lang w:val="en-GB"/>
        </w:rPr>
      </w:pPr>
      <w:r>
        <w:rPr>
          <w:rFonts w:hint="eastAsia"/>
          <w:color w:val="000000"/>
          <w:sz w:val="20"/>
          <w:szCs w:val="20"/>
          <w:lang w:val="en-GB"/>
        </w:rPr>
        <w:t>系统关键信息应在应用程序中实现用户真实身份信息的验证和内容审核流程的功能开发，并对关键业务数据进行分类、加密、脱敏、封装和关联性隔离以及容灾备份等，保障数据在产生、传输、处置和存储等流程中的真实性、完整性、保密性。</w:t>
      </w:r>
    </w:p>
    <w:p>
      <w:pPr>
        <w:spacing w:before="120" w:beforeLines="50" w:after="120" w:afterLines="50"/>
        <w:ind w:firstLine="440" w:firstLineChars="200"/>
        <w:contextualSpacing/>
        <w:rPr>
          <w:b/>
          <w:color w:val="000000"/>
          <w:lang w:val="en-GB"/>
        </w:rPr>
      </w:pPr>
      <w:r>
        <w:rPr>
          <w:b/>
          <w:color w:val="000000"/>
          <w:lang w:val="en-GB"/>
        </w:rPr>
        <w:t xml:space="preserve">5. </w:t>
      </w:r>
      <w:r>
        <w:rPr>
          <w:rFonts w:hint="eastAsia"/>
          <w:b/>
          <w:color w:val="000000"/>
          <w:lang w:val="en-GB"/>
        </w:rPr>
        <w:t>部署运行安全要求</w:t>
      </w:r>
    </w:p>
    <w:p>
      <w:pPr>
        <w:spacing w:line="380" w:lineRule="exact"/>
        <w:ind w:firstLine="482"/>
        <w:jc w:val="both"/>
        <w:rPr>
          <w:color w:val="000000"/>
          <w:sz w:val="20"/>
          <w:szCs w:val="20"/>
          <w:lang w:val="en-GB"/>
        </w:rPr>
      </w:pPr>
      <w:r>
        <w:rPr>
          <w:rFonts w:hint="eastAsia"/>
          <w:color w:val="000000"/>
          <w:sz w:val="20"/>
          <w:szCs w:val="20"/>
          <w:lang w:val="en-GB"/>
        </w:rPr>
        <w:t>应当依据国家有关法规、政策及标准要求，针对网络结构、服务器操作系统、数据库系统等领域进行安全防护设计、选型和实施，做到网络结构清晰；网络边界、安全域边界、业务边界隔离防护合理、措施有效；操作系统、数据库等关键设施自身安全防护可达到信息系统相应等级的安全要求等。</w:t>
      </w:r>
    </w:p>
    <w:p>
      <w:pPr>
        <w:spacing w:line="380" w:lineRule="exact"/>
        <w:ind w:firstLine="482"/>
        <w:jc w:val="both"/>
        <w:rPr>
          <w:color w:val="000000"/>
          <w:sz w:val="20"/>
          <w:szCs w:val="20"/>
          <w:lang w:val="en-GB"/>
        </w:rPr>
      </w:pPr>
      <w:r>
        <w:rPr>
          <w:rFonts w:hint="eastAsia"/>
          <w:color w:val="000000"/>
          <w:sz w:val="20"/>
          <w:szCs w:val="20"/>
          <w:lang w:val="en-GB"/>
        </w:rPr>
        <w:t>应在信息系统的设计、建设实施等工作开展中形成并不断完善系统安全规划、实施、运行方案，对信息系统的部署、使用、应急响应及恢复处置等过程进行详细规定。</w:t>
      </w:r>
    </w:p>
    <w:p>
      <w:pPr>
        <w:spacing w:before="120" w:beforeLines="50" w:after="120" w:afterLines="50"/>
        <w:ind w:firstLine="440" w:firstLineChars="200"/>
        <w:contextualSpacing/>
        <w:rPr>
          <w:b/>
          <w:color w:val="000000"/>
          <w:lang w:val="en-GB"/>
        </w:rPr>
      </w:pPr>
      <w:r>
        <w:rPr>
          <w:b/>
          <w:color w:val="000000"/>
          <w:lang w:val="en-GB"/>
        </w:rPr>
        <w:t xml:space="preserve">6. </w:t>
      </w:r>
      <w:r>
        <w:rPr>
          <w:rFonts w:hint="eastAsia"/>
          <w:b/>
          <w:color w:val="000000"/>
          <w:lang w:val="en-GB"/>
        </w:rPr>
        <w:t>安全测评</w:t>
      </w:r>
    </w:p>
    <w:p>
      <w:pPr>
        <w:ind w:firstLine="480"/>
        <w:rPr>
          <w:color w:val="000000"/>
          <w:sz w:val="20"/>
          <w:szCs w:val="20"/>
          <w:lang w:val="en-GB"/>
        </w:rPr>
      </w:pPr>
      <w:r>
        <w:rPr>
          <w:rFonts w:hint="eastAsia"/>
          <w:color w:val="000000"/>
          <w:sz w:val="20"/>
          <w:szCs w:val="20"/>
          <w:lang w:val="en-GB"/>
        </w:rPr>
        <w:t>应开展信息化工程竣工验收时的安全验收测评（含源代码安全审查）、软件验收测评和安全等级测评。</w:t>
      </w:r>
    </w:p>
    <w:p>
      <w:pPr>
        <w:spacing w:line="360" w:lineRule="auto"/>
        <w:jc w:val="both"/>
        <w:rPr>
          <w:rFonts w:ascii="黑体" w:hAnsi="华文中宋" w:eastAsia="黑体" w:cs="华文中宋"/>
          <w:b/>
          <w:bCs/>
          <w:sz w:val="32"/>
          <w:szCs w:val="32"/>
        </w:rPr>
      </w:pPr>
    </w:p>
    <w:p>
      <w:pPr>
        <w:spacing w:line="360" w:lineRule="auto"/>
        <w:jc w:val="center"/>
        <w:outlineLvl w:val="0"/>
        <w:rPr>
          <w:rFonts w:ascii="黑体" w:hAnsi="华文中宋" w:eastAsia="黑体" w:cs="华文中宋"/>
          <w:b/>
          <w:bCs/>
          <w:sz w:val="32"/>
          <w:szCs w:val="32"/>
        </w:rPr>
      </w:pPr>
      <w:r>
        <w:rPr>
          <w:rFonts w:hint="eastAsia" w:ascii="黑体" w:hAnsi="华文中宋" w:eastAsia="黑体" w:cs="华文中宋"/>
          <w:b/>
          <w:bCs/>
          <w:sz w:val="32"/>
          <w:szCs w:val="32"/>
        </w:rPr>
        <w:br w:type="page"/>
      </w:r>
      <w:bookmarkStart w:id="1154" w:name="_Toc32118"/>
      <w:r>
        <w:rPr>
          <w:rFonts w:hint="eastAsia" w:ascii="黑体" w:hAnsi="华文中宋" w:eastAsia="黑体" w:cs="华文中宋"/>
          <w:b/>
          <w:bCs/>
          <w:sz w:val="32"/>
          <w:szCs w:val="32"/>
        </w:rPr>
        <w:t>第四章  评分体系与标准</w:t>
      </w:r>
      <w:bookmarkEnd w:id="1154"/>
    </w:p>
    <w:p>
      <w:pPr>
        <w:widowControl w:val="0"/>
        <w:numPr>
          <w:ilvl w:val="0"/>
          <w:numId w:val="9"/>
        </w:numPr>
        <w:tabs>
          <w:tab w:val="left" w:pos="630"/>
        </w:tabs>
        <w:autoSpaceDE w:val="0"/>
        <w:autoSpaceDN w:val="0"/>
        <w:snapToGrid/>
        <w:spacing w:after="0" w:line="360" w:lineRule="auto"/>
        <w:jc w:val="both"/>
        <w:rPr>
          <w:rFonts w:ascii="微软雅黑" w:hAnsi="微软雅黑" w:cs="微软雅黑"/>
          <w:sz w:val="20"/>
          <w:szCs w:val="20"/>
        </w:rPr>
      </w:pPr>
      <w:r>
        <w:rPr>
          <w:rFonts w:hint="eastAsia" w:ascii="微软雅黑" w:hAnsi="微软雅黑" w:cs="微软雅黑"/>
          <w:sz w:val="20"/>
          <w:szCs w:val="20"/>
        </w:rPr>
        <w:t>本评标办法采用综合评分法，</w:t>
      </w:r>
      <w:r>
        <w:rPr>
          <w:rFonts w:hint="eastAsia" w:ascii="微软雅黑" w:hAnsi="微软雅黑" w:cs="微软雅黑"/>
          <w:b/>
          <w:sz w:val="20"/>
          <w:szCs w:val="20"/>
        </w:rPr>
        <w:t>商务分值</w:t>
      </w:r>
      <w:r>
        <w:rPr>
          <w:rFonts w:ascii="微软雅黑" w:hAnsi="微软雅黑" w:cs="微软雅黑"/>
          <w:b/>
          <w:sz w:val="20"/>
          <w:szCs w:val="20"/>
        </w:rPr>
        <w:t>3</w:t>
      </w:r>
      <w:r>
        <w:rPr>
          <w:rFonts w:hint="eastAsia" w:ascii="微软雅黑" w:hAnsi="微软雅黑" w:cs="微软雅黑"/>
          <w:b/>
          <w:sz w:val="20"/>
          <w:szCs w:val="20"/>
        </w:rPr>
        <w:t>5%，技术分值</w:t>
      </w:r>
      <w:r>
        <w:rPr>
          <w:rFonts w:ascii="微软雅黑" w:hAnsi="微软雅黑" w:cs="微软雅黑"/>
          <w:b/>
          <w:sz w:val="20"/>
          <w:szCs w:val="20"/>
        </w:rPr>
        <w:t>5</w:t>
      </w:r>
      <w:r>
        <w:rPr>
          <w:rFonts w:hint="eastAsia" w:ascii="微软雅黑" w:hAnsi="微软雅黑" w:cs="微软雅黑"/>
          <w:b/>
          <w:sz w:val="20"/>
          <w:szCs w:val="20"/>
        </w:rPr>
        <w:t>5%，价格分值10%。</w:t>
      </w:r>
    </w:p>
    <w:p>
      <w:pPr>
        <w:widowControl w:val="0"/>
        <w:numPr>
          <w:ilvl w:val="0"/>
          <w:numId w:val="9"/>
        </w:numPr>
        <w:tabs>
          <w:tab w:val="left" w:pos="630"/>
        </w:tabs>
        <w:autoSpaceDE w:val="0"/>
        <w:autoSpaceDN w:val="0"/>
        <w:snapToGrid/>
        <w:spacing w:after="0" w:line="360" w:lineRule="auto"/>
        <w:jc w:val="both"/>
        <w:rPr>
          <w:rFonts w:ascii="微软雅黑" w:hAnsi="微软雅黑" w:cs="微软雅黑"/>
          <w:sz w:val="20"/>
          <w:szCs w:val="20"/>
        </w:rPr>
      </w:pPr>
      <w:r>
        <w:rPr>
          <w:rFonts w:hint="eastAsia" w:ascii="微软雅黑" w:hAnsi="微软雅黑" w:cs="微软雅黑"/>
          <w:sz w:val="20"/>
          <w:szCs w:val="20"/>
        </w:rPr>
        <w:t>评标步骤：评标委员会先进行投标文件初审，对通过初审的投标文件进行技术、商务及价格的详细评审最后评标委员会出具评标报告。</w:t>
      </w:r>
    </w:p>
    <w:p>
      <w:pPr>
        <w:widowControl w:val="0"/>
        <w:numPr>
          <w:ilvl w:val="0"/>
          <w:numId w:val="9"/>
        </w:numPr>
        <w:tabs>
          <w:tab w:val="left" w:pos="630"/>
        </w:tabs>
        <w:autoSpaceDE w:val="0"/>
        <w:autoSpaceDN w:val="0"/>
        <w:snapToGrid/>
        <w:spacing w:after="0" w:line="360" w:lineRule="auto"/>
        <w:jc w:val="both"/>
        <w:rPr>
          <w:rFonts w:ascii="微软雅黑" w:hAnsi="微软雅黑" w:cs="宋体"/>
          <w:b/>
          <w:color w:val="000000"/>
          <w:sz w:val="24"/>
          <w:szCs w:val="24"/>
        </w:rPr>
      </w:pPr>
      <w:r>
        <w:rPr>
          <w:rFonts w:hint="eastAsia" w:ascii="微软雅黑" w:hAnsi="微软雅黑" w:cs="微软雅黑"/>
          <w:sz w:val="20"/>
          <w:szCs w:val="20"/>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pPr>
        <w:spacing w:before="120" w:beforeLines="50" w:after="120" w:afterLines="50" w:line="360" w:lineRule="auto"/>
        <w:jc w:val="center"/>
        <w:rPr>
          <w:rFonts w:ascii="微软雅黑" w:hAnsi="微软雅黑" w:cs="宋体"/>
          <w:b/>
          <w:sz w:val="24"/>
          <w:szCs w:val="24"/>
        </w:rPr>
      </w:pPr>
      <w:r>
        <w:rPr>
          <w:rFonts w:hint="eastAsia" w:ascii="微软雅黑" w:hAnsi="微软雅黑" w:cs="宋体"/>
          <w:b/>
          <w:color w:val="000000"/>
          <w:sz w:val="24"/>
          <w:szCs w:val="24"/>
        </w:rPr>
        <w:t>资格性评审条款</w:t>
      </w:r>
    </w:p>
    <w:p>
      <w:pPr>
        <w:spacing w:line="360" w:lineRule="auto"/>
        <w:jc w:val="center"/>
        <w:rPr>
          <w:snapToGrid w:val="0"/>
          <w:color w:val="000000"/>
          <w:spacing w:val="8"/>
          <w:sz w:val="21"/>
          <w:szCs w:val="21"/>
        </w:rPr>
      </w:pPr>
      <w:r>
        <w:rPr>
          <w:rFonts w:hint="eastAsia" w:ascii="宋体" w:hAnsi="宋体" w:cs="宋体"/>
          <w:sz w:val="21"/>
          <w:szCs w:val="21"/>
        </w:rPr>
        <w:t>项目名称：</w:t>
      </w:r>
      <w:r>
        <w:rPr>
          <w:rFonts w:hint="eastAsia" w:ascii="微软雅黑" w:hAnsi="微软雅黑" w:cs="微软雅黑"/>
          <w:bCs/>
          <w:sz w:val="21"/>
          <w:szCs w:val="21"/>
        </w:rPr>
        <w:t>正和消保中心数字化平台建设服务采购项目</w:t>
      </w:r>
    </w:p>
    <w:tbl>
      <w:tblPr>
        <w:tblStyle w:val="45"/>
        <w:tblW w:w="99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9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tcBorders>
              <w:top w:val="single" w:color="auto" w:sz="12" w:space="0"/>
              <w:left w:val="single" w:color="auto" w:sz="12" w:space="0"/>
              <w:bottom w:val="single" w:color="auto" w:sz="4" w:space="0"/>
              <w:right w:val="single" w:color="auto" w:sz="4" w:space="0"/>
            </w:tcBorders>
            <w:vAlign w:val="center"/>
          </w:tcPr>
          <w:p>
            <w:pPr>
              <w:spacing w:line="360" w:lineRule="auto"/>
              <w:ind w:left="-125" w:leftChars="-57"/>
              <w:jc w:val="center"/>
              <w:rPr>
                <w:rFonts w:ascii="宋体" w:hAnsi="宋体"/>
                <w:b/>
                <w:szCs w:val="21"/>
              </w:rPr>
            </w:pPr>
            <w:r>
              <w:rPr>
                <w:rFonts w:hint="eastAsia" w:ascii="宋体" w:hAnsi="宋体"/>
                <w:b/>
                <w:szCs w:val="21"/>
              </w:rPr>
              <w:t>序号</w:t>
            </w:r>
          </w:p>
        </w:tc>
        <w:tc>
          <w:tcPr>
            <w:tcW w:w="9001"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hAnsi="宋体"/>
                <w:b/>
                <w:szCs w:val="21"/>
              </w:rPr>
            </w:pPr>
            <w:r>
              <w:rPr>
                <w:rFonts w:hint="eastAsia" w:ascii="宋体" w:hAnsi="宋体"/>
                <w:b/>
                <w:szCs w:val="21"/>
              </w:rPr>
              <w:t>资格性审查内容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9001"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hAnsi="宋体"/>
                <w:bCs/>
                <w:szCs w:val="21"/>
              </w:rPr>
            </w:pPr>
            <w:r>
              <w:rPr>
                <w:rFonts w:hint="eastAsia" w:ascii="宋体" w:hAnsi="宋体" w:cs="宋体"/>
                <w:szCs w:val="21"/>
              </w:rPr>
              <w:t>具备招标文件中规定资格要求的及资格证明文件齐全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9001" w:type="dxa"/>
            <w:tcBorders>
              <w:top w:val="single" w:color="auto" w:sz="4" w:space="0"/>
              <w:left w:val="single" w:color="auto" w:sz="4" w:space="0"/>
              <w:bottom w:val="single" w:color="auto" w:sz="4" w:space="0"/>
              <w:right w:val="single" w:color="auto" w:sz="12" w:space="0"/>
            </w:tcBorders>
            <w:vAlign w:val="center"/>
          </w:tcPr>
          <w:p>
            <w:pPr>
              <w:spacing w:line="360" w:lineRule="auto"/>
              <w:rPr>
                <w:rFonts w:ascii="宋体" w:hAnsi="宋体"/>
                <w:bCs/>
                <w:szCs w:val="21"/>
              </w:rPr>
            </w:pPr>
            <w:r>
              <w:rPr>
                <w:rFonts w:hint="eastAsia" w:ascii="宋体" w:hAnsi="宋体" w:cs="宋体"/>
                <w:szCs w:val="21"/>
              </w:rPr>
              <w:t>供应商已登记并领取本项目招标文件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1"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9001" w:type="dxa"/>
            <w:tcBorders>
              <w:top w:val="single" w:color="auto" w:sz="4" w:space="0"/>
              <w:left w:val="single" w:color="auto" w:sz="4" w:space="0"/>
              <w:bottom w:val="single" w:color="auto" w:sz="12" w:space="0"/>
              <w:right w:val="single" w:color="auto" w:sz="12" w:space="0"/>
            </w:tcBorders>
            <w:vAlign w:val="center"/>
          </w:tcPr>
          <w:p>
            <w:pPr>
              <w:spacing w:line="360" w:lineRule="auto"/>
              <w:rPr>
                <w:rFonts w:ascii="宋体" w:hAnsi="宋体"/>
                <w:bCs/>
                <w:szCs w:val="21"/>
              </w:rPr>
            </w:pPr>
            <w:r>
              <w:rPr>
                <w:rFonts w:hint="eastAsia" w:ascii="宋体" w:hAnsi="宋体" w:cs="宋体"/>
                <w:szCs w:val="21"/>
              </w:rPr>
              <w:t>本项目不接受联合体投标</w:t>
            </w:r>
          </w:p>
        </w:tc>
      </w:tr>
    </w:tbl>
    <w:p>
      <w:pPr>
        <w:spacing w:line="360" w:lineRule="auto"/>
        <w:jc w:val="both"/>
        <w:rPr>
          <w:rFonts w:ascii="宋体" w:hAnsi="宋体"/>
          <w:b/>
          <w:sz w:val="24"/>
        </w:rPr>
      </w:pPr>
    </w:p>
    <w:p>
      <w:pPr>
        <w:spacing w:line="360" w:lineRule="auto"/>
        <w:jc w:val="center"/>
        <w:rPr>
          <w:rFonts w:ascii="宋体" w:hAnsi="宋体"/>
          <w:b/>
          <w:sz w:val="24"/>
        </w:rPr>
      </w:pPr>
      <w:r>
        <w:rPr>
          <w:rFonts w:hint="eastAsia" w:ascii="宋体" w:hAnsi="宋体"/>
          <w:b/>
          <w:sz w:val="24"/>
        </w:rPr>
        <w:br w:type="page"/>
      </w:r>
      <w:r>
        <w:rPr>
          <w:rFonts w:hint="eastAsia" w:ascii="宋体" w:hAnsi="宋体"/>
          <w:b/>
          <w:sz w:val="24"/>
        </w:rPr>
        <w:t>符合性评审条款</w:t>
      </w:r>
    </w:p>
    <w:tbl>
      <w:tblPr>
        <w:tblStyle w:val="45"/>
        <w:tblW w:w="99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2"/>
        <w:gridCol w:w="916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12" w:space="0"/>
              <w:left w:val="single" w:color="auto" w:sz="12" w:space="0"/>
              <w:bottom w:val="single" w:color="auto" w:sz="4" w:space="0"/>
              <w:right w:val="single" w:color="auto" w:sz="2" w:space="0"/>
            </w:tcBorders>
            <w:vAlign w:val="center"/>
          </w:tcPr>
          <w:p>
            <w:pPr>
              <w:spacing w:line="360" w:lineRule="auto"/>
              <w:ind w:left="-125" w:leftChars="-57"/>
              <w:jc w:val="center"/>
              <w:rPr>
                <w:rFonts w:ascii="宋体" w:hAnsi="宋体"/>
                <w:b/>
                <w:szCs w:val="21"/>
              </w:rPr>
            </w:pPr>
            <w:r>
              <w:rPr>
                <w:rFonts w:hint="eastAsia" w:ascii="宋体" w:hAnsi="宋体"/>
                <w:b/>
                <w:szCs w:val="21"/>
              </w:rPr>
              <w:t>序号</w:t>
            </w:r>
          </w:p>
        </w:tc>
        <w:tc>
          <w:tcPr>
            <w:tcW w:w="9170" w:type="dxa"/>
            <w:tcBorders>
              <w:top w:val="single" w:color="auto" w:sz="12" w:space="0"/>
              <w:left w:val="single" w:color="auto" w:sz="2" w:space="0"/>
              <w:bottom w:val="single" w:color="auto" w:sz="2" w:space="0"/>
              <w:right w:val="single" w:color="auto" w:sz="12" w:space="0"/>
            </w:tcBorders>
            <w:vAlign w:val="center"/>
          </w:tcPr>
          <w:p>
            <w:pPr>
              <w:spacing w:line="360" w:lineRule="auto"/>
              <w:jc w:val="center"/>
              <w:rPr>
                <w:rFonts w:ascii="宋体" w:hAnsi="宋体"/>
                <w:b/>
                <w:szCs w:val="21"/>
              </w:rPr>
            </w:pPr>
            <w:r>
              <w:rPr>
                <w:rFonts w:hint="eastAsia" w:ascii="宋体" w:hAnsi="宋体"/>
                <w:b/>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2" w:space="0"/>
              <w:left w:val="single" w:color="auto" w:sz="12" w:space="0"/>
              <w:bottom w:val="single" w:color="auto" w:sz="4" w:space="0"/>
              <w:right w:val="single" w:color="auto" w:sz="2" w:space="0"/>
            </w:tcBorders>
            <w:vAlign w:val="center"/>
          </w:tcPr>
          <w:p>
            <w:pPr>
              <w:spacing w:line="360" w:lineRule="auto"/>
              <w:jc w:val="center"/>
              <w:rPr>
                <w:rFonts w:ascii="宋体" w:hAnsi="宋体"/>
                <w:szCs w:val="21"/>
              </w:rPr>
            </w:pPr>
            <w:r>
              <w:rPr>
                <w:rFonts w:hint="eastAsia" w:ascii="宋体" w:hAnsi="宋体"/>
                <w:szCs w:val="21"/>
              </w:rPr>
              <w:t>1</w:t>
            </w:r>
          </w:p>
        </w:tc>
        <w:tc>
          <w:tcPr>
            <w:tcW w:w="9170" w:type="dxa"/>
            <w:tcBorders>
              <w:top w:val="single" w:color="auto" w:sz="2" w:space="0"/>
              <w:left w:val="single" w:color="auto" w:sz="2" w:space="0"/>
              <w:bottom w:val="single" w:color="auto" w:sz="2" w:space="0"/>
              <w:right w:val="single" w:color="auto" w:sz="12" w:space="0"/>
            </w:tcBorders>
            <w:vAlign w:val="center"/>
          </w:tcPr>
          <w:p>
            <w:pPr>
              <w:outlineLvl w:val="2"/>
              <w:rPr>
                <w:rFonts w:ascii="宋体" w:hAnsi="宋体"/>
                <w:szCs w:val="21"/>
              </w:rPr>
            </w:pPr>
            <w:r>
              <w:rPr>
                <w:rFonts w:hint="eastAsia" w:ascii="宋体" w:hAnsi="宋体" w:cs="宋体"/>
                <w:szCs w:val="21"/>
              </w:rPr>
              <w:t>投标函、投标人资格声明函已提交并按照招标文件规定要求签署、盖章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2" w:space="0"/>
              <w:left w:val="single" w:color="auto" w:sz="12" w:space="0"/>
              <w:bottom w:val="single" w:color="auto" w:sz="4" w:space="0"/>
              <w:right w:val="single" w:color="auto" w:sz="2" w:space="0"/>
            </w:tcBorders>
            <w:vAlign w:val="center"/>
          </w:tcPr>
          <w:p>
            <w:pPr>
              <w:spacing w:line="360" w:lineRule="auto"/>
              <w:jc w:val="center"/>
              <w:rPr>
                <w:rFonts w:ascii="宋体" w:hAnsi="宋体"/>
                <w:szCs w:val="21"/>
              </w:rPr>
            </w:pPr>
            <w:r>
              <w:rPr>
                <w:rFonts w:hint="eastAsia" w:ascii="宋体" w:hAnsi="宋体"/>
                <w:szCs w:val="21"/>
              </w:rPr>
              <w:t>2</w:t>
            </w:r>
          </w:p>
        </w:tc>
        <w:tc>
          <w:tcPr>
            <w:tcW w:w="9170" w:type="dxa"/>
            <w:tcBorders>
              <w:top w:val="single" w:color="auto" w:sz="2" w:space="0"/>
              <w:left w:val="single" w:color="auto" w:sz="2" w:space="0"/>
              <w:bottom w:val="single" w:color="auto" w:sz="2" w:space="0"/>
              <w:right w:val="single" w:color="auto" w:sz="12" w:space="0"/>
            </w:tcBorders>
            <w:vAlign w:val="center"/>
          </w:tcPr>
          <w:p>
            <w:pPr>
              <w:outlineLvl w:val="2"/>
              <w:rPr>
                <w:rFonts w:ascii="宋体" w:hAnsi="宋体" w:cs="宋体"/>
                <w:szCs w:val="21"/>
              </w:rPr>
            </w:pPr>
            <w:r>
              <w:rPr>
                <w:rFonts w:hint="eastAsia" w:ascii="宋体" w:hAnsi="宋体" w:cs="宋体"/>
                <w:szCs w:val="21"/>
              </w:rPr>
              <w:t>法定代表人证明书或法定代表人授权委托书已提交并按照招标文件规定要求签署、盖章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2" w:space="0"/>
              <w:left w:val="single" w:color="auto" w:sz="12" w:space="0"/>
              <w:bottom w:val="single" w:color="auto" w:sz="4" w:space="0"/>
              <w:right w:val="single" w:color="auto" w:sz="2" w:space="0"/>
            </w:tcBorders>
            <w:vAlign w:val="center"/>
          </w:tcPr>
          <w:p>
            <w:pPr>
              <w:spacing w:line="360" w:lineRule="auto"/>
              <w:jc w:val="center"/>
              <w:rPr>
                <w:rFonts w:ascii="宋体" w:hAnsi="宋体"/>
                <w:szCs w:val="21"/>
              </w:rPr>
            </w:pPr>
            <w:r>
              <w:rPr>
                <w:rFonts w:hint="eastAsia" w:ascii="宋体" w:hAnsi="宋体"/>
                <w:szCs w:val="21"/>
              </w:rPr>
              <w:t>3</w:t>
            </w:r>
          </w:p>
        </w:tc>
        <w:tc>
          <w:tcPr>
            <w:tcW w:w="9170" w:type="dxa"/>
            <w:tcBorders>
              <w:top w:val="single" w:color="auto" w:sz="2" w:space="0"/>
              <w:left w:val="single" w:color="auto" w:sz="2" w:space="0"/>
              <w:bottom w:val="single" w:color="auto" w:sz="2" w:space="0"/>
              <w:right w:val="single" w:color="auto" w:sz="12" w:space="0"/>
            </w:tcBorders>
            <w:vAlign w:val="center"/>
          </w:tcPr>
          <w:p>
            <w:pPr>
              <w:outlineLvl w:val="2"/>
              <w:rPr>
                <w:rFonts w:ascii="宋体" w:hAnsi="宋体" w:cs="宋体"/>
                <w:szCs w:val="21"/>
              </w:rPr>
            </w:pPr>
            <w:r>
              <w:rPr>
                <w:rFonts w:hint="eastAsia" w:ascii="宋体" w:hAnsi="宋体" w:cs="宋体"/>
                <w:szCs w:val="21"/>
              </w:rPr>
              <w:t>公平竞争承诺书已提交并按照招标文件规定盖章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2" w:space="0"/>
              <w:left w:val="single" w:color="auto" w:sz="12" w:space="0"/>
              <w:bottom w:val="single" w:color="auto" w:sz="4" w:space="0"/>
              <w:right w:val="single" w:color="auto" w:sz="2" w:space="0"/>
            </w:tcBorders>
            <w:vAlign w:val="center"/>
          </w:tcPr>
          <w:p>
            <w:pPr>
              <w:ind w:firstLine="220" w:firstLineChars="100"/>
              <w:outlineLvl w:val="2"/>
              <w:rPr>
                <w:rFonts w:ascii="宋体" w:hAnsi="宋体" w:cs="宋体"/>
                <w:color w:val="FF0000"/>
                <w:szCs w:val="21"/>
              </w:rPr>
            </w:pPr>
            <w:r>
              <w:rPr>
                <w:rFonts w:hint="eastAsia" w:ascii="宋体" w:hAnsi="宋体" w:cs="宋体"/>
                <w:szCs w:val="21"/>
              </w:rPr>
              <w:t>4</w:t>
            </w:r>
          </w:p>
        </w:tc>
        <w:tc>
          <w:tcPr>
            <w:tcW w:w="9170" w:type="dxa"/>
            <w:tcBorders>
              <w:top w:val="single" w:color="auto" w:sz="2" w:space="0"/>
              <w:left w:val="single" w:color="auto" w:sz="2" w:space="0"/>
              <w:bottom w:val="single" w:color="auto" w:sz="2" w:space="0"/>
              <w:right w:val="single" w:color="auto" w:sz="12" w:space="0"/>
            </w:tcBorders>
            <w:vAlign w:val="center"/>
          </w:tcPr>
          <w:p>
            <w:pPr>
              <w:outlineLvl w:val="2"/>
              <w:rPr>
                <w:rFonts w:ascii="宋体" w:hAnsi="宋体" w:cs="宋体"/>
                <w:color w:val="FF0000"/>
                <w:szCs w:val="21"/>
              </w:rPr>
            </w:pPr>
            <w:r>
              <w:rPr>
                <w:rFonts w:hint="eastAsia" w:ascii="宋体" w:hAnsi="宋体"/>
                <w:szCs w:val="21"/>
              </w:rPr>
              <w:t>投标报价是固定价且未超过本项目采购预算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2" w:space="0"/>
              <w:left w:val="single" w:color="auto" w:sz="12" w:space="0"/>
              <w:bottom w:val="single" w:color="auto" w:sz="4" w:space="0"/>
              <w:right w:val="single" w:color="auto" w:sz="2" w:space="0"/>
            </w:tcBorders>
            <w:vAlign w:val="center"/>
          </w:tcPr>
          <w:p>
            <w:pPr>
              <w:spacing w:line="360" w:lineRule="auto"/>
              <w:jc w:val="center"/>
              <w:rPr>
                <w:rFonts w:ascii="宋体" w:hAnsi="宋体"/>
                <w:szCs w:val="21"/>
              </w:rPr>
            </w:pPr>
            <w:r>
              <w:rPr>
                <w:rFonts w:hint="eastAsia" w:ascii="宋体" w:hAnsi="宋体"/>
                <w:szCs w:val="21"/>
              </w:rPr>
              <w:t>5</w:t>
            </w:r>
          </w:p>
        </w:tc>
        <w:tc>
          <w:tcPr>
            <w:tcW w:w="9170" w:type="dxa"/>
            <w:tcBorders>
              <w:top w:val="single" w:color="auto" w:sz="2" w:space="0"/>
              <w:left w:val="single" w:color="auto" w:sz="2" w:space="0"/>
              <w:bottom w:val="single" w:color="auto" w:sz="2" w:space="0"/>
              <w:right w:val="single" w:color="auto" w:sz="12" w:space="0"/>
            </w:tcBorders>
            <w:vAlign w:val="center"/>
          </w:tcPr>
          <w:p>
            <w:pPr>
              <w:spacing w:line="360" w:lineRule="auto"/>
              <w:rPr>
                <w:rFonts w:ascii="宋体" w:hAnsi="宋体"/>
                <w:szCs w:val="21"/>
              </w:rPr>
            </w:pPr>
            <w:r>
              <w:rPr>
                <w:rFonts w:hint="eastAsia" w:ascii="宋体" w:hAnsi="宋体" w:cs="宋体"/>
                <w:szCs w:val="21"/>
              </w:rPr>
              <w:t>服务期满足招标文件要求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4" w:space="0"/>
              <w:left w:val="single" w:color="auto" w:sz="12" w:space="0"/>
              <w:bottom w:val="single" w:color="auto" w:sz="4" w:space="0"/>
              <w:right w:val="single" w:color="auto" w:sz="2" w:space="0"/>
            </w:tcBorders>
            <w:vAlign w:val="center"/>
          </w:tcPr>
          <w:p>
            <w:pPr>
              <w:spacing w:line="360" w:lineRule="auto"/>
              <w:jc w:val="center"/>
              <w:rPr>
                <w:rFonts w:ascii="宋体" w:hAnsi="宋体"/>
                <w:szCs w:val="21"/>
              </w:rPr>
            </w:pPr>
            <w:r>
              <w:rPr>
                <w:rFonts w:hint="eastAsia" w:ascii="宋体" w:hAnsi="宋体"/>
                <w:szCs w:val="21"/>
              </w:rPr>
              <w:t>6</w:t>
            </w:r>
          </w:p>
        </w:tc>
        <w:tc>
          <w:tcPr>
            <w:tcW w:w="9170" w:type="dxa"/>
            <w:tcBorders>
              <w:top w:val="single" w:color="auto" w:sz="2" w:space="0"/>
              <w:left w:val="single" w:color="auto" w:sz="2" w:space="0"/>
              <w:bottom w:val="single" w:color="auto" w:sz="2" w:space="0"/>
              <w:right w:val="single" w:color="auto" w:sz="12" w:space="0"/>
            </w:tcBorders>
            <w:vAlign w:val="center"/>
          </w:tcPr>
          <w:p>
            <w:pPr>
              <w:spacing w:line="360" w:lineRule="auto"/>
              <w:rPr>
                <w:rFonts w:ascii="宋体" w:hAnsi="宋体" w:cs="宋体"/>
                <w:szCs w:val="21"/>
              </w:rPr>
            </w:pPr>
            <w:r>
              <w:rPr>
                <w:rFonts w:hint="eastAsia" w:ascii="宋体" w:hAnsi="宋体" w:cs="宋体"/>
                <w:szCs w:val="21"/>
              </w:rPr>
              <w:t>未出现恶意竞争低于成本价的情形投标人投标报价合理的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4" w:space="0"/>
              <w:left w:val="single" w:color="auto" w:sz="12" w:space="0"/>
              <w:bottom w:val="single" w:color="auto" w:sz="4" w:space="0"/>
              <w:right w:val="single" w:color="auto" w:sz="2" w:space="0"/>
            </w:tcBorders>
            <w:vAlign w:val="center"/>
          </w:tcPr>
          <w:p>
            <w:pPr>
              <w:spacing w:line="360" w:lineRule="auto"/>
              <w:jc w:val="center"/>
              <w:rPr>
                <w:rFonts w:ascii="宋体" w:hAnsi="宋体"/>
                <w:szCs w:val="21"/>
              </w:rPr>
            </w:pPr>
            <w:r>
              <w:rPr>
                <w:rFonts w:hint="eastAsia" w:ascii="宋体" w:hAnsi="宋体"/>
                <w:szCs w:val="21"/>
              </w:rPr>
              <w:t>7</w:t>
            </w:r>
          </w:p>
        </w:tc>
        <w:tc>
          <w:tcPr>
            <w:tcW w:w="9170" w:type="dxa"/>
            <w:tcBorders>
              <w:top w:val="single" w:color="auto" w:sz="2" w:space="0"/>
              <w:left w:val="single" w:color="auto" w:sz="2" w:space="0"/>
              <w:bottom w:val="single" w:color="auto" w:sz="2" w:space="0"/>
              <w:right w:val="single" w:color="auto" w:sz="12" w:space="0"/>
            </w:tcBorders>
            <w:vAlign w:val="center"/>
          </w:tcPr>
          <w:p>
            <w:pPr>
              <w:spacing w:line="360" w:lineRule="auto"/>
              <w:rPr>
                <w:rFonts w:ascii="宋体" w:hAnsi="宋体" w:cs="宋体"/>
                <w:szCs w:val="21"/>
              </w:rPr>
            </w:pPr>
            <w:r>
              <w:rPr>
                <w:rFonts w:hint="eastAsia" w:ascii="宋体" w:hAnsi="宋体"/>
                <w:szCs w:val="21"/>
              </w:rPr>
              <w:t>无招标文件中规定的被视为无效投标的其它条款的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4" w:hRule="atLeast"/>
          <w:jc w:val="center"/>
        </w:trPr>
        <w:tc>
          <w:tcPr>
            <w:tcW w:w="792" w:type="dxa"/>
            <w:tcBorders>
              <w:top w:val="single" w:color="auto" w:sz="4" w:space="0"/>
              <w:left w:val="single" w:color="auto" w:sz="12" w:space="0"/>
              <w:bottom w:val="single" w:color="auto" w:sz="12" w:space="0"/>
              <w:right w:val="single" w:color="auto" w:sz="2" w:space="0"/>
            </w:tcBorders>
            <w:vAlign w:val="center"/>
          </w:tcPr>
          <w:p>
            <w:pPr>
              <w:spacing w:line="360" w:lineRule="auto"/>
              <w:jc w:val="center"/>
              <w:rPr>
                <w:rFonts w:ascii="宋体" w:hAnsi="宋体"/>
                <w:szCs w:val="21"/>
              </w:rPr>
            </w:pPr>
            <w:r>
              <w:rPr>
                <w:rFonts w:hint="eastAsia" w:ascii="宋体" w:hAnsi="宋体"/>
                <w:szCs w:val="21"/>
              </w:rPr>
              <w:t>8</w:t>
            </w:r>
          </w:p>
        </w:tc>
        <w:tc>
          <w:tcPr>
            <w:tcW w:w="9170" w:type="dxa"/>
            <w:tcBorders>
              <w:top w:val="single" w:color="auto" w:sz="2" w:space="0"/>
              <w:left w:val="single" w:color="auto" w:sz="2" w:space="0"/>
              <w:bottom w:val="single" w:color="auto" w:sz="12" w:space="0"/>
              <w:right w:val="single" w:color="auto" w:sz="12" w:space="0"/>
            </w:tcBorders>
            <w:vAlign w:val="center"/>
          </w:tcPr>
          <w:p>
            <w:pPr>
              <w:spacing w:line="360" w:lineRule="auto"/>
              <w:rPr>
                <w:rFonts w:ascii="宋体" w:hAnsi="宋体"/>
                <w:szCs w:val="21"/>
              </w:rPr>
            </w:pPr>
            <w:r>
              <w:rPr>
                <w:rFonts w:hint="eastAsia" w:ascii="宋体" w:hAnsi="宋体"/>
                <w:szCs w:val="21"/>
              </w:rPr>
              <w:t>未出现法律、法规、规章规定属于投标无效的其他情形</w:t>
            </w:r>
          </w:p>
        </w:tc>
      </w:tr>
    </w:tbl>
    <w:p>
      <w:pPr>
        <w:jc w:val="center"/>
        <w:rPr>
          <w:b/>
          <w:sz w:val="28"/>
          <w:szCs w:val="28"/>
        </w:rPr>
      </w:pPr>
    </w:p>
    <w:p>
      <w:pPr>
        <w:jc w:val="center"/>
        <w:rPr>
          <w:rFonts w:ascii="宋体" w:hAnsi="宋体" w:cs="宋体"/>
          <w:b/>
          <w:kern w:val="2"/>
          <w:sz w:val="24"/>
        </w:rPr>
      </w:pPr>
      <w:r>
        <w:rPr>
          <w:rFonts w:hint="eastAsia" w:ascii="宋体" w:hAnsi="宋体"/>
          <w:b/>
          <w:sz w:val="24"/>
        </w:rPr>
        <w:br w:type="page"/>
      </w:r>
      <w:bookmarkStart w:id="1155" w:name="_Toc453957425"/>
      <w:r>
        <w:rPr>
          <w:rFonts w:hint="eastAsia" w:ascii="宋体" w:hAnsi="宋体" w:cs="宋体"/>
          <w:b/>
          <w:kern w:val="2"/>
          <w:sz w:val="24"/>
        </w:rPr>
        <w:t>商务评审表</w:t>
      </w:r>
    </w:p>
    <w:tbl>
      <w:tblPr>
        <w:tblStyle w:val="45"/>
        <w:tblW w:w="5000" w:type="pct"/>
        <w:tblInd w:w="0" w:type="dxa"/>
        <w:tblLayout w:type="autofit"/>
        <w:tblCellMar>
          <w:top w:w="0" w:type="dxa"/>
          <w:left w:w="108" w:type="dxa"/>
          <w:bottom w:w="0" w:type="dxa"/>
          <w:right w:w="108" w:type="dxa"/>
        </w:tblCellMar>
      </w:tblPr>
      <w:tblGrid>
        <w:gridCol w:w="1183"/>
        <w:gridCol w:w="1183"/>
        <w:gridCol w:w="7596"/>
      </w:tblGrid>
      <w:tr>
        <w:tblPrEx>
          <w:tblCellMar>
            <w:top w:w="0" w:type="dxa"/>
            <w:left w:w="108" w:type="dxa"/>
            <w:bottom w:w="0" w:type="dxa"/>
            <w:right w:w="108" w:type="dxa"/>
          </w:tblCellMar>
        </w:tblPrEx>
        <w:trPr>
          <w:trHeight w:val="578"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商务评分表（35分）</w:t>
            </w:r>
          </w:p>
        </w:tc>
      </w:tr>
      <w:tr>
        <w:tblPrEx>
          <w:tblCellMar>
            <w:top w:w="0" w:type="dxa"/>
            <w:left w:w="108" w:type="dxa"/>
            <w:bottom w:w="0" w:type="dxa"/>
            <w:right w:w="108" w:type="dxa"/>
          </w:tblCellMar>
        </w:tblPrEx>
        <w:trPr>
          <w:trHeight w:val="285" w:hRule="atLeast"/>
        </w:trPr>
        <w:tc>
          <w:tcPr>
            <w:tcW w:w="594" w:type="pct"/>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序号</w:t>
            </w:r>
          </w:p>
        </w:tc>
        <w:tc>
          <w:tcPr>
            <w:tcW w:w="594" w:type="pct"/>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评审内容</w:t>
            </w:r>
          </w:p>
        </w:tc>
        <w:tc>
          <w:tcPr>
            <w:tcW w:w="3810" w:type="pct"/>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评分细则</w:t>
            </w:r>
          </w:p>
        </w:tc>
      </w:tr>
      <w:tr>
        <w:tblPrEx>
          <w:tblCellMar>
            <w:top w:w="0" w:type="dxa"/>
            <w:left w:w="108" w:type="dxa"/>
            <w:bottom w:w="0" w:type="dxa"/>
            <w:right w:w="108" w:type="dxa"/>
          </w:tblCellMar>
        </w:tblPrEx>
        <w:trPr>
          <w:trHeight w:val="289" w:hRule="atLeast"/>
        </w:trPr>
        <w:tc>
          <w:tcPr>
            <w:tcW w:w="594"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1</w:t>
            </w:r>
          </w:p>
        </w:tc>
        <w:tc>
          <w:tcPr>
            <w:tcW w:w="594"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投标人资质情况</w:t>
            </w:r>
          </w:p>
        </w:tc>
        <w:tc>
          <w:tcPr>
            <w:tcW w:w="3810"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考察投标人有效期内资质情况，提供1个得1分，满分10分。</w:t>
            </w:r>
          </w:p>
        </w:tc>
      </w:tr>
      <w:tr>
        <w:tblPrEx>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3810"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1.ISO27001信息安全管理体系认证证书（认证范围需包含：电子政务类信息产品研发、系统运维）；</w:t>
            </w:r>
          </w:p>
        </w:tc>
      </w:tr>
      <w:tr>
        <w:tblPrEx>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3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2.ISO9001质量管理体系认证证书（认证范围需包含：电子政务类信息产品研发、系统运维）；</w:t>
            </w:r>
          </w:p>
        </w:tc>
      </w:tr>
      <w:tr>
        <w:tblPrEx>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3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3.CCRC信息安全服务资质认证证书(服务资质要求：二级或以上)；</w:t>
            </w:r>
          </w:p>
        </w:tc>
      </w:tr>
      <w:tr>
        <w:tblPrEx>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3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4.ISO45001职业健康安全管理体系认证证书（认证范围需包含：电子政务类信息系统产品研发、运营、系统运维）；</w:t>
            </w:r>
            <w:bookmarkStart w:id="1420" w:name="_GoBack"/>
            <w:bookmarkEnd w:id="1420"/>
          </w:p>
        </w:tc>
      </w:tr>
      <w:tr>
        <w:tblPrEx>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3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5.投标人具有ISO22301业务连续性管理体系认证证书（认证范围需包含：产品运维、运营）；</w:t>
            </w:r>
          </w:p>
        </w:tc>
      </w:tr>
      <w:tr>
        <w:tblPrEx>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3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6.ITSS信息技术服务标准符合性证书(评估等级：二级或以上)；</w:t>
            </w:r>
          </w:p>
        </w:tc>
      </w:tr>
      <w:tr>
        <w:tblPrEx>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3810"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7.DCMM数据管理能力成熟度等级证书；</w:t>
            </w:r>
          </w:p>
        </w:tc>
      </w:tr>
      <w:tr>
        <w:tblPrEx>
          <w:tblCellMar>
            <w:top w:w="0" w:type="dxa"/>
            <w:left w:w="108" w:type="dxa"/>
            <w:bottom w:w="0" w:type="dxa"/>
            <w:right w:w="108" w:type="dxa"/>
          </w:tblCellMar>
        </w:tblPrEx>
        <w:trPr>
          <w:trHeight w:val="278"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3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8.国家鼓励的软件企业证书;</w:t>
            </w:r>
          </w:p>
        </w:tc>
      </w:tr>
      <w:tr>
        <w:tblPrEx>
          <w:tblCellMar>
            <w:top w:w="0" w:type="dxa"/>
            <w:left w:w="108" w:type="dxa"/>
            <w:bottom w:w="0" w:type="dxa"/>
            <w:right w:w="108" w:type="dxa"/>
          </w:tblCellMar>
        </w:tblPrEx>
        <w:trPr>
          <w:trHeight w:val="278"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3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9.涉密信息系统集成资质证书;</w:t>
            </w:r>
          </w:p>
        </w:tc>
      </w:tr>
      <w:tr>
        <w:tblPrEx>
          <w:tblCellMar>
            <w:top w:w="0" w:type="dxa"/>
            <w:left w:w="108" w:type="dxa"/>
            <w:bottom w:w="0" w:type="dxa"/>
            <w:right w:w="108" w:type="dxa"/>
          </w:tblCellMar>
        </w:tblPrEx>
        <w:trPr>
          <w:trHeight w:val="278"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38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10.分布式系统稳定性保障能力评估等级证书。</w:t>
            </w:r>
          </w:p>
        </w:tc>
      </w:tr>
      <w:tr>
        <w:tblPrEx>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3810"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以上1、2、3、4、5项提供认证证书复印件并须同时提供在全国认证认可信息公共服务平台对体系证书的信息查询截图作为评审依据，已失效或撤销的不得分。</w:t>
            </w:r>
          </w:p>
        </w:tc>
      </w:tr>
      <w:tr>
        <w:tblPrEx>
          <w:tblCellMar>
            <w:top w:w="0" w:type="dxa"/>
            <w:left w:w="108" w:type="dxa"/>
            <w:bottom w:w="0" w:type="dxa"/>
            <w:right w:w="108" w:type="dxa"/>
          </w:tblCellMar>
        </w:tblPrEx>
        <w:trPr>
          <w:trHeight w:val="1275" w:hRule="atLeast"/>
        </w:trPr>
        <w:tc>
          <w:tcPr>
            <w:tcW w:w="594"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2</w:t>
            </w:r>
          </w:p>
        </w:tc>
        <w:tc>
          <w:tcPr>
            <w:tcW w:w="594"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投标人技术能力</w:t>
            </w:r>
          </w:p>
        </w:tc>
        <w:tc>
          <w:tcPr>
            <w:tcW w:w="3810" w:type="pct"/>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察投标人具备政务信息化类相关的软件著作权证书，能提供数据展示、数据接入、数据分发、数据整合、数据统计分析、任务提醒、报表管理、搜索查询、精准推荐、任务调度相关的软件著作权证书。软件著作权证书发证时间需在本项目挂网前，每提供一类软件著作权证书得0.5分，满分5分。</w:t>
            </w:r>
          </w:p>
        </w:tc>
      </w:tr>
      <w:tr>
        <w:tblPrEx>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3810" w:type="pct"/>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说明：应提供以上软件著作权证书复印件并加盖公章，提供上述多个同类的软件著作权证书不重复计算得分。</w:t>
            </w:r>
          </w:p>
        </w:tc>
      </w:tr>
      <w:tr>
        <w:tblPrEx>
          <w:tblCellMar>
            <w:top w:w="0" w:type="dxa"/>
            <w:left w:w="108" w:type="dxa"/>
            <w:bottom w:w="0" w:type="dxa"/>
            <w:right w:w="108" w:type="dxa"/>
          </w:tblCellMar>
        </w:tblPrEx>
        <w:trPr>
          <w:trHeight w:val="2040" w:hRule="atLeast"/>
        </w:trPr>
        <w:tc>
          <w:tcPr>
            <w:tcW w:w="594"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3</w:t>
            </w:r>
          </w:p>
        </w:tc>
        <w:tc>
          <w:tcPr>
            <w:tcW w:w="594"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投标人团队服务能力</w:t>
            </w:r>
          </w:p>
        </w:tc>
        <w:tc>
          <w:tcPr>
            <w:tcW w:w="3810" w:type="pct"/>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1.投标人须为本项目配备项目经理至少2名，具有以下学位或资质:</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项目经理1：需具备1.项目管理领域工程专业硕士或以上学位证书、2.IPMP B级或以上证书、3.高级信息系统项目管理师、4.PMP证书、5.IT服务项目经理，每提供一个证书得0.5分，满分2分。</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项目经理2：具备1.软件工程领域工程专业硕士或以上学位证书、2.高级信息系统项目管理师、3.政务大数据运营管理师、4.区块链应用架构师、5.PMP、6.麒麟操作系统应用工程师、7.IT服务工程师、8.软件设计师，每提供一个证书得1分，满分6分。</w:t>
            </w:r>
          </w:p>
        </w:tc>
      </w:tr>
      <w:tr>
        <w:tblPrEx>
          <w:tblCellMar>
            <w:top w:w="0" w:type="dxa"/>
            <w:left w:w="108" w:type="dxa"/>
            <w:bottom w:w="0" w:type="dxa"/>
            <w:right w:w="108" w:type="dxa"/>
          </w:tblCellMar>
        </w:tblPrEx>
        <w:trPr>
          <w:trHeight w:val="127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3810" w:type="pct"/>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2.考察投标人团队服务能力（不含项目经理）情况，具体评分如下：</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软件开发及数据管理类人员资质：高级系统架构设计师、软件设计师、麒麟系统应用工程师、数据库系统工程师、RED HAT认证证书、系统集成项目管理工程师、高级信息系统项目管理师，提供一个得0.2分，满分2分；</w:t>
            </w:r>
          </w:p>
        </w:tc>
      </w:tr>
      <w:tr>
        <w:tblPrEx>
          <w:tblCellMar>
            <w:top w:w="0" w:type="dxa"/>
            <w:left w:w="108" w:type="dxa"/>
            <w:bottom w:w="0" w:type="dxa"/>
            <w:right w:w="108" w:type="dxa"/>
          </w:tblCellMar>
        </w:tblPrEx>
        <w:trPr>
          <w:trHeight w:val="178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b/>
                <w:bCs/>
                <w:color w:val="000000"/>
                <w:sz w:val="21"/>
                <w:szCs w:val="21"/>
              </w:rPr>
            </w:pPr>
          </w:p>
        </w:tc>
        <w:tc>
          <w:tcPr>
            <w:tcW w:w="3810" w:type="pct"/>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说明：应提供以上人员相关证明资料复印件并加盖公章，并提供以上人员在本公司任职的有效外部证明材料（如加盖政府有关部门印章2022年1月以来任意一个月的《投保单》或《社会保险参保人员证明》，或单位代缴个人所得税税单等，事业法人的相关人员应提供该单位的相关证明）复印件（如因新设立企业不足3个月，则提供公司成立以来，投标人为其缴纳的《投保单》或《社会保险参保人员证明》，或单位代缴个人所得税税单等）。</w:t>
            </w:r>
          </w:p>
        </w:tc>
      </w:tr>
      <w:tr>
        <w:tblPrEx>
          <w:tblCellMar>
            <w:top w:w="0" w:type="dxa"/>
            <w:left w:w="108" w:type="dxa"/>
            <w:bottom w:w="0" w:type="dxa"/>
            <w:right w:w="108" w:type="dxa"/>
          </w:tblCellMar>
        </w:tblPrEx>
        <w:trPr>
          <w:trHeight w:val="2805" w:hRule="atLeast"/>
        </w:trPr>
        <w:tc>
          <w:tcPr>
            <w:tcW w:w="59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4</w:t>
            </w:r>
          </w:p>
        </w:tc>
        <w:tc>
          <w:tcPr>
            <w:tcW w:w="59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投标人业绩</w:t>
            </w:r>
          </w:p>
        </w:tc>
        <w:tc>
          <w:tcPr>
            <w:tcW w:w="3810"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2019 年以来，投标人具有省级（或以上）政务信息化类相关项目经验，提供项目案例：</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1.具备投诉与处理类服务软件开发案例，每个得1分，最高得1分；</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2.具备监测预警类服务软件开发案例，每个得1分，最高得2分；</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3.具备数据类服务软件开发案例，每个得0.5分，最高得2分；</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4.具备数据统计分析类服务软件开发案例，每个得0.5分，最高得1分；</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5.具备金融监管类服务案例，每个得1分，最高得4分；</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说明：须提供合同关键页（关键页包括但不限于合同封面、合同服务内容、合同金额、盖章页等）作为证明材料。以上业绩如涉及多类案例，不重复记分，以最高得分计算；多份文件时间不一致的，以任一文件满足即可得分。</w:t>
            </w:r>
          </w:p>
        </w:tc>
      </w:tr>
    </w:tbl>
    <w:p>
      <w:pPr>
        <w:spacing w:before="156" w:line="360" w:lineRule="auto"/>
        <w:jc w:val="center"/>
        <w:rPr>
          <w:rFonts w:ascii="宋体" w:hAnsi="宋体" w:cs="宋体"/>
          <w:b/>
          <w:kern w:val="2"/>
          <w:sz w:val="24"/>
        </w:rPr>
      </w:pPr>
    </w:p>
    <w:p>
      <w:pPr>
        <w:spacing w:before="156" w:line="360" w:lineRule="auto"/>
        <w:jc w:val="center"/>
        <w:rPr>
          <w:rFonts w:ascii="宋体" w:hAnsi="宋体" w:cs="宋体"/>
          <w:b/>
          <w:kern w:val="2"/>
          <w:sz w:val="24"/>
        </w:rPr>
      </w:pPr>
    </w:p>
    <w:p>
      <w:pPr>
        <w:spacing w:before="156" w:line="360" w:lineRule="auto"/>
        <w:jc w:val="center"/>
        <w:rPr>
          <w:rFonts w:ascii="宋体" w:hAnsi="宋体" w:cs="宋体"/>
          <w:b/>
          <w:kern w:val="2"/>
          <w:sz w:val="24"/>
        </w:rPr>
      </w:pPr>
    </w:p>
    <w:p>
      <w:pPr>
        <w:spacing w:before="156"/>
        <w:jc w:val="center"/>
        <w:rPr>
          <w:rFonts w:ascii="宋体" w:hAnsi="宋体" w:cs="宋体"/>
          <w:b/>
          <w:kern w:val="2"/>
          <w:sz w:val="24"/>
        </w:rPr>
      </w:pPr>
      <w:r>
        <w:rPr>
          <w:rFonts w:hint="eastAsia" w:ascii="宋体" w:hAnsi="宋体" w:cs="宋体"/>
          <w:b/>
          <w:kern w:val="2"/>
          <w:sz w:val="24"/>
        </w:rPr>
        <w:br w:type="page"/>
      </w:r>
      <w:r>
        <w:rPr>
          <w:rFonts w:hint="eastAsia" w:ascii="宋体" w:hAnsi="宋体" w:cs="宋体"/>
          <w:b/>
          <w:kern w:val="2"/>
          <w:sz w:val="24"/>
        </w:rPr>
        <w:t>技术评审表</w:t>
      </w:r>
    </w:p>
    <w:tbl>
      <w:tblPr>
        <w:tblStyle w:val="45"/>
        <w:tblW w:w="5000" w:type="pct"/>
        <w:tblInd w:w="0" w:type="dxa"/>
        <w:tblLayout w:type="autofit"/>
        <w:tblCellMar>
          <w:top w:w="0" w:type="dxa"/>
          <w:left w:w="108" w:type="dxa"/>
          <w:bottom w:w="0" w:type="dxa"/>
          <w:right w:w="108" w:type="dxa"/>
        </w:tblCellMar>
      </w:tblPr>
      <w:tblGrid>
        <w:gridCol w:w="1317"/>
        <w:gridCol w:w="1345"/>
        <w:gridCol w:w="7300"/>
      </w:tblGrid>
      <w:tr>
        <w:tblPrEx>
          <w:tblCellMar>
            <w:top w:w="0" w:type="dxa"/>
            <w:left w:w="108" w:type="dxa"/>
            <w:bottom w:w="0" w:type="dxa"/>
            <w:right w:w="108" w:type="dxa"/>
          </w:tblCellMar>
        </w:tblPrEx>
        <w:trPr>
          <w:trHeight w:val="285" w:hRule="atLeast"/>
        </w:trPr>
        <w:tc>
          <w:tcPr>
            <w:tcW w:w="5000" w:type="pct"/>
            <w:gridSpan w:val="3"/>
            <w:tcBorders>
              <w:top w:val="single" w:color="auto" w:sz="4" w:space="0"/>
              <w:left w:val="single" w:color="auto" w:sz="4" w:space="0"/>
              <w:bottom w:val="single" w:color="000000" w:sz="4" w:space="0"/>
              <w:right w:val="single" w:color="auto" w:sz="4" w:space="0"/>
            </w:tcBorders>
            <w:shd w:val="clear" w:color="auto" w:fill="AEAAAA"/>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技术评分表（55分）</w:t>
            </w:r>
          </w:p>
        </w:tc>
      </w:tr>
      <w:tr>
        <w:tblPrEx>
          <w:tblCellMar>
            <w:top w:w="0" w:type="dxa"/>
            <w:left w:w="108" w:type="dxa"/>
            <w:bottom w:w="0" w:type="dxa"/>
            <w:right w:w="108" w:type="dxa"/>
          </w:tblCellMar>
        </w:tblPrEx>
        <w:trPr>
          <w:trHeight w:val="285" w:hRule="atLeast"/>
        </w:trPr>
        <w:tc>
          <w:tcPr>
            <w:tcW w:w="1336" w:type="pct"/>
            <w:gridSpan w:val="2"/>
            <w:tcBorders>
              <w:top w:val="single" w:color="000000" w:sz="4" w:space="0"/>
              <w:left w:val="single" w:color="auto" w:sz="4" w:space="0"/>
              <w:bottom w:val="single" w:color="auto" w:sz="4" w:space="0"/>
              <w:right w:val="single" w:color="000000" w:sz="4" w:space="0"/>
            </w:tcBorders>
            <w:shd w:val="clear" w:color="auto" w:fill="AEAAAA"/>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评审内容</w:t>
            </w:r>
          </w:p>
        </w:tc>
        <w:tc>
          <w:tcPr>
            <w:tcW w:w="3663" w:type="pct"/>
            <w:tcBorders>
              <w:top w:val="single" w:color="000000" w:sz="4" w:space="0"/>
              <w:left w:val="single" w:color="000000" w:sz="4" w:space="0"/>
              <w:bottom w:val="single" w:color="auto" w:sz="4" w:space="0"/>
              <w:right w:val="single" w:color="auto" w:sz="4" w:space="0"/>
            </w:tcBorders>
            <w:shd w:val="clear" w:color="auto" w:fill="AEAAAA"/>
            <w:vAlign w:val="center"/>
          </w:tcPr>
          <w:p>
            <w:pPr>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bidi="ar"/>
              </w:rPr>
              <w:t>评分内容</w:t>
            </w:r>
          </w:p>
        </w:tc>
      </w:tr>
      <w:tr>
        <w:tblPrEx>
          <w:tblCellMar>
            <w:top w:w="0" w:type="dxa"/>
            <w:left w:w="108" w:type="dxa"/>
            <w:bottom w:w="0" w:type="dxa"/>
            <w:right w:w="108" w:type="dxa"/>
          </w:tblCellMar>
        </w:tblPrEx>
        <w:trPr>
          <w:trHeight w:val="458" w:hRule="atLeast"/>
        </w:trPr>
        <w:tc>
          <w:tcPr>
            <w:tcW w:w="1336" w:type="pct"/>
            <w:gridSpan w:val="2"/>
            <w:vMerge w:val="restart"/>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项目需求理解程度（9分）</w:t>
            </w:r>
          </w:p>
        </w:tc>
        <w:tc>
          <w:tcPr>
            <w:tcW w:w="3663" w:type="pct"/>
            <w:tcBorders>
              <w:top w:val="single" w:color="auto" w:sz="4" w:space="0"/>
              <w:left w:val="single" w:color="000000" w:sz="4" w:space="0"/>
              <w:bottom w:val="single" w:color="000000" w:sz="4" w:space="0"/>
              <w:right w:val="single" w:color="000000" w:sz="4" w:space="0"/>
            </w:tcBorders>
            <w:vAlign w:val="center"/>
          </w:tcPr>
          <w:p>
            <w:pPr>
              <w:textAlignment w:val="center"/>
              <w:rPr>
                <w:rFonts w:ascii="宋体" w:hAnsi="宋体" w:eastAsia="宋体" w:cs="等线"/>
                <w:b/>
                <w:bCs/>
                <w:color w:val="000000"/>
                <w:sz w:val="21"/>
                <w:szCs w:val="21"/>
              </w:rPr>
            </w:pPr>
            <w:r>
              <w:rPr>
                <w:rStyle w:val="251"/>
                <w:rFonts w:hint="default" w:ascii="宋体" w:hAnsi="宋体" w:eastAsia="宋体"/>
                <w:sz w:val="21"/>
                <w:szCs w:val="21"/>
                <w:lang w:bidi="ar"/>
              </w:rPr>
              <w:t>投标人对本项目建设背景、整体概况、工作内容及建设目标的理解准确、全面完整、针对性强。（4分）</w:t>
            </w:r>
          </w:p>
        </w:tc>
      </w:tr>
      <w:tr>
        <w:tblPrEx>
          <w:tblCellMar>
            <w:top w:w="0" w:type="dxa"/>
            <w:left w:w="108" w:type="dxa"/>
            <w:bottom w:w="0" w:type="dxa"/>
            <w:right w:w="108" w:type="dxa"/>
          </w:tblCellMar>
        </w:tblPrEx>
        <w:trPr>
          <w:trHeight w:val="960" w:hRule="atLeast"/>
        </w:trPr>
        <w:tc>
          <w:tcPr>
            <w:tcW w:w="0" w:type="auto"/>
            <w:gridSpan w:val="2"/>
            <w:vMerge w:val="continue"/>
            <w:tcBorders>
              <w:top w:val="single" w:color="auto"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color w:val="000000"/>
                <w:sz w:val="21"/>
                <w:szCs w:val="21"/>
              </w:rPr>
            </w:pPr>
          </w:p>
        </w:tc>
        <w:tc>
          <w:tcPr>
            <w:tcW w:w="366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等线"/>
                <w:color w:val="000000"/>
                <w:sz w:val="21"/>
                <w:szCs w:val="21"/>
              </w:rPr>
            </w:pPr>
            <w:r>
              <w:rPr>
                <w:rFonts w:hint="eastAsia" w:ascii="宋体" w:hAnsi="宋体" w:eastAsia="宋体" w:cs="等线"/>
                <w:color w:val="000000"/>
                <w:sz w:val="21"/>
                <w:szCs w:val="21"/>
                <w:lang w:bidi="ar"/>
              </w:rPr>
              <w:t>以上方案贴合要求，设计合理完备、详细清晰、可行性高，完全满足并优于采购需求，得4分；</w:t>
            </w:r>
            <w:r>
              <w:rPr>
                <w:rFonts w:hint="eastAsia" w:ascii="宋体" w:hAnsi="宋体" w:eastAsia="宋体" w:cs="等线"/>
                <w:color w:val="000000"/>
                <w:sz w:val="21"/>
                <w:szCs w:val="21"/>
                <w:lang w:bidi="ar"/>
              </w:rPr>
              <w:br w:type="textWrapping"/>
            </w:r>
            <w:r>
              <w:rPr>
                <w:rFonts w:hint="eastAsia" w:ascii="宋体" w:hAnsi="宋体" w:eastAsia="宋体" w:cs="等线"/>
                <w:color w:val="000000"/>
                <w:sz w:val="21"/>
                <w:szCs w:val="21"/>
                <w:lang w:bidi="ar"/>
              </w:rPr>
              <w:t>以上方案较完整详细、可行，基本满足采购需求，得2分；</w:t>
            </w:r>
            <w:r>
              <w:rPr>
                <w:rFonts w:hint="eastAsia" w:ascii="宋体" w:hAnsi="宋体" w:eastAsia="宋体" w:cs="等线"/>
                <w:color w:val="000000"/>
                <w:sz w:val="21"/>
                <w:szCs w:val="21"/>
                <w:lang w:bidi="ar"/>
              </w:rPr>
              <w:br w:type="textWrapping"/>
            </w:r>
            <w:r>
              <w:rPr>
                <w:rFonts w:hint="eastAsia" w:ascii="宋体" w:hAnsi="宋体" w:eastAsia="宋体" w:cs="等线"/>
                <w:color w:val="000000"/>
                <w:sz w:val="21"/>
                <w:szCs w:val="21"/>
                <w:lang w:bidi="ar"/>
              </w:rPr>
              <w:t>以上方案不详细、可行性不高、不能完全满足采购需求，得1分；</w:t>
            </w:r>
            <w:r>
              <w:rPr>
                <w:rFonts w:hint="eastAsia" w:ascii="宋体" w:hAnsi="宋体" w:eastAsia="宋体" w:cs="等线"/>
                <w:color w:val="000000"/>
                <w:sz w:val="21"/>
                <w:szCs w:val="21"/>
                <w:lang w:bidi="ar"/>
              </w:rPr>
              <w:br w:type="textWrapping"/>
            </w:r>
            <w:r>
              <w:rPr>
                <w:rFonts w:hint="eastAsia" w:ascii="宋体" w:hAnsi="宋体" w:eastAsia="宋体" w:cs="等线"/>
                <w:color w:val="000000"/>
                <w:sz w:val="21"/>
                <w:szCs w:val="21"/>
                <w:lang w:bidi="ar"/>
              </w:rPr>
              <w:t>未提供的，得0分。</w:t>
            </w:r>
          </w:p>
        </w:tc>
      </w:tr>
      <w:tr>
        <w:tblPrEx>
          <w:tblCellMar>
            <w:top w:w="0" w:type="dxa"/>
            <w:left w:w="108" w:type="dxa"/>
            <w:bottom w:w="0" w:type="dxa"/>
            <w:right w:w="108" w:type="dxa"/>
          </w:tblCellMar>
        </w:tblPrEx>
        <w:trPr>
          <w:trHeight w:val="690" w:hRule="atLeast"/>
        </w:trPr>
        <w:tc>
          <w:tcPr>
            <w:tcW w:w="0" w:type="auto"/>
            <w:gridSpan w:val="2"/>
            <w:vMerge w:val="continue"/>
            <w:tcBorders>
              <w:top w:val="single" w:color="auto"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color w:val="000000"/>
                <w:sz w:val="21"/>
                <w:szCs w:val="21"/>
              </w:rPr>
            </w:pPr>
          </w:p>
        </w:tc>
        <w:tc>
          <w:tcPr>
            <w:tcW w:w="366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等线"/>
                <w:b/>
                <w:bCs/>
                <w:color w:val="000000"/>
                <w:sz w:val="21"/>
                <w:szCs w:val="21"/>
              </w:rPr>
            </w:pPr>
            <w:r>
              <w:rPr>
                <w:rStyle w:val="251"/>
                <w:rFonts w:hint="default" w:ascii="宋体" w:hAnsi="宋体" w:eastAsia="宋体"/>
                <w:sz w:val="21"/>
                <w:szCs w:val="21"/>
                <w:lang w:bidi="ar"/>
              </w:rPr>
              <w:t>投标人对正和消保中心的信息化现状进行分析，包括且不限于基础设施情况和应用系统情况。（2分）</w:t>
            </w:r>
          </w:p>
        </w:tc>
      </w:tr>
      <w:tr>
        <w:tblPrEx>
          <w:tblCellMar>
            <w:top w:w="0" w:type="dxa"/>
            <w:left w:w="108" w:type="dxa"/>
            <w:bottom w:w="0" w:type="dxa"/>
            <w:right w:w="108" w:type="dxa"/>
          </w:tblCellMar>
        </w:tblPrEx>
        <w:trPr>
          <w:trHeight w:val="720" w:hRule="atLeast"/>
        </w:trPr>
        <w:tc>
          <w:tcPr>
            <w:tcW w:w="0" w:type="auto"/>
            <w:gridSpan w:val="2"/>
            <w:vMerge w:val="continue"/>
            <w:tcBorders>
              <w:top w:val="single" w:color="auto"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color w:val="000000"/>
                <w:sz w:val="21"/>
                <w:szCs w:val="21"/>
              </w:rPr>
            </w:pPr>
          </w:p>
        </w:tc>
        <w:tc>
          <w:tcPr>
            <w:tcW w:w="366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等线"/>
                <w:color w:val="000000"/>
                <w:sz w:val="21"/>
                <w:szCs w:val="21"/>
              </w:rPr>
            </w:pPr>
            <w:r>
              <w:rPr>
                <w:rFonts w:hint="eastAsia" w:ascii="宋体" w:hAnsi="宋体" w:eastAsia="宋体" w:cs="等线"/>
                <w:color w:val="000000"/>
                <w:sz w:val="21"/>
                <w:szCs w:val="21"/>
                <w:lang w:bidi="ar"/>
              </w:rPr>
              <w:t>以上方案对现状理解深刻，分析详细清晰，完全满足并优于采购需求，得2分；</w:t>
            </w:r>
            <w:r>
              <w:rPr>
                <w:rFonts w:hint="eastAsia" w:ascii="宋体" w:hAnsi="宋体" w:eastAsia="宋体" w:cs="等线"/>
                <w:color w:val="000000"/>
                <w:sz w:val="21"/>
                <w:szCs w:val="21"/>
                <w:lang w:bidi="ar"/>
              </w:rPr>
              <w:br w:type="textWrapping"/>
            </w:r>
            <w:r>
              <w:rPr>
                <w:rFonts w:hint="eastAsia" w:ascii="宋体" w:hAnsi="宋体" w:eastAsia="宋体" w:cs="等线"/>
                <w:color w:val="000000"/>
                <w:sz w:val="21"/>
                <w:szCs w:val="21"/>
                <w:lang w:bidi="ar"/>
              </w:rPr>
              <w:t>以上方案较完整详细、可行，基本满足采购需求，得1分；</w:t>
            </w:r>
            <w:r>
              <w:rPr>
                <w:rFonts w:hint="eastAsia" w:ascii="宋体" w:hAnsi="宋体" w:eastAsia="宋体" w:cs="等线"/>
                <w:color w:val="000000"/>
                <w:sz w:val="21"/>
                <w:szCs w:val="21"/>
                <w:lang w:bidi="ar"/>
              </w:rPr>
              <w:br w:type="textWrapping"/>
            </w:r>
            <w:r>
              <w:rPr>
                <w:rFonts w:hint="eastAsia" w:ascii="宋体" w:hAnsi="宋体" w:eastAsia="宋体" w:cs="等线"/>
                <w:color w:val="000000"/>
                <w:sz w:val="21"/>
                <w:szCs w:val="21"/>
                <w:lang w:bidi="ar"/>
              </w:rPr>
              <w:t>未提供的，得0分。</w:t>
            </w:r>
          </w:p>
        </w:tc>
      </w:tr>
      <w:tr>
        <w:tblPrEx>
          <w:tblCellMar>
            <w:top w:w="0" w:type="dxa"/>
            <w:left w:w="108" w:type="dxa"/>
            <w:bottom w:w="0" w:type="dxa"/>
            <w:right w:w="108" w:type="dxa"/>
          </w:tblCellMar>
        </w:tblPrEx>
        <w:trPr>
          <w:trHeight w:val="285" w:hRule="atLeast"/>
        </w:trPr>
        <w:tc>
          <w:tcPr>
            <w:tcW w:w="0" w:type="auto"/>
            <w:gridSpan w:val="2"/>
            <w:vMerge w:val="continue"/>
            <w:tcBorders>
              <w:top w:val="single" w:color="auto"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color w:val="000000"/>
                <w:sz w:val="21"/>
                <w:szCs w:val="21"/>
              </w:rPr>
            </w:pPr>
          </w:p>
        </w:tc>
        <w:tc>
          <w:tcPr>
            <w:tcW w:w="366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等线"/>
                <w:b/>
                <w:bCs/>
                <w:color w:val="000000"/>
                <w:sz w:val="21"/>
                <w:szCs w:val="21"/>
              </w:rPr>
            </w:pPr>
            <w:r>
              <w:rPr>
                <w:rStyle w:val="251"/>
                <w:rFonts w:hint="default" w:ascii="宋体" w:hAnsi="宋体" w:eastAsia="宋体"/>
                <w:sz w:val="21"/>
                <w:szCs w:val="21"/>
                <w:lang w:bidi="ar"/>
              </w:rPr>
              <w:t>投标人对正和消保中心业务现状进行分析，对信息化存在问题提出总体解决思路及方案。（3分）</w:t>
            </w:r>
          </w:p>
        </w:tc>
      </w:tr>
      <w:tr>
        <w:tblPrEx>
          <w:tblCellMar>
            <w:top w:w="0" w:type="dxa"/>
            <w:left w:w="108" w:type="dxa"/>
            <w:bottom w:w="0" w:type="dxa"/>
            <w:right w:w="108" w:type="dxa"/>
          </w:tblCellMar>
        </w:tblPrEx>
        <w:trPr>
          <w:trHeight w:val="960" w:hRule="atLeast"/>
        </w:trPr>
        <w:tc>
          <w:tcPr>
            <w:tcW w:w="0" w:type="auto"/>
            <w:gridSpan w:val="2"/>
            <w:vMerge w:val="continue"/>
            <w:tcBorders>
              <w:top w:val="single" w:color="auto"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color w:val="000000"/>
                <w:sz w:val="21"/>
                <w:szCs w:val="21"/>
              </w:rPr>
            </w:pPr>
          </w:p>
        </w:tc>
        <w:tc>
          <w:tcPr>
            <w:tcW w:w="366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等线"/>
                <w:color w:val="000000"/>
                <w:sz w:val="21"/>
                <w:szCs w:val="21"/>
              </w:rPr>
            </w:pPr>
            <w:r>
              <w:rPr>
                <w:rFonts w:hint="eastAsia" w:ascii="宋体" w:hAnsi="宋体" w:eastAsia="宋体" w:cs="等线"/>
                <w:color w:val="000000"/>
                <w:sz w:val="21"/>
                <w:szCs w:val="21"/>
                <w:lang w:bidi="ar"/>
              </w:rPr>
              <w:t>以上方案对现状理解深刻，分析详细清晰，完全满足并优于采购需求，得3分；</w:t>
            </w:r>
            <w:r>
              <w:rPr>
                <w:rFonts w:hint="eastAsia" w:ascii="宋体" w:hAnsi="宋体" w:eastAsia="宋体" w:cs="等线"/>
                <w:color w:val="000000"/>
                <w:sz w:val="21"/>
                <w:szCs w:val="21"/>
                <w:lang w:bidi="ar"/>
              </w:rPr>
              <w:br w:type="textWrapping"/>
            </w:r>
            <w:r>
              <w:rPr>
                <w:rFonts w:hint="eastAsia" w:ascii="宋体" w:hAnsi="宋体" w:eastAsia="宋体" w:cs="等线"/>
                <w:color w:val="000000"/>
                <w:sz w:val="21"/>
                <w:szCs w:val="21"/>
                <w:lang w:bidi="ar"/>
              </w:rPr>
              <w:t>以上方案较完整详细、可行，基本满足采购需求，得2分；</w:t>
            </w:r>
            <w:r>
              <w:rPr>
                <w:rFonts w:hint="eastAsia" w:ascii="宋体" w:hAnsi="宋体" w:eastAsia="宋体" w:cs="等线"/>
                <w:color w:val="000000"/>
                <w:sz w:val="21"/>
                <w:szCs w:val="21"/>
                <w:lang w:bidi="ar"/>
              </w:rPr>
              <w:br w:type="textWrapping"/>
            </w:r>
            <w:r>
              <w:rPr>
                <w:rFonts w:hint="eastAsia" w:ascii="宋体" w:hAnsi="宋体" w:eastAsia="宋体" w:cs="等线"/>
                <w:color w:val="000000"/>
                <w:sz w:val="21"/>
                <w:szCs w:val="21"/>
                <w:lang w:bidi="ar"/>
              </w:rPr>
              <w:t>以上方案不详细、可行性不高、不能完全满足采购需求，得1分；</w:t>
            </w:r>
            <w:r>
              <w:rPr>
                <w:rFonts w:hint="eastAsia" w:ascii="宋体" w:hAnsi="宋体" w:eastAsia="宋体" w:cs="等线"/>
                <w:color w:val="000000"/>
                <w:sz w:val="21"/>
                <w:szCs w:val="21"/>
                <w:lang w:bidi="ar"/>
              </w:rPr>
              <w:br w:type="textWrapping"/>
            </w:r>
            <w:r>
              <w:rPr>
                <w:rFonts w:hint="eastAsia" w:ascii="宋体" w:hAnsi="宋体" w:eastAsia="宋体" w:cs="等线"/>
                <w:color w:val="000000"/>
                <w:sz w:val="21"/>
                <w:szCs w:val="21"/>
                <w:lang w:bidi="ar"/>
              </w:rPr>
              <w:t>未提供的，得0分。</w:t>
            </w:r>
          </w:p>
        </w:tc>
      </w:tr>
      <w:tr>
        <w:tblPrEx>
          <w:tblCellMar>
            <w:top w:w="0" w:type="dxa"/>
            <w:left w:w="108" w:type="dxa"/>
            <w:bottom w:w="0" w:type="dxa"/>
            <w:right w:w="108" w:type="dxa"/>
          </w:tblCellMar>
        </w:tblPrEx>
        <w:trPr>
          <w:trHeight w:val="285" w:hRule="atLeast"/>
        </w:trPr>
        <w:tc>
          <w:tcPr>
            <w:tcW w:w="1336" w:type="pct"/>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总体框架设计（15分）</w:t>
            </w:r>
          </w:p>
        </w:tc>
        <w:tc>
          <w:tcPr>
            <w:tcW w:w="366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等线"/>
                <w:b/>
                <w:bCs/>
                <w:color w:val="000000"/>
                <w:sz w:val="21"/>
                <w:szCs w:val="21"/>
              </w:rPr>
            </w:pPr>
            <w:r>
              <w:rPr>
                <w:rStyle w:val="251"/>
                <w:rFonts w:hint="default" w:ascii="宋体" w:hAnsi="宋体" w:eastAsia="宋体"/>
                <w:sz w:val="21"/>
                <w:szCs w:val="21"/>
                <w:lang w:bidi="ar"/>
              </w:rPr>
              <w:t>投标人对正和消保中心与外部单位之间关系业务流程进行设计。（3分）</w:t>
            </w:r>
          </w:p>
        </w:tc>
      </w:tr>
      <w:tr>
        <w:tblPrEx>
          <w:tblCellMar>
            <w:top w:w="0" w:type="dxa"/>
            <w:left w:w="108" w:type="dxa"/>
            <w:bottom w:w="0" w:type="dxa"/>
            <w:right w:w="108" w:type="dxa"/>
          </w:tblCellMar>
        </w:tblPrEx>
        <w:trPr>
          <w:trHeight w:val="120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color w:val="000000"/>
                <w:sz w:val="21"/>
                <w:szCs w:val="21"/>
              </w:rPr>
            </w:pPr>
          </w:p>
        </w:tc>
        <w:tc>
          <w:tcPr>
            <w:tcW w:w="366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等线"/>
                <w:color w:val="000000"/>
                <w:sz w:val="21"/>
                <w:szCs w:val="21"/>
              </w:rPr>
            </w:pPr>
            <w:r>
              <w:rPr>
                <w:rFonts w:hint="eastAsia" w:ascii="宋体" w:hAnsi="宋体" w:eastAsia="宋体" w:cs="等线"/>
                <w:color w:val="000000"/>
                <w:sz w:val="21"/>
                <w:szCs w:val="21"/>
                <w:lang w:bidi="ar"/>
              </w:rPr>
              <w:t>以上方案贴合要求，设计合理完备、详细清晰、能够提供总体业务流程设计图，完全满足并优于采购需求，得3分；</w:t>
            </w:r>
            <w:r>
              <w:rPr>
                <w:rFonts w:hint="eastAsia" w:ascii="宋体" w:hAnsi="宋体" w:eastAsia="宋体" w:cs="等线"/>
                <w:color w:val="000000"/>
                <w:sz w:val="21"/>
                <w:szCs w:val="21"/>
                <w:lang w:bidi="ar"/>
              </w:rPr>
              <w:br w:type="textWrapping"/>
            </w:r>
            <w:r>
              <w:rPr>
                <w:rFonts w:hint="eastAsia" w:ascii="宋体" w:hAnsi="宋体" w:eastAsia="宋体" w:cs="等线"/>
                <w:color w:val="000000"/>
                <w:sz w:val="21"/>
                <w:szCs w:val="21"/>
                <w:lang w:bidi="ar"/>
              </w:rPr>
              <w:t>以上方案较完整详细、可行，基本满足采购需求，得2分；</w:t>
            </w:r>
            <w:r>
              <w:rPr>
                <w:rFonts w:hint="eastAsia" w:ascii="宋体" w:hAnsi="宋体" w:eastAsia="宋体" w:cs="等线"/>
                <w:color w:val="000000"/>
                <w:sz w:val="21"/>
                <w:szCs w:val="21"/>
                <w:lang w:bidi="ar"/>
              </w:rPr>
              <w:br w:type="textWrapping"/>
            </w:r>
            <w:r>
              <w:rPr>
                <w:rFonts w:hint="eastAsia" w:ascii="宋体" w:hAnsi="宋体" w:eastAsia="宋体" w:cs="等线"/>
                <w:color w:val="000000"/>
                <w:sz w:val="21"/>
                <w:szCs w:val="21"/>
                <w:lang w:bidi="ar"/>
              </w:rPr>
              <w:t>以上方案不详细、可行性不高、不能完全满足采购需求，得1分；</w:t>
            </w:r>
            <w:r>
              <w:rPr>
                <w:rFonts w:hint="eastAsia" w:ascii="宋体" w:hAnsi="宋体" w:eastAsia="宋体" w:cs="等线"/>
                <w:color w:val="000000"/>
                <w:sz w:val="21"/>
                <w:szCs w:val="21"/>
                <w:lang w:bidi="ar"/>
              </w:rPr>
              <w:br w:type="textWrapping"/>
            </w:r>
            <w:r>
              <w:rPr>
                <w:rFonts w:hint="eastAsia" w:ascii="宋体" w:hAnsi="宋体" w:eastAsia="宋体" w:cs="等线"/>
                <w:color w:val="000000"/>
                <w:sz w:val="21"/>
                <w:szCs w:val="21"/>
                <w:lang w:bidi="ar"/>
              </w:rPr>
              <w:t>未提供的，得0分。</w:t>
            </w:r>
          </w:p>
        </w:tc>
      </w:tr>
      <w:tr>
        <w:tblPrEx>
          <w:tblCellMar>
            <w:top w:w="0" w:type="dxa"/>
            <w:left w:w="108" w:type="dxa"/>
            <w:bottom w:w="0" w:type="dxa"/>
            <w:right w:w="108" w:type="dxa"/>
          </w:tblCellMar>
        </w:tblPrEx>
        <w:trPr>
          <w:trHeight w:val="4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color w:val="000000"/>
                <w:sz w:val="21"/>
                <w:szCs w:val="21"/>
              </w:rPr>
            </w:pPr>
          </w:p>
        </w:tc>
        <w:tc>
          <w:tcPr>
            <w:tcW w:w="366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等线"/>
                <w:b/>
                <w:bCs/>
                <w:color w:val="000000"/>
                <w:sz w:val="21"/>
                <w:szCs w:val="21"/>
              </w:rPr>
            </w:pPr>
            <w:r>
              <w:rPr>
                <w:rStyle w:val="251"/>
                <w:rFonts w:hint="default" w:ascii="宋体" w:hAnsi="宋体" w:eastAsia="宋体"/>
                <w:sz w:val="21"/>
                <w:szCs w:val="21"/>
                <w:lang w:bidi="ar"/>
              </w:rPr>
              <w:t>投标人需结合数字消保中心项目基于数字政府政务云平台的建设要求，提供云SAAS服务对接的设计方案。（12分）</w:t>
            </w:r>
          </w:p>
        </w:tc>
      </w:tr>
      <w:tr>
        <w:tblPrEx>
          <w:tblCellMar>
            <w:top w:w="0" w:type="dxa"/>
            <w:left w:w="108" w:type="dxa"/>
            <w:bottom w:w="0" w:type="dxa"/>
            <w:right w:w="108" w:type="dxa"/>
          </w:tblCellMar>
        </w:tblPrEx>
        <w:trPr>
          <w:trHeight w:val="96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color w:val="000000"/>
                <w:sz w:val="21"/>
                <w:szCs w:val="21"/>
              </w:rPr>
            </w:pPr>
          </w:p>
        </w:tc>
        <w:tc>
          <w:tcPr>
            <w:tcW w:w="366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等线"/>
                <w:color w:val="000000"/>
                <w:sz w:val="21"/>
                <w:szCs w:val="21"/>
              </w:rPr>
            </w:pPr>
            <w:r>
              <w:rPr>
                <w:rFonts w:hint="eastAsia" w:ascii="宋体" w:hAnsi="宋体" w:eastAsia="宋体" w:cs="等线"/>
                <w:color w:val="000000"/>
                <w:sz w:val="21"/>
                <w:szCs w:val="21"/>
                <w:lang w:bidi="ar"/>
              </w:rPr>
              <w:t>以上对接设计方案贴合项目建设要求，设计合理完备、详细清晰，完全满足并优于采购需求，每提供1个得</w:t>
            </w:r>
            <w:r>
              <w:rPr>
                <w:rFonts w:ascii="宋体" w:hAnsi="宋体" w:eastAsia="宋体" w:cs="等线"/>
                <w:color w:val="000000"/>
                <w:sz w:val="21"/>
                <w:szCs w:val="21"/>
                <w:lang w:bidi="ar"/>
              </w:rPr>
              <w:t>3</w:t>
            </w:r>
            <w:r>
              <w:rPr>
                <w:rFonts w:hint="eastAsia" w:ascii="宋体" w:hAnsi="宋体" w:eastAsia="宋体" w:cs="等线"/>
                <w:color w:val="000000"/>
                <w:sz w:val="21"/>
                <w:szCs w:val="21"/>
                <w:lang w:bidi="ar"/>
              </w:rPr>
              <w:t>分（最多不超过</w:t>
            </w:r>
            <w:r>
              <w:rPr>
                <w:rFonts w:ascii="宋体" w:hAnsi="宋体" w:eastAsia="宋体" w:cs="等线"/>
                <w:color w:val="000000"/>
                <w:sz w:val="21"/>
                <w:szCs w:val="21"/>
                <w:lang w:bidi="ar"/>
              </w:rPr>
              <w:t>4</w:t>
            </w:r>
            <w:r>
              <w:rPr>
                <w:rFonts w:hint="eastAsia" w:ascii="宋体" w:hAnsi="宋体" w:eastAsia="宋体" w:cs="等线"/>
                <w:color w:val="000000"/>
                <w:sz w:val="21"/>
                <w:szCs w:val="21"/>
                <w:lang w:bidi="ar"/>
              </w:rPr>
              <w:t>项）；</w:t>
            </w:r>
            <w:r>
              <w:rPr>
                <w:rFonts w:hint="eastAsia" w:ascii="宋体" w:hAnsi="宋体" w:eastAsia="宋体" w:cs="等线"/>
                <w:color w:val="000000"/>
                <w:sz w:val="21"/>
                <w:szCs w:val="21"/>
                <w:lang w:bidi="ar"/>
              </w:rPr>
              <w:br w:type="textWrapping"/>
            </w:r>
            <w:r>
              <w:rPr>
                <w:rFonts w:hint="eastAsia" w:ascii="宋体" w:hAnsi="宋体" w:eastAsia="宋体" w:cs="等线"/>
                <w:color w:val="000000"/>
                <w:sz w:val="21"/>
                <w:szCs w:val="21"/>
                <w:lang w:bidi="ar"/>
              </w:rPr>
              <w:t>以上对接设计方案较完整，基本满足采购需求，每提供1个得1分（最多不超过</w:t>
            </w:r>
            <w:r>
              <w:rPr>
                <w:rFonts w:ascii="宋体" w:hAnsi="宋体" w:eastAsia="宋体" w:cs="等线"/>
                <w:color w:val="000000"/>
                <w:sz w:val="21"/>
                <w:szCs w:val="21"/>
                <w:lang w:bidi="ar"/>
              </w:rPr>
              <w:t>4</w:t>
            </w:r>
            <w:r>
              <w:rPr>
                <w:rFonts w:hint="eastAsia" w:ascii="宋体" w:hAnsi="宋体" w:eastAsia="宋体" w:cs="等线"/>
                <w:color w:val="000000"/>
                <w:sz w:val="21"/>
                <w:szCs w:val="21"/>
                <w:lang w:bidi="ar"/>
              </w:rPr>
              <w:t>项）；</w:t>
            </w:r>
            <w:r>
              <w:rPr>
                <w:rFonts w:hint="eastAsia" w:ascii="宋体" w:hAnsi="宋体" w:eastAsia="宋体" w:cs="等线"/>
                <w:color w:val="000000"/>
                <w:sz w:val="21"/>
                <w:szCs w:val="21"/>
                <w:lang w:bidi="ar"/>
              </w:rPr>
              <w:br w:type="textWrapping"/>
            </w:r>
            <w:r>
              <w:rPr>
                <w:rFonts w:hint="eastAsia" w:ascii="宋体" w:hAnsi="宋体" w:eastAsia="宋体" w:cs="等线"/>
                <w:color w:val="000000"/>
                <w:sz w:val="21"/>
                <w:szCs w:val="21"/>
                <w:lang w:bidi="ar"/>
              </w:rPr>
              <w:t>未提供的，得0分。</w:t>
            </w:r>
          </w:p>
        </w:tc>
      </w:tr>
      <w:tr>
        <w:tblPrEx>
          <w:tblCellMar>
            <w:top w:w="0" w:type="dxa"/>
            <w:left w:w="108" w:type="dxa"/>
            <w:bottom w:w="0" w:type="dxa"/>
            <w:right w:w="108" w:type="dxa"/>
          </w:tblCellMar>
        </w:tblPrEx>
        <w:trPr>
          <w:trHeight w:val="949" w:hRule="atLeast"/>
        </w:trPr>
        <w:tc>
          <w:tcPr>
            <w:tcW w:w="661"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平台建设方案（23分）</w:t>
            </w:r>
          </w:p>
        </w:tc>
        <w:tc>
          <w:tcPr>
            <w:tcW w:w="67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公众侧门户</w:t>
            </w:r>
          </w:p>
        </w:tc>
        <w:tc>
          <w:tcPr>
            <w:tcW w:w="366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等线"/>
                <w:color w:val="000000"/>
                <w:sz w:val="21"/>
                <w:szCs w:val="21"/>
              </w:rPr>
            </w:pPr>
            <w:r>
              <w:rPr>
                <w:rStyle w:val="251"/>
                <w:rFonts w:hint="default" w:ascii="宋体" w:hAnsi="宋体" w:eastAsia="宋体"/>
                <w:sz w:val="21"/>
                <w:szCs w:val="21"/>
                <w:lang w:bidi="ar"/>
              </w:rPr>
              <w:t xml:space="preserve">投标人按要求提供公众侧门户各功能模块的系统设计方案。（3分）   </w:t>
            </w:r>
            <w:r>
              <w:rPr>
                <w:rStyle w:val="252"/>
                <w:rFonts w:hint="default" w:ascii="宋体" w:hAnsi="宋体" w:eastAsia="宋体"/>
                <w:sz w:val="21"/>
                <w:szCs w:val="21"/>
                <w:lang w:bidi="ar"/>
              </w:rPr>
              <w:t xml:space="preserve">                                                                      </w:t>
            </w:r>
            <w:r>
              <w:rPr>
                <w:rStyle w:val="252"/>
                <w:rFonts w:hint="default" w:ascii="宋体" w:hAnsi="宋体" w:eastAsia="宋体"/>
                <w:sz w:val="21"/>
                <w:szCs w:val="21"/>
                <w:lang w:bidi="ar"/>
              </w:rPr>
              <w:br w:type="textWrapping"/>
            </w:r>
            <w:r>
              <w:rPr>
                <w:rStyle w:val="252"/>
                <w:rFonts w:hint="default" w:ascii="宋体" w:hAnsi="宋体" w:eastAsia="宋体"/>
                <w:sz w:val="21"/>
                <w:szCs w:val="21"/>
                <w:lang w:bidi="ar"/>
              </w:rPr>
              <w:t xml:space="preserve"> 系统方案内容完整，功能设计可行度高，能够接入统一政务服务平台，以及为用户提供统一认证的登录方式，完全满足或优于用户需求得3分；方案内容基本完整，功能设计可行度有限，或未能完全满足用户需求得1分；其他情况得0分。</w:t>
            </w:r>
          </w:p>
        </w:tc>
      </w:tr>
      <w:tr>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color w:val="000000"/>
                <w:sz w:val="21"/>
                <w:szCs w:val="21"/>
              </w:rPr>
            </w:pPr>
          </w:p>
        </w:tc>
        <w:tc>
          <w:tcPr>
            <w:tcW w:w="67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全渠道业务接收平台</w:t>
            </w:r>
          </w:p>
        </w:tc>
        <w:tc>
          <w:tcPr>
            <w:tcW w:w="366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等线"/>
                <w:color w:val="000000"/>
                <w:sz w:val="21"/>
                <w:szCs w:val="21"/>
              </w:rPr>
            </w:pPr>
            <w:r>
              <w:rPr>
                <w:rStyle w:val="251"/>
                <w:rFonts w:hint="default" w:ascii="宋体" w:hAnsi="宋体" w:eastAsia="宋体"/>
                <w:sz w:val="21"/>
                <w:szCs w:val="21"/>
                <w:lang w:bidi="ar"/>
              </w:rPr>
              <w:t xml:space="preserve">投标人按要求提供全渠道业务接收平台各功能模块的系统设计方案。（3分）            </w:t>
            </w:r>
            <w:r>
              <w:rPr>
                <w:rStyle w:val="252"/>
                <w:rFonts w:hint="default" w:ascii="宋体" w:hAnsi="宋体" w:eastAsia="宋体"/>
                <w:sz w:val="21"/>
                <w:szCs w:val="21"/>
                <w:lang w:bidi="ar"/>
              </w:rPr>
              <w:t xml:space="preserve">                                                             </w:t>
            </w:r>
            <w:r>
              <w:rPr>
                <w:rStyle w:val="252"/>
                <w:rFonts w:hint="default" w:ascii="宋体" w:hAnsi="宋体" w:eastAsia="宋体"/>
                <w:sz w:val="21"/>
                <w:szCs w:val="21"/>
                <w:lang w:bidi="ar"/>
              </w:rPr>
              <w:br w:type="textWrapping"/>
            </w:r>
            <w:r>
              <w:rPr>
                <w:rStyle w:val="252"/>
                <w:rFonts w:hint="default" w:ascii="宋体" w:hAnsi="宋体" w:eastAsia="宋体"/>
                <w:sz w:val="21"/>
                <w:szCs w:val="21"/>
                <w:lang w:bidi="ar"/>
              </w:rPr>
              <w:t xml:space="preserve"> 系统方案内容完整，功能设计可行度高，完全满足或优于用户需求得3分；方案内容基本完整，功能设计可行度有限，或未能完全满足用户需求得1分；其他情况得0分。</w:t>
            </w:r>
          </w:p>
        </w:tc>
      </w:tr>
      <w:tr>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color w:val="000000"/>
                <w:sz w:val="21"/>
                <w:szCs w:val="21"/>
              </w:rPr>
            </w:pPr>
          </w:p>
        </w:tc>
        <w:tc>
          <w:tcPr>
            <w:tcW w:w="67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投诉业务管理平台</w:t>
            </w:r>
          </w:p>
        </w:tc>
        <w:tc>
          <w:tcPr>
            <w:tcW w:w="366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等线"/>
                <w:color w:val="000000"/>
                <w:sz w:val="21"/>
                <w:szCs w:val="21"/>
              </w:rPr>
            </w:pPr>
            <w:r>
              <w:rPr>
                <w:rStyle w:val="251"/>
                <w:rFonts w:hint="default" w:ascii="宋体" w:hAnsi="宋体" w:eastAsia="宋体"/>
                <w:sz w:val="21"/>
                <w:szCs w:val="21"/>
                <w:lang w:bidi="ar"/>
              </w:rPr>
              <w:t xml:space="preserve">投标人按要求提供调解业务管理平台各功能模块的系统设计方案。（3分）   </w:t>
            </w:r>
            <w:r>
              <w:rPr>
                <w:rStyle w:val="252"/>
                <w:rFonts w:hint="default" w:ascii="宋体" w:hAnsi="宋体" w:eastAsia="宋体"/>
                <w:sz w:val="21"/>
                <w:szCs w:val="21"/>
                <w:lang w:bidi="ar"/>
              </w:rPr>
              <w:t xml:space="preserve">                                                                      </w:t>
            </w:r>
            <w:r>
              <w:rPr>
                <w:rStyle w:val="252"/>
                <w:rFonts w:hint="default" w:ascii="宋体" w:hAnsi="宋体" w:eastAsia="宋体"/>
                <w:sz w:val="21"/>
                <w:szCs w:val="21"/>
                <w:lang w:bidi="ar"/>
              </w:rPr>
              <w:br w:type="textWrapping"/>
            </w:r>
            <w:r>
              <w:rPr>
                <w:rStyle w:val="252"/>
                <w:rFonts w:hint="default" w:ascii="宋体" w:hAnsi="宋体" w:eastAsia="宋体"/>
                <w:sz w:val="21"/>
                <w:szCs w:val="21"/>
                <w:lang w:bidi="ar"/>
              </w:rPr>
              <w:t xml:space="preserve"> 系统方案内容完整，功能设计可行度高，能够提供投诉业务的详细业务流程，完全满足或优于用户需求得3分；方案内容基本完整，功能设计可行度有限，或未能完全满足用户需求得1分；其他情况得0分。</w:t>
            </w:r>
          </w:p>
        </w:tc>
      </w:tr>
      <w:tr>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color w:val="000000"/>
                <w:sz w:val="21"/>
                <w:szCs w:val="21"/>
              </w:rPr>
            </w:pPr>
          </w:p>
        </w:tc>
        <w:tc>
          <w:tcPr>
            <w:tcW w:w="67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调解业务管理平台</w:t>
            </w:r>
          </w:p>
        </w:tc>
        <w:tc>
          <w:tcPr>
            <w:tcW w:w="366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等线"/>
                <w:color w:val="000000"/>
                <w:sz w:val="21"/>
                <w:szCs w:val="21"/>
              </w:rPr>
            </w:pPr>
            <w:r>
              <w:rPr>
                <w:rStyle w:val="251"/>
                <w:rFonts w:hint="default" w:ascii="宋体" w:hAnsi="宋体" w:eastAsia="宋体"/>
                <w:sz w:val="21"/>
                <w:szCs w:val="21"/>
                <w:lang w:bidi="ar"/>
              </w:rPr>
              <w:t xml:space="preserve">投标人按要求提供调解业务管理平台各功能模块的系统设计方案，（3分）        </w:t>
            </w:r>
            <w:r>
              <w:rPr>
                <w:rStyle w:val="252"/>
                <w:rFonts w:hint="default" w:ascii="宋体" w:hAnsi="宋体" w:eastAsia="宋体"/>
                <w:sz w:val="21"/>
                <w:szCs w:val="21"/>
                <w:lang w:bidi="ar"/>
              </w:rPr>
              <w:t xml:space="preserve">                                                                 </w:t>
            </w:r>
            <w:r>
              <w:rPr>
                <w:rStyle w:val="252"/>
                <w:rFonts w:hint="default" w:ascii="宋体" w:hAnsi="宋体" w:eastAsia="宋体"/>
                <w:sz w:val="21"/>
                <w:szCs w:val="21"/>
                <w:lang w:bidi="ar"/>
              </w:rPr>
              <w:br w:type="textWrapping"/>
            </w:r>
            <w:r>
              <w:rPr>
                <w:rStyle w:val="252"/>
                <w:rFonts w:hint="default" w:ascii="宋体" w:hAnsi="宋体" w:eastAsia="宋体"/>
                <w:sz w:val="21"/>
                <w:szCs w:val="21"/>
                <w:lang w:bidi="ar"/>
              </w:rPr>
              <w:t xml:space="preserve"> 系统方案内容完整，功能设计可行度高，能够提供调解业务的详细业务流程，完全满足或优于用户需求得3分；方案内容基本完整，功能设计可行度有限，或未能完全满足用户需求得1分；其他情况得0分。</w:t>
            </w: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color w:val="000000"/>
                <w:sz w:val="21"/>
                <w:szCs w:val="21"/>
              </w:rPr>
            </w:pPr>
          </w:p>
        </w:tc>
        <w:tc>
          <w:tcPr>
            <w:tcW w:w="67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数据统计与监测分析平台</w:t>
            </w:r>
          </w:p>
        </w:tc>
        <w:tc>
          <w:tcPr>
            <w:tcW w:w="366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等线"/>
                <w:color w:val="000000"/>
                <w:sz w:val="21"/>
                <w:szCs w:val="21"/>
              </w:rPr>
            </w:pPr>
            <w:r>
              <w:rPr>
                <w:rStyle w:val="251"/>
                <w:rFonts w:hint="default" w:ascii="宋体" w:hAnsi="宋体" w:eastAsia="宋体"/>
                <w:sz w:val="21"/>
                <w:szCs w:val="21"/>
                <w:lang w:bidi="ar"/>
              </w:rPr>
              <w:t xml:space="preserve">投标人按要求提供数据统计与监测分析平台各功能模块的系统设计方案。（3分）     </w:t>
            </w:r>
            <w:r>
              <w:rPr>
                <w:rStyle w:val="252"/>
                <w:rFonts w:hint="default" w:ascii="宋体" w:hAnsi="宋体" w:eastAsia="宋体"/>
                <w:sz w:val="21"/>
                <w:szCs w:val="21"/>
                <w:lang w:bidi="ar"/>
              </w:rPr>
              <w:t xml:space="preserve">                                                                    </w:t>
            </w:r>
            <w:r>
              <w:rPr>
                <w:rStyle w:val="252"/>
                <w:rFonts w:hint="default" w:ascii="宋体" w:hAnsi="宋体" w:eastAsia="宋体"/>
                <w:sz w:val="21"/>
                <w:szCs w:val="21"/>
                <w:lang w:bidi="ar"/>
              </w:rPr>
              <w:br w:type="textWrapping"/>
            </w:r>
            <w:r>
              <w:rPr>
                <w:rStyle w:val="252"/>
                <w:rFonts w:hint="default" w:ascii="宋体" w:hAnsi="宋体" w:eastAsia="宋体"/>
                <w:sz w:val="21"/>
                <w:szCs w:val="21"/>
                <w:lang w:bidi="ar"/>
              </w:rPr>
              <w:t xml:space="preserve"> 系统方案内容完整，功能设计可行度高，数据展示模块能够提供完整的政务侧移动办公平台接入方案，完全满足或优于用户需求得3分；方案内容基本完整，功能设计可行度有限，或未能完全满足用户需求得1分；其他情况得0分。</w:t>
            </w:r>
          </w:p>
        </w:tc>
      </w:tr>
      <w:tr>
        <w:tblPrEx>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color w:val="000000"/>
                <w:sz w:val="21"/>
                <w:szCs w:val="21"/>
              </w:rPr>
            </w:pPr>
          </w:p>
        </w:tc>
        <w:tc>
          <w:tcPr>
            <w:tcW w:w="675" w:type="pct"/>
            <w:tcBorders>
              <w:top w:val="single" w:color="000000" w:sz="4" w:space="0"/>
              <w:left w:val="single" w:color="000000" w:sz="4" w:space="0"/>
              <w:bottom w:val="single" w:color="000000" w:sz="4" w:space="0"/>
              <w:right w:val="single" w:color="000000" w:sz="4" w:space="0"/>
            </w:tcBorders>
            <w:vAlign w:val="center"/>
          </w:tcPr>
          <w:p>
            <w:pPr>
              <w:spacing w:after="160"/>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知识交流平台</w:t>
            </w:r>
          </w:p>
        </w:tc>
        <w:tc>
          <w:tcPr>
            <w:tcW w:w="366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等线"/>
                <w:color w:val="000000"/>
                <w:sz w:val="21"/>
                <w:szCs w:val="21"/>
              </w:rPr>
            </w:pPr>
            <w:r>
              <w:rPr>
                <w:rStyle w:val="251"/>
                <w:rFonts w:hint="default" w:ascii="宋体" w:hAnsi="宋体" w:eastAsia="宋体"/>
                <w:sz w:val="21"/>
                <w:szCs w:val="21"/>
                <w:lang w:bidi="ar"/>
              </w:rPr>
              <w:t xml:space="preserve">投标人按要求提供知识交流平台各功能模块的设计方案。（3分）         </w:t>
            </w:r>
            <w:r>
              <w:rPr>
                <w:rStyle w:val="252"/>
                <w:rFonts w:hint="default" w:ascii="宋体" w:hAnsi="宋体" w:eastAsia="宋体"/>
                <w:sz w:val="21"/>
                <w:szCs w:val="21"/>
                <w:lang w:bidi="ar"/>
              </w:rPr>
              <w:t xml:space="preserve">                                                                </w:t>
            </w:r>
            <w:r>
              <w:rPr>
                <w:rStyle w:val="252"/>
                <w:rFonts w:hint="default" w:ascii="宋体" w:hAnsi="宋体" w:eastAsia="宋体"/>
                <w:sz w:val="21"/>
                <w:szCs w:val="21"/>
                <w:lang w:bidi="ar"/>
              </w:rPr>
              <w:br w:type="textWrapping"/>
            </w:r>
            <w:r>
              <w:rPr>
                <w:rStyle w:val="252"/>
                <w:rFonts w:hint="default" w:ascii="宋体" w:hAnsi="宋体" w:eastAsia="宋体"/>
                <w:sz w:val="21"/>
                <w:szCs w:val="21"/>
                <w:lang w:bidi="ar"/>
              </w:rPr>
              <w:t xml:space="preserve"> 系统方案内容完整，功能设计可行度高，完全满足或优于用户需求得3分；方案内容基本完整，功能设计可行度有限，或未能完全满足用户需求得1分；其他情况得0分。</w:t>
            </w:r>
          </w:p>
        </w:tc>
      </w:tr>
      <w:tr>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color w:val="000000"/>
                <w:sz w:val="21"/>
                <w:szCs w:val="21"/>
              </w:rPr>
            </w:pPr>
          </w:p>
        </w:tc>
        <w:tc>
          <w:tcPr>
            <w:tcW w:w="67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粤港澳调解平台</w:t>
            </w:r>
          </w:p>
        </w:tc>
        <w:tc>
          <w:tcPr>
            <w:tcW w:w="366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等线"/>
                <w:color w:val="000000"/>
                <w:sz w:val="21"/>
                <w:szCs w:val="21"/>
              </w:rPr>
            </w:pPr>
            <w:r>
              <w:rPr>
                <w:rStyle w:val="251"/>
                <w:rFonts w:hint="default" w:ascii="宋体" w:hAnsi="宋体" w:eastAsia="宋体"/>
                <w:sz w:val="21"/>
                <w:szCs w:val="21"/>
                <w:lang w:bidi="ar"/>
              </w:rPr>
              <w:t xml:space="preserve">投标人按要求提供粤港澳调解平台各功能模块的系统设计方案。（3分）            </w:t>
            </w:r>
            <w:r>
              <w:rPr>
                <w:rStyle w:val="252"/>
                <w:rFonts w:hint="default" w:ascii="宋体" w:hAnsi="宋体" w:eastAsia="宋体"/>
                <w:sz w:val="21"/>
                <w:szCs w:val="21"/>
                <w:lang w:bidi="ar"/>
              </w:rPr>
              <w:t xml:space="preserve">                                                             </w:t>
            </w:r>
            <w:r>
              <w:rPr>
                <w:rStyle w:val="252"/>
                <w:rFonts w:hint="default" w:ascii="宋体" w:hAnsi="宋体" w:eastAsia="宋体"/>
                <w:sz w:val="21"/>
                <w:szCs w:val="21"/>
                <w:lang w:bidi="ar"/>
              </w:rPr>
              <w:br w:type="textWrapping"/>
            </w:r>
            <w:r>
              <w:rPr>
                <w:rStyle w:val="252"/>
                <w:rFonts w:hint="default" w:ascii="宋体" w:hAnsi="宋体" w:eastAsia="宋体"/>
                <w:sz w:val="21"/>
                <w:szCs w:val="21"/>
                <w:lang w:bidi="ar"/>
              </w:rPr>
              <w:t xml:space="preserve"> 系统方案内容完整，功能设计可行度高，完全满足或优于用户需求得3分；方案内容基本完整，功能设计可行度有限，或未能完全满足用户需求得1分；其他情况得0分。</w:t>
            </w:r>
          </w:p>
        </w:tc>
      </w:tr>
      <w:tr>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color w:val="000000"/>
                <w:sz w:val="21"/>
                <w:szCs w:val="21"/>
              </w:rPr>
            </w:pPr>
          </w:p>
        </w:tc>
        <w:tc>
          <w:tcPr>
            <w:tcW w:w="675" w:type="pct"/>
            <w:tcBorders>
              <w:top w:val="nil"/>
              <w:left w:val="single" w:color="000000" w:sz="4" w:space="0"/>
              <w:bottom w:val="nil"/>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非功能设计方案</w:t>
            </w:r>
          </w:p>
        </w:tc>
        <w:tc>
          <w:tcPr>
            <w:tcW w:w="366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等线"/>
                <w:color w:val="000000"/>
                <w:sz w:val="21"/>
                <w:szCs w:val="21"/>
              </w:rPr>
            </w:pPr>
            <w:r>
              <w:rPr>
                <w:rStyle w:val="251"/>
                <w:rFonts w:hint="default" w:ascii="宋体" w:hAnsi="宋体" w:eastAsia="宋体"/>
                <w:sz w:val="21"/>
                <w:szCs w:val="21"/>
                <w:lang w:bidi="ar"/>
              </w:rPr>
              <w:t xml:space="preserve">投标人按要求提供非功能设计方案。 （2分）     </w:t>
            </w:r>
            <w:r>
              <w:rPr>
                <w:rStyle w:val="252"/>
                <w:rFonts w:hint="default" w:ascii="宋体" w:hAnsi="宋体" w:eastAsia="宋体"/>
                <w:sz w:val="21"/>
                <w:szCs w:val="21"/>
                <w:lang w:bidi="ar"/>
              </w:rPr>
              <w:t xml:space="preserve">                                                                </w:t>
            </w:r>
            <w:r>
              <w:rPr>
                <w:rStyle w:val="252"/>
                <w:rFonts w:hint="default" w:ascii="宋体" w:hAnsi="宋体" w:eastAsia="宋体"/>
                <w:sz w:val="21"/>
                <w:szCs w:val="21"/>
                <w:lang w:bidi="ar"/>
              </w:rPr>
              <w:br w:type="textWrapping"/>
            </w:r>
            <w:r>
              <w:rPr>
                <w:rStyle w:val="252"/>
                <w:rFonts w:hint="default" w:ascii="宋体" w:hAnsi="宋体" w:eastAsia="宋体"/>
                <w:sz w:val="21"/>
                <w:szCs w:val="21"/>
                <w:lang w:bidi="ar"/>
              </w:rPr>
              <w:t xml:space="preserve"> 系统方案内容完整，设计可行度高，完全满足或优于用户需求得2分；方案内容基本完整，设计可行度有限，或未能完全满足用户需求得1分；其他情况得0分。</w:t>
            </w:r>
          </w:p>
        </w:tc>
      </w:tr>
      <w:tr>
        <w:tblPrEx>
          <w:tblCellMar>
            <w:top w:w="0" w:type="dxa"/>
            <w:left w:w="108" w:type="dxa"/>
            <w:bottom w:w="0" w:type="dxa"/>
            <w:right w:w="108" w:type="dxa"/>
          </w:tblCellMar>
        </w:tblPrEx>
        <w:trPr>
          <w:trHeight w:val="480" w:hRule="atLeast"/>
        </w:trPr>
        <w:tc>
          <w:tcPr>
            <w:tcW w:w="1336" w:type="pct"/>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组织实施方案（3分）</w:t>
            </w:r>
          </w:p>
        </w:tc>
        <w:tc>
          <w:tcPr>
            <w:tcW w:w="366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等线"/>
                <w:b/>
                <w:bCs/>
                <w:color w:val="000000"/>
                <w:sz w:val="21"/>
                <w:szCs w:val="21"/>
              </w:rPr>
            </w:pPr>
            <w:r>
              <w:rPr>
                <w:rFonts w:hint="eastAsia" w:ascii="宋体" w:hAnsi="宋体" w:eastAsia="宋体" w:cs="等线"/>
                <w:b/>
                <w:bCs/>
                <w:color w:val="000000"/>
                <w:sz w:val="21"/>
                <w:szCs w:val="21"/>
                <w:lang w:bidi="ar"/>
              </w:rPr>
              <w:t xml:space="preserve">投标人需根据技术服务要求编制组织实施方案，方案内容需包括项目组织、管理、进度计划安排、项目质量管理、验收、培训等方案。（3分）   </w:t>
            </w:r>
          </w:p>
        </w:tc>
      </w:tr>
      <w:tr>
        <w:tblPrEx>
          <w:tblCellMar>
            <w:top w:w="0" w:type="dxa"/>
            <w:left w:w="108" w:type="dxa"/>
            <w:bottom w:w="0" w:type="dxa"/>
            <w:right w:w="108" w:type="dxa"/>
          </w:tblCellMar>
        </w:tblPrEx>
        <w:trPr>
          <w:trHeight w:val="7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color w:val="000000"/>
                <w:sz w:val="21"/>
                <w:szCs w:val="21"/>
              </w:rPr>
            </w:pPr>
          </w:p>
        </w:tc>
        <w:tc>
          <w:tcPr>
            <w:tcW w:w="366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等线"/>
                <w:color w:val="000000"/>
                <w:sz w:val="21"/>
                <w:szCs w:val="21"/>
              </w:rPr>
            </w:pPr>
            <w:r>
              <w:rPr>
                <w:rFonts w:hint="eastAsia" w:ascii="宋体" w:hAnsi="宋体" w:eastAsia="宋体" w:cs="等线"/>
                <w:color w:val="000000"/>
                <w:sz w:val="21"/>
                <w:szCs w:val="21"/>
                <w:lang w:bidi="ar"/>
              </w:rPr>
              <w:t>以上方案贴合要求，设计合理完备、详细清晰、可行性高，完全满足并优于采购需求，得</w:t>
            </w:r>
            <w:r>
              <w:rPr>
                <w:rFonts w:ascii="宋体" w:hAnsi="宋体" w:eastAsia="宋体" w:cs="等线"/>
                <w:color w:val="000000"/>
                <w:sz w:val="21"/>
                <w:szCs w:val="21"/>
                <w:lang w:bidi="ar"/>
              </w:rPr>
              <w:t>3</w:t>
            </w:r>
            <w:r>
              <w:rPr>
                <w:rFonts w:hint="eastAsia" w:ascii="宋体" w:hAnsi="宋体" w:eastAsia="宋体" w:cs="等线"/>
                <w:color w:val="000000"/>
                <w:sz w:val="21"/>
                <w:szCs w:val="21"/>
                <w:lang w:bidi="ar"/>
              </w:rPr>
              <w:t>分；</w:t>
            </w:r>
            <w:r>
              <w:rPr>
                <w:rFonts w:hint="eastAsia" w:ascii="宋体" w:hAnsi="宋体" w:eastAsia="宋体" w:cs="等线"/>
                <w:color w:val="000000"/>
                <w:sz w:val="21"/>
                <w:szCs w:val="21"/>
                <w:lang w:bidi="ar"/>
              </w:rPr>
              <w:br w:type="textWrapping"/>
            </w:r>
            <w:r>
              <w:rPr>
                <w:rFonts w:hint="eastAsia" w:ascii="宋体" w:hAnsi="宋体" w:eastAsia="宋体" w:cs="等线"/>
                <w:color w:val="000000"/>
                <w:sz w:val="21"/>
                <w:szCs w:val="21"/>
                <w:lang w:bidi="ar"/>
              </w:rPr>
              <w:t>以上方案较完整详细、可行，完全满足采购需求，得1分；</w:t>
            </w:r>
            <w:r>
              <w:rPr>
                <w:rFonts w:hint="eastAsia" w:ascii="宋体" w:hAnsi="宋体" w:eastAsia="宋体" w:cs="等线"/>
                <w:color w:val="000000"/>
                <w:sz w:val="21"/>
                <w:szCs w:val="21"/>
                <w:lang w:bidi="ar"/>
              </w:rPr>
              <w:br w:type="textWrapping"/>
            </w:r>
            <w:r>
              <w:rPr>
                <w:rFonts w:hint="eastAsia" w:ascii="宋体" w:hAnsi="宋体" w:eastAsia="宋体" w:cs="等线"/>
                <w:color w:val="000000"/>
                <w:sz w:val="21"/>
                <w:szCs w:val="21"/>
                <w:lang w:bidi="ar"/>
              </w:rPr>
              <w:t>未提供的，得0分。</w:t>
            </w:r>
          </w:p>
        </w:tc>
      </w:tr>
      <w:tr>
        <w:tblPrEx>
          <w:tblCellMar>
            <w:top w:w="0" w:type="dxa"/>
            <w:left w:w="108" w:type="dxa"/>
            <w:bottom w:w="0" w:type="dxa"/>
            <w:right w:w="108" w:type="dxa"/>
          </w:tblCellMar>
        </w:tblPrEx>
        <w:trPr>
          <w:trHeight w:val="960" w:hRule="atLeast"/>
        </w:trPr>
        <w:tc>
          <w:tcPr>
            <w:tcW w:w="1336" w:type="pct"/>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技术保障及售后服务（5分）</w:t>
            </w:r>
          </w:p>
        </w:tc>
        <w:tc>
          <w:tcPr>
            <w:tcW w:w="366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等线"/>
                <w:b/>
                <w:bCs/>
                <w:color w:val="000000"/>
                <w:sz w:val="21"/>
                <w:szCs w:val="21"/>
              </w:rPr>
            </w:pPr>
            <w:r>
              <w:rPr>
                <w:rFonts w:hint="eastAsia" w:ascii="宋体" w:hAnsi="宋体" w:eastAsia="宋体" w:cs="等线"/>
                <w:b/>
                <w:bCs/>
                <w:color w:val="000000"/>
                <w:sz w:val="21"/>
                <w:szCs w:val="21"/>
                <w:lang w:bidi="ar"/>
              </w:rPr>
              <w:t>投标人直接跟踪服务，在项目所在地提供便捷服务响应能力，具备广东省2小时内提供现场服务支撑能力：</w:t>
            </w:r>
            <w:r>
              <w:rPr>
                <w:rFonts w:hint="eastAsia" w:ascii="宋体" w:hAnsi="宋体" w:eastAsia="宋体" w:cs="等线"/>
                <w:b/>
                <w:bCs/>
                <w:color w:val="000000"/>
                <w:sz w:val="21"/>
                <w:szCs w:val="21"/>
                <w:lang w:bidi="ar"/>
              </w:rPr>
              <w:br w:type="textWrapping"/>
            </w:r>
            <w:r>
              <w:rPr>
                <w:rFonts w:hint="eastAsia" w:ascii="宋体" w:hAnsi="宋体" w:eastAsia="宋体" w:cs="等线"/>
                <w:b/>
                <w:bCs/>
                <w:color w:val="000000"/>
                <w:sz w:val="21"/>
                <w:szCs w:val="21"/>
                <w:lang w:bidi="ar"/>
              </w:rPr>
              <w:t>1）如广东省内有地市分支机构，可提供营业执照证明；</w:t>
            </w:r>
            <w:r>
              <w:rPr>
                <w:rFonts w:hint="eastAsia" w:ascii="宋体" w:hAnsi="宋体" w:eastAsia="宋体" w:cs="等线"/>
                <w:b/>
                <w:bCs/>
                <w:color w:val="000000"/>
                <w:sz w:val="21"/>
                <w:szCs w:val="21"/>
                <w:lang w:bidi="ar"/>
              </w:rPr>
              <w:br w:type="textWrapping"/>
            </w:r>
            <w:r>
              <w:rPr>
                <w:rFonts w:hint="eastAsia" w:ascii="宋体" w:hAnsi="宋体" w:eastAsia="宋体" w:cs="等线"/>
                <w:b/>
                <w:bCs/>
                <w:color w:val="000000"/>
                <w:sz w:val="21"/>
                <w:szCs w:val="21"/>
                <w:lang w:bidi="ar"/>
              </w:rPr>
              <w:t xml:space="preserve">2）提供人员常驻办公地点及证明材料，例如房屋租赁合同、产权等；（5分）   </w:t>
            </w:r>
          </w:p>
        </w:tc>
      </w:tr>
      <w:tr>
        <w:tblPrEx>
          <w:tblCellMar>
            <w:top w:w="0" w:type="dxa"/>
            <w:left w:w="108" w:type="dxa"/>
            <w:bottom w:w="0" w:type="dxa"/>
            <w:right w:w="108" w:type="dxa"/>
          </w:tblCellMar>
        </w:tblPrEx>
        <w:trPr>
          <w:trHeight w:val="289"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adjustRightInd/>
              <w:snapToGrid/>
              <w:spacing w:after="0"/>
              <w:rPr>
                <w:rFonts w:ascii="宋体" w:hAnsi="宋体" w:eastAsia="宋体" w:cs="宋体"/>
                <w:color w:val="000000"/>
                <w:sz w:val="21"/>
                <w:szCs w:val="21"/>
              </w:rPr>
            </w:pPr>
          </w:p>
        </w:tc>
        <w:tc>
          <w:tcPr>
            <w:tcW w:w="3663" w:type="pct"/>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hAnsi="宋体" w:eastAsia="宋体" w:cs="等线"/>
                <w:color w:val="000000"/>
                <w:sz w:val="21"/>
                <w:szCs w:val="21"/>
              </w:rPr>
            </w:pPr>
            <w:r>
              <w:rPr>
                <w:rFonts w:hint="eastAsia" w:ascii="宋体" w:hAnsi="宋体" w:eastAsia="宋体" w:cs="等线"/>
                <w:color w:val="000000"/>
                <w:sz w:val="21"/>
                <w:szCs w:val="21"/>
                <w:lang w:bidi="ar"/>
              </w:rPr>
              <w:t>每提供1个广东省地市现场服务支撑能力证明材料，得0.5分，本项共5分。</w:t>
            </w:r>
          </w:p>
        </w:tc>
      </w:tr>
    </w:tbl>
    <w:p/>
    <w:p>
      <w:pPr>
        <w:spacing w:line="360" w:lineRule="auto"/>
        <w:outlineLvl w:val="0"/>
        <w:rPr>
          <w:rStyle w:val="193"/>
          <w:rFonts w:ascii="宋体" w:hAnsi="宋体" w:cs="Times New Roman"/>
          <w:sz w:val="20"/>
          <w:szCs w:val="20"/>
        </w:rPr>
      </w:pPr>
      <w:bookmarkStart w:id="1156" w:name="_Toc12852"/>
      <w:r>
        <w:rPr>
          <w:rStyle w:val="193"/>
          <w:rFonts w:hint="eastAsia" w:ascii="宋体" w:hAnsi="宋体" w:cs="Times New Roman"/>
          <w:sz w:val="20"/>
          <w:szCs w:val="20"/>
        </w:rPr>
        <w:t>说明：评标委员会决定投标的响应性仅根据投标文件本身的内容，而不寻求外部的证据。评分标准涉及到需提供的资料、文件等必须是真实有效的，弄虚作假者一经查实其投标将做无效投标处理，同时该供应商相关违法行为将提交到同级或上级监督管理部门处理。</w:t>
      </w:r>
      <w:bookmarkEnd w:id="1156"/>
    </w:p>
    <w:p>
      <w:pPr>
        <w:jc w:val="center"/>
        <w:rPr>
          <w:rFonts w:cs="宋体"/>
          <w:b/>
          <w:bCs/>
          <w:spacing w:val="7"/>
          <w:sz w:val="28"/>
          <w:szCs w:val="28"/>
        </w:rPr>
      </w:pPr>
      <w:r>
        <w:rPr>
          <w:rStyle w:val="193"/>
          <w:rFonts w:hint="eastAsia" w:ascii="宋体" w:hAnsi="宋体" w:cs="Times New Roman"/>
          <w:szCs w:val="21"/>
        </w:rPr>
        <w:br w:type="page"/>
      </w:r>
      <w:r>
        <w:rPr>
          <w:rFonts w:hint="eastAsia" w:ascii="宋体" w:hAnsi="宋体" w:cs="宋体"/>
          <w:b/>
          <w:bCs/>
          <w:spacing w:val="7"/>
          <w:sz w:val="28"/>
          <w:szCs w:val="28"/>
        </w:rPr>
        <w:t>价格评分表(10分)</w:t>
      </w:r>
    </w:p>
    <w:p>
      <w:pPr>
        <w:spacing w:line="360" w:lineRule="auto"/>
        <w:jc w:val="both"/>
        <w:outlineLvl w:val="0"/>
        <w:rPr>
          <w:rStyle w:val="193"/>
          <w:rFonts w:ascii="宋体" w:hAnsi="宋体" w:cs="Times New Roman"/>
          <w:sz w:val="20"/>
          <w:szCs w:val="20"/>
        </w:rPr>
      </w:pPr>
      <w:bookmarkStart w:id="1157" w:name="_Toc6585"/>
      <w:r>
        <w:rPr>
          <w:rStyle w:val="193"/>
          <w:rFonts w:ascii="宋体" w:hAnsi="宋体" w:cs="Times New Roman"/>
          <w:sz w:val="20"/>
          <w:szCs w:val="20"/>
        </w:rPr>
        <w:t>1.</w:t>
      </w:r>
      <w:r>
        <w:rPr>
          <w:rStyle w:val="193"/>
          <w:rFonts w:hint="eastAsia" w:ascii="宋体" w:hAnsi="宋体" w:cs="Times New Roman"/>
          <w:sz w:val="20"/>
          <w:szCs w:val="20"/>
        </w:rPr>
        <w:t>本项目的评审参考价计算设置有效报价区间，区间范围为最高限价的</w:t>
      </w:r>
      <w:r>
        <w:rPr>
          <w:rStyle w:val="193"/>
          <w:rFonts w:ascii="宋体" w:hAnsi="宋体" w:cs="Times New Roman"/>
          <w:sz w:val="20"/>
          <w:szCs w:val="20"/>
        </w:rPr>
        <w:t>80%</w:t>
      </w:r>
      <w:r>
        <w:rPr>
          <w:rStyle w:val="193"/>
          <w:rFonts w:hint="eastAsia" w:ascii="宋体" w:hAnsi="宋体" w:cs="Times New Roman"/>
          <w:sz w:val="20"/>
          <w:szCs w:val="20"/>
        </w:rPr>
        <w:t>至最高限价之间。</w:t>
      </w:r>
    </w:p>
    <w:p>
      <w:pPr>
        <w:spacing w:line="360" w:lineRule="auto"/>
        <w:jc w:val="both"/>
        <w:outlineLvl w:val="0"/>
        <w:rPr>
          <w:rStyle w:val="193"/>
          <w:rFonts w:ascii="宋体" w:hAnsi="宋体" w:cs="Times New Roman"/>
          <w:sz w:val="20"/>
          <w:szCs w:val="20"/>
        </w:rPr>
      </w:pPr>
      <w:r>
        <w:rPr>
          <w:rStyle w:val="193"/>
          <w:rFonts w:ascii="宋体" w:hAnsi="宋体" w:cs="Times New Roman"/>
          <w:sz w:val="20"/>
          <w:szCs w:val="20"/>
        </w:rPr>
        <w:t>2.</w:t>
      </w:r>
      <w:r>
        <w:rPr>
          <w:rStyle w:val="193"/>
          <w:rFonts w:hint="eastAsia" w:ascii="宋体" w:hAnsi="宋体" w:cs="Times New Roman"/>
          <w:sz w:val="20"/>
          <w:szCs w:val="20"/>
        </w:rPr>
        <w:t>在有效报价区间内，取在有效报价区间中的有效项目报价的算术平均值作为评审参考价。</w:t>
      </w:r>
    </w:p>
    <w:p>
      <w:pPr>
        <w:spacing w:line="360" w:lineRule="auto"/>
        <w:jc w:val="both"/>
        <w:outlineLvl w:val="0"/>
        <w:rPr>
          <w:rStyle w:val="193"/>
          <w:rFonts w:ascii="宋体" w:hAnsi="宋体" w:cs="Times New Roman"/>
          <w:sz w:val="20"/>
          <w:szCs w:val="20"/>
        </w:rPr>
      </w:pPr>
      <w:r>
        <w:rPr>
          <w:rStyle w:val="193"/>
          <w:rFonts w:ascii="宋体" w:hAnsi="宋体" w:cs="Times New Roman"/>
          <w:sz w:val="20"/>
          <w:szCs w:val="20"/>
        </w:rPr>
        <w:t>3.</w:t>
      </w:r>
      <w:r>
        <w:rPr>
          <w:rStyle w:val="193"/>
          <w:rFonts w:hint="eastAsia" w:ascii="宋体" w:hAnsi="宋体" w:cs="Times New Roman"/>
          <w:sz w:val="20"/>
          <w:szCs w:val="20"/>
        </w:rPr>
        <w:t>在有效报价区间内，如有效报价的投标人人数等于</w:t>
      </w:r>
      <w:r>
        <w:rPr>
          <w:rStyle w:val="193"/>
          <w:rFonts w:ascii="宋体" w:hAnsi="宋体" w:cs="Times New Roman"/>
          <w:sz w:val="20"/>
          <w:szCs w:val="20"/>
        </w:rPr>
        <w:t>1</w:t>
      </w:r>
      <w:r>
        <w:rPr>
          <w:rStyle w:val="193"/>
          <w:rFonts w:hint="eastAsia" w:ascii="宋体" w:hAnsi="宋体" w:cs="Times New Roman"/>
          <w:sz w:val="20"/>
          <w:szCs w:val="20"/>
        </w:rPr>
        <w:t>名时，其报价将作为评审参考价，其价格分得分为</w:t>
      </w:r>
      <w:r>
        <w:rPr>
          <w:rStyle w:val="193"/>
          <w:rFonts w:ascii="宋体" w:hAnsi="宋体" w:cs="Times New Roman"/>
          <w:sz w:val="20"/>
          <w:szCs w:val="20"/>
        </w:rPr>
        <w:t>10</w:t>
      </w:r>
      <w:r>
        <w:rPr>
          <w:rStyle w:val="193"/>
          <w:rFonts w:hint="eastAsia" w:ascii="宋体" w:hAnsi="宋体" w:cs="Times New Roman"/>
          <w:sz w:val="20"/>
          <w:szCs w:val="20"/>
        </w:rPr>
        <w:t>分。</w:t>
      </w:r>
    </w:p>
    <w:p>
      <w:pPr>
        <w:spacing w:line="360" w:lineRule="auto"/>
        <w:jc w:val="both"/>
        <w:outlineLvl w:val="0"/>
        <w:rPr>
          <w:rStyle w:val="193"/>
          <w:rFonts w:ascii="宋体" w:hAnsi="宋体" w:cs="Times New Roman"/>
          <w:sz w:val="20"/>
          <w:szCs w:val="20"/>
        </w:rPr>
      </w:pPr>
      <w:r>
        <w:rPr>
          <w:rStyle w:val="193"/>
          <w:rFonts w:ascii="宋体" w:hAnsi="宋体" w:cs="Times New Roman"/>
          <w:sz w:val="20"/>
          <w:szCs w:val="20"/>
        </w:rPr>
        <w:t>4.</w:t>
      </w:r>
      <w:r>
        <w:rPr>
          <w:rStyle w:val="193"/>
          <w:rFonts w:hint="eastAsia" w:ascii="宋体" w:hAnsi="宋体" w:cs="Times New Roman"/>
          <w:sz w:val="20"/>
          <w:szCs w:val="20"/>
        </w:rPr>
        <w:t>若所有投标人的项目报价均低于最高限价</w:t>
      </w:r>
      <w:r>
        <w:rPr>
          <w:rStyle w:val="193"/>
          <w:rFonts w:ascii="宋体" w:hAnsi="宋体" w:cs="Times New Roman"/>
          <w:sz w:val="20"/>
          <w:szCs w:val="20"/>
        </w:rPr>
        <w:t>80%</w:t>
      </w:r>
      <w:r>
        <w:rPr>
          <w:rStyle w:val="193"/>
          <w:rFonts w:hint="eastAsia" w:ascii="宋体" w:hAnsi="宋体" w:cs="Times New Roman"/>
          <w:sz w:val="20"/>
          <w:szCs w:val="20"/>
        </w:rPr>
        <w:t>的，则按以下方式计算评审参考价：取所有报价的算术平均值作为评审参考价。</w:t>
      </w:r>
    </w:p>
    <w:p>
      <w:pPr>
        <w:spacing w:line="360" w:lineRule="auto"/>
        <w:jc w:val="both"/>
        <w:outlineLvl w:val="0"/>
        <w:rPr>
          <w:rStyle w:val="193"/>
          <w:rFonts w:ascii="宋体" w:hAnsi="宋体" w:cs="Times New Roman"/>
          <w:sz w:val="20"/>
          <w:szCs w:val="20"/>
        </w:rPr>
      </w:pPr>
      <w:r>
        <w:rPr>
          <w:rStyle w:val="193"/>
          <w:rFonts w:ascii="宋体" w:hAnsi="宋体" w:cs="Times New Roman"/>
          <w:sz w:val="20"/>
          <w:szCs w:val="20"/>
        </w:rPr>
        <w:t>5.</w:t>
      </w:r>
      <w:r>
        <w:rPr>
          <w:rStyle w:val="193"/>
          <w:rFonts w:hint="eastAsia" w:ascii="宋体" w:hAnsi="宋体" w:cs="Times New Roman"/>
          <w:sz w:val="20"/>
          <w:szCs w:val="20"/>
        </w:rPr>
        <w:t>当项目报价等于评审参考价时得</w:t>
      </w:r>
      <w:r>
        <w:rPr>
          <w:rStyle w:val="193"/>
          <w:rFonts w:ascii="宋体" w:hAnsi="宋体" w:cs="Times New Roman"/>
          <w:sz w:val="20"/>
          <w:szCs w:val="20"/>
        </w:rPr>
        <w:t>10</w:t>
      </w:r>
      <w:r>
        <w:rPr>
          <w:rStyle w:val="193"/>
          <w:rFonts w:hint="eastAsia" w:ascii="宋体" w:hAnsi="宋体" w:cs="Times New Roman"/>
          <w:sz w:val="20"/>
          <w:szCs w:val="20"/>
        </w:rPr>
        <w:t>分，项目报价每高于评审参考价</w:t>
      </w:r>
      <w:r>
        <w:rPr>
          <w:rStyle w:val="193"/>
          <w:rFonts w:ascii="宋体" w:hAnsi="宋体" w:cs="Times New Roman"/>
          <w:sz w:val="20"/>
          <w:szCs w:val="20"/>
        </w:rPr>
        <w:t>1%</w:t>
      </w:r>
      <w:r>
        <w:rPr>
          <w:rStyle w:val="193"/>
          <w:rFonts w:hint="eastAsia" w:ascii="宋体" w:hAnsi="宋体" w:cs="Times New Roman"/>
          <w:sz w:val="20"/>
          <w:szCs w:val="20"/>
        </w:rPr>
        <w:t>（不足</w:t>
      </w:r>
      <w:r>
        <w:rPr>
          <w:rStyle w:val="193"/>
          <w:rFonts w:ascii="宋体" w:hAnsi="宋体" w:cs="Times New Roman"/>
          <w:sz w:val="20"/>
          <w:szCs w:val="20"/>
        </w:rPr>
        <w:t>1%</w:t>
      </w:r>
      <w:r>
        <w:rPr>
          <w:rStyle w:val="193"/>
          <w:rFonts w:hint="eastAsia" w:ascii="宋体" w:hAnsi="宋体" w:cs="Times New Roman"/>
          <w:sz w:val="20"/>
          <w:szCs w:val="20"/>
        </w:rPr>
        <w:t>部分按比例进行扣分），扣</w:t>
      </w:r>
      <w:r>
        <w:rPr>
          <w:rStyle w:val="193"/>
          <w:rFonts w:ascii="宋体" w:hAnsi="宋体" w:cs="Times New Roman"/>
          <w:sz w:val="20"/>
          <w:szCs w:val="20"/>
        </w:rPr>
        <w:t>1.2</w:t>
      </w:r>
      <w:r>
        <w:rPr>
          <w:rStyle w:val="193"/>
          <w:rFonts w:hint="eastAsia" w:ascii="宋体" w:hAnsi="宋体" w:cs="Times New Roman"/>
          <w:sz w:val="20"/>
          <w:szCs w:val="20"/>
        </w:rPr>
        <w:t>分，每低于评审参考价</w:t>
      </w:r>
      <w:r>
        <w:rPr>
          <w:rStyle w:val="193"/>
          <w:rFonts w:ascii="宋体" w:hAnsi="宋体" w:cs="Times New Roman"/>
          <w:sz w:val="20"/>
          <w:szCs w:val="20"/>
        </w:rPr>
        <w:t>1%</w:t>
      </w:r>
      <w:r>
        <w:rPr>
          <w:rStyle w:val="193"/>
          <w:rFonts w:hint="eastAsia" w:ascii="宋体" w:hAnsi="宋体" w:cs="Times New Roman"/>
          <w:sz w:val="20"/>
          <w:szCs w:val="20"/>
        </w:rPr>
        <w:t>（不足</w:t>
      </w:r>
      <w:r>
        <w:rPr>
          <w:rStyle w:val="193"/>
          <w:rFonts w:ascii="宋体" w:hAnsi="宋体" w:cs="Times New Roman"/>
          <w:sz w:val="20"/>
          <w:szCs w:val="20"/>
        </w:rPr>
        <w:t>1%</w:t>
      </w:r>
      <w:r>
        <w:rPr>
          <w:rStyle w:val="193"/>
          <w:rFonts w:hint="eastAsia" w:ascii="宋体" w:hAnsi="宋体" w:cs="Times New Roman"/>
          <w:sz w:val="20"/>
          <w:szCs w:val="20"/>
        </w:rPr>
        <w:t>部分按比例进行扣分），扣</w:t>
      </w:r>
      <w:r>
        <w:rPr>
          <w:rStyle w:val="193"/>
          <w:rFonts w:ascii="宋体" w:hAnsi="宋体" w:cs="Times New Roman"/>
          <w:sz w:val="20"/>
          <w:szCs w:val="20"/>
        </w:rPr>
        <w:t>1</w:t>
      </w:r>
      <w:r>
        <w:rPr>
          <w:rStyle w:val="193"/>
          <w:rFonts w:hint="eastAsia" w:ascii="宋体" w:hAnsi="宋体" w:cs="Times New Roman"/>
          <w:sz w:val="20"/>
          <w:szCs w:val="20"/>
        </w:rPr>
        <w:t>分，扣至</w:t>
      </w:r>
      <w:r>
        <w:rPr>
          <w:rStyle w:val="193"/>
          <w:rFonts w:ascii="宋体" w:hAnsi="宋体" w:cs="Times New Roman"/>
          <w:sz w:val="20"/>
          <w:szCs w:val="20"/>
        </w:rPr>
        <w:t>0</w:t>
      </w:r>
      <w:r>
        <w:rPr>
          <w:rStyle w:val="193"/>
          <w:rFonts w:hint="eastAsia" w:ascii="宋体" w:hAnsi="宋体" w:cs="Times New Roman"/>
          <w:sz w:val="20"/>
          <w:szCs w:val="20"/>
        </w:rPr>
        <w:t>分为止，得分精确到小数点后两位。</w:t>
      </w:r>
    </w:p>
    <w:p>
      <w:pPr>
        <w:spacing w:line="360" w:lineRule="auto"/>
        <w:jc w:val="center"/>
        <w:outlineLvl w:val="0"/>
        <w:rPr>
          <w:rFonts w:ascii="黑体" w:hAnsi="华文中宋" w:eastAsia="黑体" w:cs="华文中宋"/>
          <w:b/>
          <w:bCs/>
          <w:sz w:val="32"/>
          <w:szCs w:val="32"/>
        </w:rPr>
      </w:pPr>
      <w:r>
        <w:rPr>
          <w:rFonts w:hint="eastAsia" w:ascii="黑体" w:hAnsi="华文中宋" w:eastAsia="黑体" w:cs="华文中宋"/>
          <w:b/>
          <w:bCs/>
          <w:sz w:val="32"/>
          <w:szCs w:val="32"/>
        </w:rPr>
        <w:br w:type="page"/>
      </w:r>
      <w:r>
        <w:rPr>
          <w:rFonts w:hint="eastAsia" w:ascii="黑体" w:hAnsi="华文中宋" w:eastAsia="黑体" w:cs="华文中宋"/>
          <w:b/>
          <w:bCs/>
          <w:sz w:val="32"/>
          <w:szCs w:val="32"/>
        </w:rPr>
        <w:t>第五章  投标文件格式</w:t>
      </w:r>
      <w:bookmarkEnd w:id="1155"/>
      <w:bookmarkEnd w:id="1157"/>
    </w:p>
    <w:p>
      <w:pPr>
        <w:pStyle w:val="4"/>
        <w:spacing w:line="440" w:lineRule="exact"/>
        <w:jc w:val="center"/>
        <w:rPr>
          <w:b w:val="0"/>
        </w:rPr>
      </w:pPr>
      <w:bookmarkStart w:id="1158" w:name="_Toc453957426"/>
      <w:bookmarkStart w:id="1159" w:name="_Toc275865604"/>
      <w:r>
        <w:rPr>
          <w:rFonts w:hint="eastAsia"/>
          <w:b w:val="0"/>
        </w:rPr>
        <w:t>投标文件包装封面参考</w:t>
      </w:r>
      <w:bookmarkEnd w:id="1158"/>
    </w:p>
    <w:tbl>
      <w:tblPr>
        <w:tblStyle w:val="4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9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27" w:hRule="atLeast"/>
        </w:trPr>
        <w:tc>
          <w:tcPr>
            <w:tcW w:w="5000" w:type="pct"/>
            <w:tcBorders>
              <w:top w:val="single" w:color="auto" w:sz="12" w:space="0"/>
              <w:left w:val="single" w:color="auto" w:sz="12" w:space="0"/>
              <w:bottom w:val="single" w:color="auto" w:sz="12" w:space="0"/>
              <w:right w:val="single" w:color="auto" w:sz="12" w:space="0"/>
            </w:tcBorders>
          </w:tcPr>
          <w:p>
            <w:pPr>
              <w:pStyle w:val="19"/>
              <w:spacing w:line="360" w:lineRule="auto"/>
              <w:ind w:firstLine="482" w:firstLineChars="150"/>
              <w:rPr>
                <w:rFonts w:ascii="仿宋_GB2312" w:eastAsia="仿宋_GB2312"/>
                <w:b/>
                <w:sz w:val="32"/>
              </w:rPr>
            </w:pPr>
          </w:p>
          <w:p>
            <w:pPr>
              <w:pStyle w:val="19"/>
              <w:spacing w:line="360" w:lineRule="auto"/>
              <w:ind w:firstLine="482" w:firstLineChars="150"/>
              <w:rPr>
                <w:rFonts w:ascii="仿宋_GB2312" w:eastAsia="仿宋_GB2312"/>
                <w:b/>
                <w:sz w:val="32"/>
              </w:rPr>
            </w:pPr>
          </w:p>
          <w:p>
            <w:pPr>
              <w:pStyle w:val="19"/>
              <w:spacing w:line="360" w:lineRule="auto"/>
              <w:jc w:val="center"/>
              <w:rPr>
                <w:rFonts w:ascii="黑体" w:eastAsia="黑体"/>
                <w:b/>
                <w:sz w:val="72"/>
                <w:szCs w:val="72"/>
              </w:rPr>
            </w:pPr>
            <w:r>
              <w:rPr>
                <w:rFonts w:hint="eastAsia" w:ascii="黑体" w:eastAsia="黑体"/>
                <w:b/>
                <w:sz w:val="72"/>
                <w:szCs w:val="72"/>
              </w:rPr>
              <w:t>投 标 文 件</w:t>
            </w:r>
          </w:p>
          <w:p>
            <w:pPr>
              <w:pStyle w:val="19"/>
              <w:spacing w:line="360" w:lineRule="auto"/>
              <w:ind w:left="3740" w:leftChars="1700"/>
              <w:rPr>
                <w:rFonts w:ascii="黑体" w:eastAsia="黑体"/>
                <w:b/>
                <w:sz w:val="32"/>
              </w:rPr>
            </w:pPr>
            <w:r>
              <w:rPr>
                <w:rFonts w:hint="eastAsia" w:ascii="黑体" w:eastAsia="黑体"/>
                <w:b/>
                <w:sz w:val="52"/>
                <w:szCs w:val="52"/>
              </w:rPr>
              <w:t xml:space="preserve">口 </w:t>
            </w:r>
            <w:r>
              <w:rPr>
                <w:rFonts w:hint="eastAsia" w:ascii="黑体" w:eastAsia="黑体"/>
                <w:b/>
                <w:sz w:val="32"/>
              </w:rPr>
              <w:t>开标信封</w:t>
            </w:r>
          </w:p>
          <w:p>
            <w:pPr>
              <w:pStyle w:val="19"/>
              <w:spacing w:line="360" w:lineRule="auto"/>
              <w:ind w:left="3740" w:leftChars="1700"/>
              <w:rPr>
                <w:rFonts w:ascii="黑体" w:eastAsia="黑体"/>
                <w:b/>
                <w:sz w:val="32"/>
              </w:rPr>
            </w:pPr>
            <w:r>
              <w:rPr>
                <w:rFonts w:hint="eastAsia" w:ascii="黑体" w:eastAsia="黑体"/>
                <w:b/>
                <w:sz w:val="52"/>
                <w:szCs w:val="52"/>
              </w:rPr>
              <w:t xml:space="preserve">口 </w:t>
            </w:r>
            <w:r>
              <w:rPr>
                <w:rFonts w:hint="eastAsia" w:ascii="黑体" w:eastAsia="黑体"/>
                <w:b/>
                <w:sz w:val="32"/>
              </w:rPr>
              <w:t>正本</w:t>
            </w:r>
          </w:p>
          <w:p>
            <w:pPr>
              <w:pStyle w:val="19"/>
              <w:spacing w:line="360" w:lineRule="auto"/>
              <w:ind w:left="3740" w:leftChars="1700"/>
              <w:rPr>
                <w:rFonts w:ascii="黑体" w:eastAsia="黑体"/>
                <w:b/>
                <w:sz w:val="32"/>
              </w:rPr>
            </w:pPr>
            <w:r>
              <w:rPr>
                <w:rFonts w:hint="eastAsia" w:ascii="黑体" w:eastAsia="黑体"/>
                <w:b/>
                <w:sz w:val="52"/>
                <w:szCs w:val="52"/>
              </w:rPr>
              <w:t xml:space="preserve">口 </w:t>
            </w:r>
            <w:r>
              <w:rPr>
                <w:rFonts w:hint="eastAsia" w:ascii="黑体" w:eastAsia="黑体"/>
                <w:b/>
                <w:sz w:val="32"/>
              </w:rPr>
              <w:t>副本</w:t>
            </w:r>
          </w:p>
          <w:p>
            <w:pPr>
              <w:pStyle w:val="19"/>
              <w:spacing w:line="360" w:lineRule="auto"/>
              <w:ind w:firstLine="1968" w:firstLineChars="700"/>
              <w:rPr>
                <w:rFonts w:ascii="黑体" w:eastAsia="黑体"/>
                <w:b/>
                <w:sz w:val="28"/>
                <w:szCs w:val="22"/>
              </w:rPr>
            </w:pPr>
          </w:p>
          <w:p>
            <w:pPr>
              <w:pStyle w:val="19"/>
              <w:spacing w:line="360" w:lineRule="auto"/>
              <w:ind w:left="859" w:leftChars="390" w:hanging="1"/>
              <w:rPr>
                <w:rFonts w:ascii="黑体" w:hAnsi="仿宋_GB2312" w:eastAsia="黑体"/>
                <w:b/>
                <w:bCs/>
                <w:sz w:val="28"/>
                <w:szCs w:val="28"/>
              </w:rPr>
            </w:pPr>
            <w:r>
              <w:rPr>
                <w:rFonts w:hint="eastAsia" w:ascii="黑体" w:hAnsi="仿宋_GB2312" w:eastAsia="黑体"/>
                <w:b/>
                <w:bCs/>
                <w:sz w:val="28"/>
                <w:szCs w:val="28"/>
              </w:rPr>
              <w:t>项目编号：GZBC22FG06002</w:t>
            </w:r>
          </w:p>
          <w:p>
            <w:pPr>
              <w:pStyle w:val="19"/>
              <w:ind w:left="880" w:leftChars="400"/>
              <w:rPr>
                <w:rFonts w:ascii="黑体" w:hAnsi="仿宋_GB2312" w:eastAsia="黑体"/>
                <w:b/>
                <w:bCs/>
                <w:sz w:val="28"/>
                <w:szCs w:val="28"/>
              </w:rPr>
            </w:pPr>
            <w:r>
              <w:rPr>
                <w:rFonts w:hint="eastAsia" w:ascii="黑体" w:hAnsi="仿宋_GB2312" w:eastAsia="黑体"/>
                <w:b/>
                <w:bCs/>
                <w:sz w:val="28"/>
                <w:szCs w:val="28"/>
              </w:rPr>
              <w:t>项目名称：正和消保中心数字化平台建设服务采购项目</w:t>
            </w:r>
          </w:p>
          <w:p>
            <w:pPr>
              <w:pStyle w:val="19"/>
              <w:ind w:left="880" w:leftChars="400"/>
              <w:rPr>
                <w:rFonts w:ascii="黑体" w:hAnsi="仿宋_GB2312" w:eastAsia="黑体"/>
                <w:b/>
                <w:bCs/>
                <w:sz w:val="28"/>
                <w:szCs w:val="28"/>
              </w:rPr>
            </w:pPr>
            <w:r>
              <w:rPr>
                <w:rFonts w:hint="eastAsia" w:ascii="黑体" w:hAnsi="仿宋_GB2312" w:eastAsia="黑体"/>
                <w:b/>
                <w:bCs/>
                <w:sz w:val="28"/>
                <w:szCs w:val="28"/>
              </w:rPr>
              <w:t>项目投标人名称：</w:t>
            </w:r>
          </w:p>
          <w:p>
            <w:pPr>
              <w:pStyle w:val="19"/>
              <w:ind w:left="880" w:leftChars="400"/>
              <w:rPr>
                <w:rFonts w:ascii="黑体" w:eastAsia="黑体"/>
                <w:b/>
                <w:color w:val="000000"/>
                <w:sz w:val="28"/>
                <w:szCs w:val="28"/>
              </w:rPr>
            </w:pPr>
            <w:r>
              <w:rPr>
                <w:rFonts w:hint="eastAsia" w:ascii="黑体" w:eastAsia="黑体"/>
                <w:b/>
                <w:color w:val="000000"/>
                <w:sz w:val="28"/>
                <w:szCs w:val="28"/>
              </w:rPr>
              <w:t>投标人地址：</w:t>
            </w:r>
          </w:p>
          <w:p>
            <w:pPr>
              <w:tabs>
                <w:tab w:val="left" w:pos="851"/>
              </w:tabs>
              <w:spacing w:line="420" w:lineRule="auto"/>
              <w:rPr>
                <w:rFonts w:ascii="仿宋_GB2312" w:eastAsia="仿宋_GB2312"/>
                <w:b/>
                <w:sz w:val="32"/>
              </w:rPr>
            </w:pPr>
            <w:r>
              <w:rPr>
                <w:rFonts w:hint="eastAsia" w:ascii="黑体" w:eastAsia="黑体"/>
                <w:b/>
                <w:color w:val="000000"/>
                <w:sz w:val="28"/>
                <w:szCs w:val="28"/>
              </w:rPr>
              <w:t xml:space="preserve">     (</w:t>
            </w:r>
            <w:r>
              <w:rPr>
                <w:rFonts w:hint="eastAsia" w:ascii="黑体" w:eastAsia="黑体"/>
                <w:b/>
                <w:color w:val="000000"/>
                <w:sz w:val="28"/>
                <w:szCs w:val="28"/>
                <w:u w:val="single"/>
              </w:rPr>
              <w:t xml:space="preserve">    </w:t>
            </w:r>
            <w:r>
              <w:rPr>
                <w:rFonts w:hint="eastAsia" w:ascii="黑体" w:eastAsia="黑体"/>
                <w:b/>
                <w:color w:val="000000"/>
                <w:sz w:val="28"/>
                <w:szCs w:val="28"/>
              </w:rPr>
              <w:t>年</w:t>
            </w:r>
            <w:r>
              <w:rPr>
                <w:rFonts w:hint="eastAsia" w:ascii="黑体" w:eastAsia="黑体"/>
                <w:b/>
                <w:color w:val="000000"/>
                <w:sz w:val="28"/>
                <w:szCs w:val="28"/>
                <w:u w:val="single"/>
              </w:rPr>
              <w:t xml:space="preserve">    </w:t>
            </w:r>
            <w:r>
              <w:rPr>
                <w:rFonts w:hint="eastAsia" w:ascii="黑体" w:eastAsia="黑体"/>
                <w:b/>
                <w:color w:val="000000"/>
                <w:sz w:val="28"/>
                <w:szCs w:val="28"/>
              </w:rPr>
              <w:t>月</w:t>
            </w:r>
            <w:r>
              <w:rPr>
                <w:rFonts w:hint="eastAsia" w:ascii="黑体" w:eastAsia="黑体"/>
                <w:b/>
                <w:color w:val="000000"/>
                <w:sz w:val="28"/>
                <w:szCs w:val="28"/>
                <w:u w:val="single"/>
              </w:rPr>
              <w:t xml:space="preserve">    </w:t>
            </w:r>
            <w:r>
              <w:rPr>
                <w:rFonts w:hint="eastAsia" w:ascii="黑体" w:eastAsia="黑体"/>
                <w:b/>
                <w:color w:val="000000"/>
                <w:sz w:val="28"/>
                <w:szCs w:val="28"/>
              </w:rPr>
              <w:t>日</w:t>
            </w:r>
            <w:r>
              <w:rPr>
                <w:rFonts w:hint="eastAsia" w:ascii="黑体" w:eastAsia="黑体"/>
                <w:b/>
                <w:color w:val="000000"/>
                <w:sz w:val="28"/>
                <w:szCs w:val="28"/>
                <w:u w:val="single"/>
              </w:rPr>
              <w:t xml:space="preserve">    </w:t>
            </w:r>
            <w:r>
              <w:rPr>
                <w:rFonts w:hint="eastAsia" w:ascii="黑体" w:eastAsia="黑体"/>
                <w:b/>
                <w:color w:val="000000"/>
                <w:sz w:val="28"/>
                <w:szCs w:val="28"/>
              </w:rPr>
              <w:t>时</w:t>
            </w:r>
            <w:r>
              <w:rPr>
                <w:rFonts w:hint="eastAsia" w:ascii="黑体" w:eastAsia="黑体"/>
                <w:b/>
                <w:color w:val="000000"/>
                <w:sz w:val="28"/>
                <w:szCs w:val="28"/>
                <w:u w:val="single"/>
              </w:rPr>
              <w:t xml:space="preserve">    </w:t>
            </w:r>
            <w:r>
              <w:rPr>
                <w:rFonts w:hint="eastAsia" w:ascii="黑体" w:eastAsia="黑体"/>
                <w:b/>
                <w:color w:val="000000"/>
                <w:sz w:val="28"/>
                <w:szCs w:val="28"/>
              </w:rPr>
              <w:t>分)</w:t>
            </w:r>
            <w:r>
              <w:rPr>
                <w:rFonts w:hint="eastAsia" w:ascii="黑体" w:eastAsia="黑体"/>
                <w:b/>
                <w:sz w:val="28"/>
                <w:szCs w:val="28"/>
              </w:rPr>
              <w:t>之前不得启封</w:t>
            </w:r>
          </w:p>
        </w:tc>
      </w:tr>
    </w:tbl>
    <w:p>
      <w:pPr>
        <w:rPr>
          <w:b/>
        </w:rPr>
      </w:pPr>
      <w:bookmarkStart w:id="1160" w:name="_Toc453957427"/>
    </w:p>
    <w:p>
      <w:pPr>
        <w:pStyle w:val="4"/>
        <w:spacing w:line="440" w:lineRule="exact"/>
        <w:jc w:val="center"/>
        <w:rPr>
          <w:rFonts w:ascii="黑体" w:hAnsi="宋体"/>
          <w:b w:val="0"/>
          <w:sz w:val="18"/>
          <w:szCs w:val="18"/>
        </w:rPr>
      </w:pPr>
      <w:r>
        <w:rPr>
          <w:rFonts w:hint="eastAsia"/>
          <w:b w:val="0"/>
        </w:rPr>
        <w:t>投标文件目录表</w:t>
      </w:r>
      <w:bookmarkEnd w:id="1159"/>
      <w:bookmarkEnd w:id="1160"/>
    </w:p>
    <w:p>
      <w:pPr>
        <w:rPr>
          <w:rFonts w:ascii="微软雅黑" w:hAnsi="微软雅黑" w:cs="微软雅黑"/>
          <w:bCs/>
          <w:sz w:val="21"/>
          <w:szCs w:val="21"/>
        </w:rPr>
      </w:pPr>
      <w:r>
        <w:rPr>
          <w:rFonts w:hint="eastAsia" w:ascii="宋体" w:hAnsi="宋体"/>
          <w:sz w:val="21"/>
          <w:szCs w:val="21"/>
        </w:rPr>
        <w:t>项目名称：</w:t>
      </w:r>
      <w:r>
        <w:rPr>
          <w:rFonts w:hint="eastAsia" w:ascii="微软雅黑" w:hAnsi="微软雅黑" w:cs="微软雅黑"/>
          <w:bCs/>
          <w:sz w:val="21"/>
          <w:szCs w:val="21"/>
        </w:rPr>
        <w:t>正和消保中心数字化平台建设服务采购项目</w:t>
      </w:r>
    </w:p>
    <w:p>
      <w:pPr>
        <w:rPr>
          <w:rFonts w:ascii="宋体" w:hAnsi="宋体"/>
          <w:b/>
          <w:bCs/>
          <w:sz w:val="21"/>
          <w:szCs w:val="21"/>
        </w:rPr>
      </w:pPr>
      <w:r>
        <w:rPr>
          <w:rFonts w:hint="eastAsia" w:ascii="宋体" w:hAnsi="宋体"/>
          <w:sz w:val="21"/>
          <w:szCs w:val="21"/>
        </w:rPr>
        <w:t>项目编号</w:t>
      </w:r>
      <w:r>
        <w:rPr>
          <w:rFonts w:hint="eastAsia" w:ascii="微软雅黑" w:hAnsi="微软雅黑" w:cs="微软雅黑"/>
          <w:sz w:val="21"/>
          <w:szCs w:val="21"/>
        </w:rPr>
        <w:t>：GZBC22FG06002</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4"/>
        <w:gridCol w:w="669"/>
        <w:gridCol w:w="5048"/>
        <w:gridCol w:w="536"/>
        <w:gridCol w:w="487"/>
        <w:gridCol w:w="847"/>
        <w:gridCol w:w="6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restart"/>
            <w:tcBorders>
              <w:top w:val="single" w:color="auto" w:sz="12" w:space="0"/>
              <w:left w:val="single" w:color="auto" w:sz="12" w:space="0"/>
              <w:bottom w:val="single" w:color="auto" w:sz="6" w:space="0"/>
              <w:right w:val="single" w:color="auto" w:sz="6" w:space="0"/>
            </w:tcBorders>
            <w:shd w:val="clear" w:color="auto" w:fill="EEECE1"/>
            <w:vAlign w:val="center"/>
          </w:tcPr>
          <w:p>
            <w:pPr>
              <w:jc w:val="center"/>
              <w:rPr>
                <w:rFonts w:ascii="微软雅黑" w:hAnsi="微软雅黑" w:cs="微软雅黑"/>
                <w:b/>
                <w:color w:val="000000"/>
                <w:sz w:val="20"/>
                <w:szCs w:val="20"/>
              </w:rPr>
            </w:pPr>
            <w:r>
              <w:rPr>
                <w:rFonts w:hint="eastAsia" w:ascii="微软雅黑" w:hAnsi="微软雅黑" w:cs="微软雅黑"/>
                <w:b/>
                <w:color w:val="000000"/>
                <w:sz w:val="20"/>
                <w:szCs w:val="20"/>
              </w:rPr>
              <w:t>文件类型</w:t>
            </w:r>
          </w:p>
        </w:tc>
        <w:tc>
          <w:tcPr>
            <w:tcW w:w="669" w:type="dxa"/>
            <w:vMerge w:val="restart"/>
            <w:tcBorders>
              <w:top w:val="single" w:color="auto" w:sz="12" w:space="0"/>
              <w:left w:val="single" w:color="auto" w:sz="6" w:space="0"/>
              <w:bottom w:val="single" w:color="auto" w:sz="6" w:space="0"/>
              <w:right w:val="single" w:color="auto" w:sz="6" w:space="0"/>
            </w:tcBorders>
            <w:shd w:val="clear" w:color="auto" w:fill="EEECE1"/>
            <w:vAlign w:val="center"/>
          </w:tcPr>
          <w:p>
            <w:pPr>
              <w:ind w:left="-106" w:leftChars="-48" w:right="-103" w:rightChars="-47"/>
              <w:jc w:val="center"/>
              <w:rPr>
                <w:rFonts w:ascii="微软雅黑" w:hAnsi="微软雅黑" w:cs="微软雅黑"/>
                <w:b/>
                <w:color w:val="000000"/>
                <w:sz w:val="20"/>
                <w:szCs w:val="20"/>
              </w:rPr>
            </w:pPr>
            <w:r>
              <w:rPr>
                <w:rFonts w:hint="eastAsia" w:ascii="微软雅黑" w:hAnsi="微软雅黑" w:cs="微软雅黑"/>
                <w:b/>
                <w:color w:val="000000"/>
                <w:sz w:val="20"/>
                <w:szCs w:val="20"/>
              </w:rPr>
              <w:t>序号</w:t>
            </w:r>
          </w:p>
        </w:tc>
        <w:tc>
          <w:tcPr>
            <w:tcW w:w="5048" w:type="dxa"/>
            <w:vMerge w:val="restart"/>
            <w:tcBorders>
              <w:top w:val="single" w:color="auto" w:sz="12"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b/>
                <w:color w:val="000000"/>
                <w:sz w:val="20"/>
                <w:szCs w:val="20"/>
              </w:rPr>
            </w:pPr>
            <w:r>
              <w:rPr>
                <w:rFonts w:hint="eastAsia" w:ascii="微软雅黑" w:hAnsi="微软雅黑" w:cs="微软雅黑"/>
                <w:b/>
                <w:color w:val="000000"/>
                <w:sz w:val="20"/>
                <w:szCs w:val="20"/>
              </w:rPr>
              <w:t>文    件    名    称</w:t>
            </w:r>
          </w:p>
        </w:tc>
        <w:tc>
          <w:tcPr>
            <w:tcW w:w="1023" w:type="dxa"/>
            <w:gridSpan w:val="2"/>
            <w:tcBorders>
              <w:top w:val="single" w:color="auto" w:sz="12" w:space="0"/>
              <w:left w:val="single" w:color="auto" w:sz="6" w:space="0"/>
              <w:bottom w:val="single" w:color="auto" w:sz="6" w:space="0"/>
              <w:right w:val="single" w:color="auto" w:sz="6" w:space="0"/>
            </w:tcBorders>
            <w:shd w:val="clear" w:color="auto" w:fill="EEECE1"/>
            <w:vAlign w:val="center"/>
          </w:tcPr>
          <w:p>
            <w:pPr>
              <w:ind w:left="-123" w:leftChars="-56" w:right="-99" w:rightChars="-45"/>
              <w:jc w:val="center"/>
              <w:rPr>
                <w:rFonts w:ascii="微软雅黑" w:hAnsi="微软雅黑" w:cs="微软雅黑"/>
                <w:b/>
                <w:color w:val="000000"/>
                <w:sz w:val="20"/>
                <w:szCs w:val="20"/>
              </w:rPr>
            </w:pPr>
            <w:r>
              <w:rPr>
                <w:rFonts w:hint="eastAsia" w:ascii="微软雅黑" w:hAnsi="微软雅黑" w:cs="微软雅黑"/>
                <w:b/>
                <w:color w:val="000000"/>
                <w:sz w:val="20"/>
                <w:szCs w:val="20"/>
              </w:rPr>
              <w:t>提交情况</w:t>
            </w:r>
          </w:p>
        </w:tc>
        <w:tc>
          <w:tcPr>
            <w:tcW w:w="847" w:type="dxa"/>
            <w:vMerge w:val="restart"/>
            <w:tcBorders>
              <w:top w:val="single" w:color="auto" w:sz="12"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b/>
                <w:color w:val="000000"/>
                <w:sz w:val="20"/>
                <w:szCs w:val="20"/>
              </w:rPr>
            </w:pPr>
            <w:r>
              <w:rPr>
                <w:rFonts w:hint="eastAsia" w:ascii="微软雅黑" w:hAnsi="微软雅黑" w:cs="微软雅黑"/>
                <w:b/>
                <w:color w:val="000000"/>
                <w:sz w:val="20"/>
                <w:szCs w:val="20"/>
              </w:rPr>
              <w:t>页码范围</w:t>
            </w:r>
          </w:p>
        </w:tc>
        <w:tc>
          <w:tcPr>
            <w:tcW w:w="604" w:type="dxa"/>
            <w:vMerge w:val="restart"/>
            <w:tcBorders>
              <w:top w:val="single" w:color="auto" w:sz="12"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b/>
                <w:color w:val="000000"/>
                <w:sz w:val="20"/>
                <w:szCs w:val="20"/>
              </w:rPr>
            </w:pPr>
            <w:r>
              <w:rPr>
                <w:rFonts w:hint="eastAsia" w:ascii="微软雅黑" w:hAnsi="微软雅黑" w:cs="微软雅黑"/>
                <w:b/>
                <w:color w:val="000000"/>
                <w:sz w:val="20"/>
                <w:szCs w:val="2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jc w:val="center"/>
        </w:trPr>
        <w:tc>
          <w:tcPr>
            <w:tcW w:w="1514" w:type="dxa"/>
            <w:vMerge w:val="continue"/>
            <w:tcBorders>
              <w:top w:val="single" w:color="auto" w:sz="12" w:space="0"/>
              <w:left w:val="single" w:color="auto" w:sz="12" w:space="0"/>
              <w:bottom w:val="single" w:color="auto" w:sz="6" w:space="0"/>
              <w:right w:val="single" w:color="auto" w:sz="6" w:space="0"/>
            </w:tcBorders>
            <w:vAlign w:val="center"/>
          </w:tcPr>
          <w:p>
            <w:pPr>
              <w:adjustRightInd/>
              <w:snapToGrid/>
              <w:spacing w:after="0"/>
              <w:rPr>
                <w:rFonts w:ascii="微软雅黑" w:hAnsi="微软雅黑" w:cs="微软雅黑"/>
                <w:b/>
                <w:color w:val="000000"/>
                <w:sz w:val="20"/>
                <w:szCs w:val="20"/>
              </w:rPr>
            </w:pPr>
          </w:p>
        </w:tc>
        <w:tc>
          <w:tcPr>
            <w:tcW w:w="669" w:type="dxa"/>
            <w:vMerge w:val="continue"/>
            <w:tcBorders>
              <w:top w:val="single" w:color="auto" w:sz="12" w:space="0"/>
              <w:left w:val="single" w:color="auto" w:sz="6" w:space="0"/>
              <w:bottom w:val="single" w:color="auto" w:sz="6" w:space="0"/>
              <w:right w:val="single" w:color="auto" w:sz="6" w:space="0"/>
            </w:tcBorders>
            <w:vAlign w:val="center"/>
          </w:tcPr>
          <w:p>
            <w:pPr>
              <w:adjustRightInd/>
              <w:snapToGrid/>
              <w:spacing w:after="0"/>
              <w:rPr>
                <w:rFonts w:ascii="微软雅黑" w:hAnsi="微软雅黑" w:cs="微软雅黑"/>
                <w:b/>
                <w:color w:val="000000"/>
                <w:sz w:val="20"/>
                <w:szCs w:val="20"/>
              </w:rPr>
            </w:pPr>
          </w:p>
        </w:tc>
        <w:tc>
          <w:tcPr>
            <w:tcW w:w="5048" w:type="dxa"/>
            <w:vMerge w:val="continue"/>
            <w:tcBorders>
              <w:top w:val="single" w:color="auto" w:sz="12" w:space="0"/>
              <w:left w:val="single" w:color="auto" w:sz="6" w:space="0"/>
              <w:bottom w:val="single" w:color="auto" w:sz="6" w:space="0"/>
              <w:right w:val="single" w:color="auto" w:sz="6" w:space="0"/>
            </w:tcBorders>
            <w:vAlign w:val="center"/>
          </w:tcPr>
          <w:p>
            <w:pPr>
              <w:adjustRightInd/>
              <w:snapToGrid/>
              <w:spacing w:after="0"/>
              <w:rPr>
                <w:rFonts w:ascii="微软雅黑" w:hAnsi="微软雅黑" w:cs="微软雅黑"/>
                <w:b/>
                <w:color w:val="000000"/>
                <w:sz w:val="20"/>
                <w:szCs w:val="20"/>
              </w:rPr>
            </w:pPr>
          </w:p>
        </w:tc>
        <w:tc>
          <w:tcPr>
            <w:tcW w:w="536"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b/>
                <w:color w:val="000000"/>
                <w:sz w:val="20"/>
                <w:szCs w:val="20"/>
              </w:rPr>
            </w:pPr>
            <w:r>
              <w:rPr>
                <w:rFonts w:hint="eastAsia" w:ascii="微软雅黑" w:hAnsi="微软雅黑" w:cs="微软雅黑"/>
                <w:b/>
                <w:color w:val="000000"/>
                <w:sz w:val="20"/>
                <w:szCs w:val="20"/>
              </w:rPr>
              <w:t>有</w:t>
            </w:r>
          </w:p>
        </w:tc>
        <w:tc>
          <w:tcPr>
            <w:tcW w:w="48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b/>
                <w:color w:val="000000"/>
                <w:sz w:val="20"/>
                <w:szCs w:val="20"/>
              </w:rPr>
            </w:pPr>
            <w:r>
              <w:rPr>
                <w:rFonts w:hint="eastAsia" w:ascii="微软雅黑" w:hAnsi="微软雅黑" w:cs="微软雅黑"/>
                <w:b/>
                <w:color w:val="000000"/>
                <w:sz w:val="20"/>
                <w:szCs w:val="20"/>
              </w:rPr>
              <w:t>无</w:t>
            </w:r>
          </w:p>
        </w:tc>
        <w:tc>
          <w:tcPr>
            <w:tcW w:w="847" w:type="dxa"/>
            <w:vMerge w:val="continue"/>
            <w:tcBorders>
              <w:top w:val="single" w:color="auto" w:sz="12" w:space="0"/>
              <w:left w:val="single" w:color="auto" w:sz="6" w:space="0"/>
              <w:bottom w:val="single" w:color="auto" w:sz="6" w:space="0"/>
              <w:right w:val="single" w:color="auto" w:sz="6" w:space="0"/>
            </w:tcBorders>
            <w:vAlign w:val="center"/>
          </w:tcPr>
          <w:p>
            <w:pPr>
              <w:adjustRightInd/>
              <w:snapToGrid/>
              <w:spacing w:after="0"/>
              <w:rPr>
                <w:rFonts w:ascii="微软雅黑" w:hAnsi="微软雅黑" w:cs="微软雅黑"/>
                <w:b/>
                <w:color w:val="000000"/>
                <w:sz w:val="20"/>
                <w:szCs w:val="20"/>
              </w:rPr>
            </w:pPr>
          </w:p>
        </w:tc>
        <w:tc>
          <w:tcPr>
            <w:tcW w:w="604" w:type="dxa"/>
            <w:vMerge w:val="continue"/>
            <w:tcBorders>
              <w:top w:val="single" w:color="auto" w:sz="12" w:space="0"/>
              <w:left w:val="single" w:color="auto" w:sz="6" w:space="0"/>
              <w:bottom w:val="single" w:color="auto" w:sz="6" w:space="0"/>
              <w:right w:val="single" w:color="auto" w:sz="12" w:space="0"/>
            </w:tcBorders>
            <w:vAlign w:val="center"/>
          </w:tcPr>
          <w:p>
            <w:pPr>
              <w:adjustRightInd/>
              <w:snapToGrid/>
              <w:spacing w:after="0"/>
              <w:rPr>
                <w:rFonts w:ascii="微软雅黑" w:hAnsi="微软雅黑" w:cs="微软雅黑"/>
                <w:b/>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微软雅黑" w:hAnsi="微软雅黑" w:cs="微软雅黑"/>
                <w:b/>
                <w:color w:val="000000"/>
                <w:sz w:val="20"/>
                <w:szCs w:val="20"/>
              </w:rPr>
            </w:pPr>
            <w:r>
              <w:rPr>
                <w:rFonts w:hint="eastAsia" w:ascii="微软雅黑" w:hAnsi="微软雅黑" w:cs="微软雅黑"/>
                <w:b/>
                <w:color w:val="000000"/>
                <w:sz w:val="20"/>
                <w:szCs w:val="20"/>
              </w:rPr>
              <w:t>初审文件（加盖投标人公章）</w:t>
            </w:r>
          </w:p>
        </w:tc>
        <w:tc>
          <w:tcPr>
            <w:tcW w:w="669" w:type="dxa"/>
            <w:tcBorders>
              <w:top w:val="single" w:color="auto" w:sz="6" w:space="0"/>
              <w:left w:val="single" w:color="auto" w:sz="6" w:space="0"/>
              <w:bottom w:val="single" w:color="auto" w:sz="6" w:space="0"/>
              <w:right w:val="single" w:color="auto" w:sz="6" w:space="0"/>
            </w:tcBorders>
            <w:vAlign w:val="center"/>
          </w:tcPr>
          <w:p>
            <w:pPr>
              <w:widowControl w:val="0"/>
              <w:autoSpaceDN w:val="0"/>
              <w:adjustRightInd/>
              <w:snapToGrid/>
              <w:spacing w:after="0"/>
              <w:jc w:val="center"/>
              <w:rPr>
                <w:rFonts w:ascii="微软雅黑" w:hAnsi="微软雅黑" w:cs="微软雅黑"/>
                <w:color w:val="000000"/>
                <w:sz w:val="20"/>
                <w:szCs w:val="20"/>
              </w:rPr>
            </w:pPr>
            <w:r>
              <w:rPr>
                <w:rFonts w:hint="eastAsia" w:ascii="微软雅黑" w:hAnsi="微软雅黑" w:cs="微软雅黑"/>
                <w:color w:val="000000"/>
                <w:sz w:val="20"/>
                <w:szCs w:val="20"/>
              </w:rPr>
              <w:t>1</w:t>
            </w:r>
          </w:p>
        </w:tc>
        <w:tc>
          <w:tcPr>
            <w:tcW w:w="5048" w:type="dxa"/>
            <w:tcBorders>
              <w:top w:val="single" w:color="auto" w:sz="6" w:space="0"/>
              <w:left w:val="single" w:color="auto" w:sz="6" w:space="0"/>
              <w:bottom w:val="single" w:color="auto" w:sz="6" w:space="0"/>
              <w:right w:val="single" w:color="auto" w:sz="6" w:space="0"/>
            </w:tcBorders>
            <w:vAlign w:val="center"/>
          </w:tcPr>
          <w:p>
            <w:pPr>
              <w:pStyle w:val="25"/>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投标函（见格式1）</w:t>
            </w:r>
          </w:p>
        </w:tc>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487"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84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00"/>
                <w:sz w:val="20"/>
                <w:szCs w:val="20"/>
              </w:rPr>
            </w:pPr>
          </w:p>
        </w:tc>
        <w:tc>
          <w:tcPr>
            <w:tcW w:w="604"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vAlign w:val="center"/>
          </w:tcPr>
          <w:p>
            <w:pPr>
              <w:adjustRightInd/>
              <w:snapToGrid/>
              <w:spacing w:after="0"/>
              <w:rPr>
                <w:rFonts w:ascii="微软雅黑" w:hAnsi="微软雅黑" w:cs="微软雅黑"/>
                <w:b/>
                <w:color w:val="000000"/>
                <w:sz w:val="20"/>
                <w:szCs w:val="20"/>
              </w:rPr>
            </w:pPr>
          </w:p>
        </w:tc>
        <w:tc>
          <w:tcPr>
            <w:tcW w:w="669" w:type="dxa"/>
            <w:tcBorders>
              <w:top w:val="single" w:color="auto" w:sz="6" w:space="0"/>
              <w:left w:val="single" w:color="auto" w:sz="6" w:space="0"/>
              <w:bottom w:val="single" w:color="auto" w:sz="6" w:space="0"/>
              <w:right w:val="single" w:color="auto" w:sz="6" w:space="0"/>
            </w:tcBorders>
            <w:vAlign w:val="center"/>
          </w:tcPr>
          <w:p>
            <w:pPr>
              <w:widowControl w:val="0"/>
              <w:autoSpaceDN w:val="0"/>
              <w:adjustRightInd/>
              <w:snapToGrid/>
              <w:spacing w:after="0"/>
              <w:jc w:val="center"/>
              <w:rPr>
                <w:rFonts w:ascii="微软雅黑" w:hAnsi="微软雅黑" w:cs="微软雅黑"/>
                <w:color w:val="000000"/>
                <w:sz w:val="20"/>
                <w:szCs w:val="20"/>
              </w:rPr>
            </w:pPr>
            <w:r>
              <w:rPr>
                <w:rFonts w:hint="eastAsia" w:ascii="微软雅黑" w:hAnsi="微软雅黑" w:cs="微软雅黑"/>
                <w:color w:val="000000"/>
                <w:sz w:val="20"/>
                <w:szCs w:val="20"/>
              </w:rPr>
              <w:t>2</w:t>
            </w:r>
          </w:p>
        </w:tc>
        <w:tc>
          <w:tcPr>
            <w:tcW w:w="5048" w:type="dxa"/>
            <w:tcBorders>
              <w:top w:val="single" w:color="auto" w:sz="6" w:space="0"/>
              <w:left w:val="single" w:color="auto" w:sz="6" w:space="0"/>
              <w:bottom w:val="single" w:color="auto" w:sz="6" w:space="0"/>
              <w:right w:val="single" w:color="auto" w:sz="6" w:space="0"/>
            </w:tcBorders>
            <w:vAlign w:val="center"/>
          </w:tcPr>
          <w:p>
            <w:pPr>
              <w:pStyle w:val="25"/>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投标人资格声明函（见格式2）</w:t>
            </w:r>
          </w:p>
        </w:tc>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487"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84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00"/>
                <w:sz w:val="20"/>
                <w:szCs w:val="20"/>
              </w:rPr>
            </w:pPr>
          </w:p>
        </w:tc>
        <w:tc>
          <w:tcPr>
            <w:tcW w:w="604"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514" w:type="dxa"/>
            <w:vMerge w:val="continue"/>
            <w:tcBorders>
              <w:top w:val="single" w:color="auto" w:sz="6" w:space="0"/>
              <w:left w:val="single" w:color="auto" w:sz="12" w:space="0"/>
              <w:bottom w:val="single" w:color="auto" w:sz="6" w:space="0"/>
              <w:right w:val="single" w:color="auto" w:sz="6" w:space="0"/>
            </w:tcBorders>
            <w:vAlign w:val="center"/>
          </w:tcPr>
          <w:p>
            <w:pPr>
              <w:adjustRightInd/>
              <w:snapToGrid/>
              <w:spacing w:after="0"/>
              <w:rPr>
                <w:rFonts w:ascii="微软雅黑" w:hAnsi="微软雅黑" w:cs="微软雅黑"/>
                <w:b/>
                <w:color w:val="000000"/>
                <w:sz w:val="20"/>
                <w:szCs w:val="20"/>
              </w:rPr>
            </w:pPr>
          </w:p>
        </w:tc>
        <w:tc>
          <w:tcPr>
            <w:tcW w:w="669" w:type="dxa"/>
            <w:tcBorders>
              <w:top w:val="single" w:color="auto" w:sz="6" w:space="0"/>
              <w:left w:val="single" w:color="auto" w:sz="6" w:space="0"/>
              <w:bottom w:val="single" w:color="auto" w:sz="6" w:space="0"/>
              <w:right w:val="single" w:color="auto" w:sz="6" w:space="0"/>
            </w:tcBorders>
            <w:vAlign w:val="center"/>
          </w:tcPr>
          <w:p>
            <w:pPr>
              <w:widowControl w:val="0"/>
              <w:autoSpaceDN w:val="0"/>
              <w:adjustRightInd/>
              <w:snapToGrid/>
              <w:spacing w:after="0"/>
              <w:jc w:val="center"/>
              <w:rPr>
                <w:rFonts w:ascii="微软雅黑" w:hAnsi="微软雅黑" w:cs="微软雅黑"/>
                <w:color w:val="000000"/>
                <w:sz w:val="20"/>
                <w:szCs w:val="20"/>
              </w:rPr>
            </w:pPr>
            <w:r>
              <w:rPr>
                <w:rFonts w:hint="eastAsia" w:ascii="微软雅黑" w:hAnsi="微软雅黑" w:cs="微软雅黑"/>
                <w:color w:val="000000"/>
                <w:sz w:val="20"/>
                <w:szCs w:val="20"/>
              </w:rPr>
              <w:t>3</w:t>
            </w:r>
          </w:p>
        </w:tc>
        <w:tc>
          <w:tcPr>
            <w:tcW w:w="5048" w:type="dxa"/>
            <w:tcBorders>
              <w:top w:val="single" w:color="auto" w:sz="6" w:space="0"/>
              <w:left w:val="single" w:color="auto" w:sz="6" w:space="0"/>
              <w:bottom w:val="single" w:color="auto" w:sz="6" w:space="0"/>
              <w:right w:val="single" w:color="auto" w:sz="6" w:space="0"/>
            </w:tcBorders>
            <w:vAlign w:val="center"/>
          </w:tcPr>
          <w:p>
            <w:pPr>
              <w:pStyle w:val="25"/>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营业执照副本或事业单位法人证书、</w:t>
            </w:r>
            <w:r>
              <w:rPr>
                <w:rFonts w:hint="eastAsia" w:ascii="微软雅黑" w:hAnsi="微软雅黑" w:eastAsia="微软雅黑" w:cs="微软雅黑"/>
                <w:bCs/>
                <w:color w:val="000000"/>
                <w:sz w:val="20"/>
                <w:szCs w:val="20"/>
              </w:rPr>
              <w:t>税务登记证(</w:t>
            </w:r>
            <w:r>
              <w:rPr>
                <w:rFonts w:hint="eastAsia" w:ascii="微软雅黑" w:hAnsi="微软雅黑" w:eastAsia="微软雅黑" w:cs="微软雅黑"/>
                <w:color w:val="000000"/>
                <w:sz w:val="20"/>
                <w:szCs w:val="20"/>
              </w:rPr>
              <w:t>地税或国税)</w:t>
            </w:r>
            <w:r>
              <w:rPr>
                <w:rFonts w:hint="eastAsia" w:ascii="微软雅黑" w:hAnsi="微软雅黑" w:eastAsia="微软雅黑" w:cs="微软雅黑"/>
                <w:bCs/>
                <w:color w:val="000000"/>
                <w:sz w:val="20"/>
                <w:szCs w:val="20"/>
              </w:rPr>
              <w:t>副本复印件、依法缴纳税收和社会保障资金相关证明文件（如：社保部门、税务部门出具的证明等）复印件</w:t>
            </w:r>
          </w:p>
        </w:tc>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487"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84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00"/>
                <w:sz w:val="20"/>
                <w:szCs w:val="20"/>
              </w:rPr>
            </w:pPr>
          </w:p>
        </w:tc>
        <w:tc>
          <w:tcPr>
            <w:tcW w:w="604"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vAlign w:val="center"/>
          </w:tcPr>
          <w:p>
            <w:pPr>
              <w:adjustRightInd/>
              <w:snapToGrid/>
              <w:spacing w:after="0"/>
              <w:rPr>
                <w:rFonts w:ascii="微软雅黑" w:hAnsi="微软雅黑" w:cs="微软雅黑"/>
                <w:b/>
                <w:color w:val="000000"/>
                <w:sz w:val="20"/>
                <w:szCs w:val="20"/>
              </w:rPr>
            </w:pPr>
          </w:p>
        </w:tc>
        <w:tc>
          <w:tcPr>
            <w:tcW w:w="669" w:type="dxa"/>
            <w:tcBorders>
              <w:top w:val="single" w:color="auto" w:sz="6" w:space="0"/>
              <w:left w:val="single" w:color="auto" w:sz="6" w:space="0"/>
              <w:bottom w:val="single" w:color="auto" w:sz="6" w:space="0"/>
              <w:right w:val="single" w:color="auto" w:sz="6" w:space="0"/>
            </w:tcBorders>
            <w:vAlign w:val="center"/>
          </w:tcPr>
          <w:p>
            <w:pPr>
              <w:widowControl w:val="0"/>
              <w:autoSpaceDN w:val="0"/>
              <w:adjustRightInd/>
              <w:snapToGrid/>
              <w:spacing w:after="0"/>
              <w:jc w:val="center"/>
              <w:rPr>
                <w:rFonts w:ascii="微软雅黑" w:hAnsi="微软雅黑" w:cs="微软雅黑"/>
                <w:color w:val="000000"/>
                <w:sz w:val="20"/>
                <w:szCs w:val="20"/>
              </w:rPr>
            </w:pPr>
            <w:r>
              <w:rPr>
                <w:rFonts w:hint="eastAsia" w:ascii="微软雅黑" w:hAnsi="微软雅黑" w:cs="微软雅黑"/>
                <w:color w:val="000000"/>
                <w:sz w:val="20"/>
                <w:szCs w:val="20"/>
              </w:rPr>
              <w:t>4</w:t>
            </w:r>
          </w:p>
        </w:tc>
        <w:tc>
          <w:tcPr>
            <w:tcW w:w="5048" w:type="dxa"/>
            <w:tcBorders>
              <w:top w:val="single" w:color="auto" w:sz="6" w:space="0"/>
              <w:left w:val="single" w:color="auto" w:sz="6" w:space="0"/>
              <w:bottom w:val="single" w:color="auto" w:sz="6" w:space="0"/>
              <w:right w:val="single" w:color="auto" w:sz="6" w:space="0"/>
            </w:tcBorders>
            <w:vAlign w:val="center"/>
          </w:tcPr>
          <w:p>
            <w:pPr>
              <w:pStyle w:val="25"/>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承诺函（见格式3）</w:t>
            </w:r>
          </w:p>
        </w:tc>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487"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84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00"/>
                <w:sz w:val="20"/>
                <w:szCs w:val="20"/>
              </w:rPr>
            </w:pPr>
          </w:p>
        </w:tc>
        <w:tc>
          <w:tcPr>
            <w:tcW w:w="604"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vAlign w:val="center"/>
          </w:tcPr>
          <w:p>
            <w:pPr>
              <w:adjustRightInd/>
              <w:snapToGrid/>
              <w:spacing w:after="0"/>
              <w:rPr>
                <w:rFonts w:ascii="微软雅黑" w:hAnsi="微软雅黑" w:cs="微软雅黑"/>
                <w:b/>
                <w:color w:val="000000"/>
                <w:sz w:val="20"/>
                <w:szCs w:val="20"/>
              </w:rPr>
            </w:pPr>
          </w:p>
        </w:tc>
        <w:tc>
          <w:tcPr>
            <w:tcW w:w="669" w:type="dxa"/>
            <w:tcBorders>
              <w:top w:val="single" w:color="auto" w:sz="6" w:space="0"/>
              <w:left w:val="single" w:color="auto" w:sz="6" w:space="0"/>
              <w:bottom w:val="single" w:color="auto" w:sz="6" w:space="0"/>
              <w:right w:val="single" w:color="auto" w:sz="6" w:space="0"/>
            </w:tcBorders>
            <w:vAlign w:val="center"/>
          </w:tcPr>
          <w:p>
            <w:pPr>
              <w:adjustRightInd/>
              <w:jc w:val="center"/>
              <w:rPr>
                <w:rFonts w:ascii="微软雅黑" w:hAnsi="微软雅黑" w:cs="微软雅黑"/>
                <w:color w:val="000000"/>
                <w:sz w:val="20"/>
                <w:szCs w:val="20"/>
              </w:rPr>
            </w:pPr>
            <w:r>
              <w:rPr>
                <w:rFonts w:hint="eastAsia" w:ascii="微软雅黑" w:hAnsi="微软雅黑" w:cs="微软雅黑"/>
                <w:color w:val="000000"/>
                <w:sz w:val="20"/>
                <w:szCs w:val="20"/>
              </w:rPr>
              <w:t>5</w:t>
            </w:r>
          </w:p>
        </w:tc>
        <w:tc>
          <w:tcPr>
            <w:tcW w:w="5048" w:type="dxa"/>
            <w:tcBorders>
              <w:top w:val="single" w:color="auto" w:sz="6" w:space="0"/>
              <w:left w:val="single" w:color="auto" w:sz="6" w:space="0"/>
              <w:bottom w:val="single" w:color="auto" w:sz="6" w:space="0"/>
              <w:right w:val="single" w:color="auto" w:sz="6" w:space="0"/>
            </w:tcBorders>
            <w:vAlign w:val="center"/>
          </w:tcPr>
          <w:p>
            <w:pPr>
              <w:pStyle w:val="25"/>
              <w:rPr>
                <w:rFonts w:ascii="微软雅黑" w:hAnsi="微软雅黑" w:eastAsia="微软雅黑" w:cs="微软雅黑"/>
                <w:bCs/>
                <w:color w:val="000000"/>
                <w:sz w:val="20"/>
                <w:szCs w:val="20"/>
              </w:rPr>
            </w:pPr>
            <w:r>
              <w:rPr>
                <w:rFonts w:hint="eastAsia" w:ascii="微软雅黑" w:hAnsi="微软雅黑" w:eastAsia="微软雅黑" w:cs="微软雅黑"/>
                <w:bCs/>
                <w:color w:val="000000"/>
                <w:sz w:val="20"/>
                <w:szCs w:val="20"/>
              </w:rPr>
              <w:t>《公平竞争承诺书》原件</w:t>
            </w:r>
            <w:r>
              <w:rPr>
                <w:rFonts w:hint="eastAsia" w:ascii="微软雅黑" w:hAnsi="微软雅黑" w:eastAsia="微软雅黑" w:cs="微软雅黑"/>
                <w:color w:val="000000"/>
                <w:sz w:val="20"/>
                <w:szCs w:val="20"/>
              </w:rPr>
              <w:t>（见格式4）</w:t>
            </w:r>
          </w:p>
        </w:tc>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487"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84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00"/>
                <w:sz w:val="20"/>
                <w:szCs w:val="20"/>
              </w:rPr>
            </w:pPr>
          </w:p>
        </w:tc>
        <w:tc>
          <w:tcPr>
            <w:tcW w:w="604"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vAlign w:val="center"/>
          </w:tcPr>
          <w:p>
            <w:pPr>
              <w:adjustRightInd/>
              <w:snapToGrid/>
              <w:spacing w:after="0"/>
              <w:rPr>
                <w:rFonts w:ascii="微软雅黑" w:hAnsi="微软雅黑" w:cs="微软雅黑"/>
                <w:b/>
                <w:color w:val="000000"/>
                <w:sz w:val="20"/>
                <w:szCs w:val="20"/>
              </w:rPr>
            </w:pPr>
          </w:p>
        </w:tc>
        <w:tc>
          <w:tcPr>
            <w:tcW w:w="669" w:type="dxa"/>
            <w:tcBorders>
              <w:top w:val="single" w:color="auto" w:sz="6" w:space="0"/>
              <w:left w:val="single" w:color="auto" w:sz="6" w:space="0"/>
              <w:bottom w:val="single" w:color="auto" w:sz="6" w:space="0"/>
              <w:right w:val="single" w:color="auto" w:sz="6" w:space="0"/>
            </w:tcBorders>
            <w:vAlign w:val="center"/>
          </w:tcPr>
          <w:p>
            <w:pPr>
              <w:adjustRightInd/>
              <w:jc w:val="center"/>
              <w:rPr>
                <w:rFonts w:ascii="微软雅黑" w:hAnsi="微软雅黑" w:cs="微软雅黑"/>
                <w:color w:val="000000"/>
                <w:sz w:val="20"/>
                <w:szCs w:val="20"/>
              </w:rPr>
            </w:pPr>
            <w:r>
              <w:rPr>
                <w:rFonts w:hint="eastAsia" w:ascii="微软雅黑" w:hAnsi="微软雅黑" w:cs="微软雅黑"/>
                <w:color w:val="000000"/>
                <w:sz w:val="20"/>
                <w:szCs w:val="20"/>
              </w:rPr>
              <w:t>6</w:t>
            </w:r>
          </w:p>
        </w:tc>
        <w:tc>
          <w:tcPr>
            <w:tcW w:w="5048" w:type="dxa"/>
            <w:tcBorders>
              <w:top w:val="single" w:color="auto" w:sz="6" w:space="0"/>
              <w:left w:val="single" w:color="auto" w:sz="6" w:space="0"/>
              <w:bottom w:val="single" w:color="auto" w:sz="6" w:space="0"/>
              <w:right w:val="single" w:color="auto" w:sz="6" w:space="0"/>
            </w:tcBorders>
            <w:vAlign w:val="center"/>
          </w:tcPr>
          <w:p>
            <w:pPr>
              <w:pStyle w:val="25"/>
              <w:rPr>
                <w:rFonts w:ascii="微软雅黑" w:hAnsi="微软雅黑" w:eastAsia="微软雅黑" w:cs="微软雅黑"/>
                <w:bCs/>
                <w:color w:val="000000"/>
                <w:sz w:val="20"/>
                <w:szCs w:val="20"/>
              </w:rPr>
            </w:pPr>
            <w:r>
              <w:rPr>
                <w:rFonts w:hint="eastAsia" w:ascii="微软雅黑" w:hAnsi="微软雅黑" w:eastAsia="微软雅黑" w:cs="微软雅黑"/>
                <w:bCs/>
                <w:color w:val="000000"/>
                <w:sz w:val="20"/>
                <w:szCs w:val="20"/>
              </w:rPr>
              <w:t>财务状况报告复印件，其他组织或投标人新成立不足一年，提供银行出具的资信证明材料复印件。</w:t>
            </w:r>
          </w:p>
        </w:tc>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487"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84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00"/>
                <w:sz w:val="20"/>
                <w:szCs w:val="20"/>
              </w:rPr>
            </w:pPr>
          </w:p>
        </w:tc>
        <w:tc>
          <w:tcPr>
            <w:tcW w:w="604"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vAlign w:val="center"/>
          </w:tcPr>
          <w:p>
            <w:pPr>
              <w:adjustRightInd/>
              <w:snapToGrid/>
              <w:spacing w:after="0"/>
              <w:rPr>
                <w:rFonts w:ascii="微软雅黑" w:hAnsi="微软雅黑" w:cs="微软雅黑"/>
                <w:b/>
                <w:color w:val="000000"/>
                <w:sz w:val="20"/>
                <w:szCs w:val="20"/>
              </w:rPr>
            </w:pPr>
          </w:p>
        </w:tc>
        <w:tc>
          <w:tcPr>
            <w:tcW w:w="669" w:type="dxa"/>
            <w:tcBorders>
              <w:top w:val="single" w:color="auto" w:sz="6" w:space="0"/>
              <w:left w:val="single" w:color="auto" w:sz="6" w:space="0"/>
              <w:bottom w:val="single" w:color="auto" w:sz="6" w:space="0"/>
              <w:right w:val="single" w:color="auto" w:sz="6" w:space="0"/>
            </w:tcBorders>
            <w:vAlign w:val="center"/>
          </w:tcPr>
          <w:p>
            <w:pPr>
              <w:adjustRightInd/>
              <w:jc w:val="center"/>
              <w:rPr>
                <w:rFonts w:ascii="微软雅黑" w:hAnsi="微软雅黑" w:cs="微软雅黑"/>
                <w:color w:val="000000"/>
                <w:sz w:val="20"/>
                <w:szCs w:val="20"/>
              </w:rPr>
            </w:pPr>
            <w:r>
              <w:rPr>
                <w:rFonts w:hint="eastAsia" w:ascii="微软雅黑" w:hAnsi="微软雅黑" w:cs="微软雅黑"/>
                <w:color w:val="000000"/>
                <w:sz w:val="20"/>
                <w:szCs w:val="20"/>
              </w:rPr>
              <w:t>7</w:t>
            </w:r>
          </w:p>
        </w:tc>
        <w:tc>
          <w:tcPr>
            <w:tcW w:w="5048" w:type="dxa"/>
            <w:tcBorders>
              <w:top w:val="single" w:color="auto" w:sz="6" w:space="0"/>
              <w:left w:val="single" w:color="auto" w:sz="6" w:space="0"/>
              <w:bottom w:val="single" w:color="auto" w:sz="6" w:space="0"/>
              <w:right w:val="single" w:color="auto" w:sz="6" w:space="0"/>
            </w:tcBorders>
            <w:vAlign w:val="center"/>
          </w:tcPr>
          <w:p>
            <w:pPr>
              <w:pStyle w:val="25"/>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法定代表人授权委托书或法定代表人证明书（见格式5、6）</w:t>
            </w:r>
          </w:p>
        </w:tc>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487"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84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00"/>
                <w:sz w:val="20"/>
                <w:szCs w:val="20"/>
              </w:rPr>
            </w:pPr>
          </w:p>
        </w:tc>
        <w:tc>
          <w:tcPr>
            <w:tcW w:w="604"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3" w:hRule="atLeast"/>
          <w:jc w:val="center"/>
        </w:trPr>
        <w:tc>
          <w:tcPr>
            <w:tcW w:w="1514" w:type="dxa"/>
            <w:vMerge w:val="continue"/>
            <w:tcBorders>
              <w:top w:val="single" w:color="auto" w:sz="6" w:space="0"/>
              <w:left w:val="single" w:color="auto" w:sz="12" w:space="0"/>
              <w:bottom w:val="single" w:color="auto" w:sz="6" w:space="0"/>
              <w:right w:val="single" w:color="auto" w:sz="6" w:space="0"/>
            </w:tcBorders>
            <w:vAlign w:val="center"/>
          </w:tcPr>
          <w:p>
            <w:pPr>
              <w:adjustRightInd/>
              <w:snapToGrid/>
              <w:spacing w:after="0"/>
              <w:rPr>
                <w:rFonts w:ascii="微软雅黑" w:hAnsi="微软雅黑" w:cs="微软雅黑"/>
                <w:b/>
                <w:color w:val="000000"/>
                <w:sz w:val="20"/>
                <w:szCs w:val="20"/>
              </w:rPr>
            </w:pPr>
          </w:p>
        </w:tc>
        <w:tc>
          <w:tcPr>
            <w:tcW w:w="669" w:type="dxa"/>
            <w:tcBorders>
              <w:top w:val="single" w:color="auto" w:sz="6" w:space="0"/>
              <w:left w:val="single" w:color="auto" w:sz="6" w:space="0"/>
              <w:bottom w:val="single" w:color="auto" w:sz="6" w:space="0"/>
              <w:right w:val="single" w:color="auto" w:sz="6" w:space="0"/>
            </w:tcBorders>
            <w:vAlign w:val="center"/>
          </w:tcPr>
          <w:p>
            <w:pPr>
              <w:adjustRightInd/>
              <w:jc w:val="center"/>
              <w:rPr>
                <w:rFonts w:ascii="微软雅黑" w:hAnsi="微软雅黑" w:cs="微软雅黑"/>
                <w:color w:val="000000"/>
                <w:sz w:val="20"/>
                <w:szCs w:val="20"/>
              </w:rPr>
            </w:pPr>
            <w:r>
              <w:rPr>
                <w:rFonts w:hint="eastAsia" w:ascii="微软雅黑" w:hAnsi="微软雅黑" w:cs="微软雅黑"/>
                <w:color w:val="000000"/>
                <w:sz w:val="20"/>
                <w:szCs w:val="20"/>
              </w:rPr>
              <w:t>8</w:t>
            </w:r>
          </w:p>
        </w:tc>
        <w:tc>
          <w:tcPr>
            <w:tcW w:w="504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微软雅黑" w:hAnsi="微软雅黑" w:cs="微软雅黑"/>
                <w:color w:val="000000"/>
                <w:sz w:val="20"/>
                <w:szCs w:val="20"/>
              </w:rPr>
            </w:pPr>
            <w:r>
              <w:rPr>
                <w:rFonts w:hint="eastAsia" w:ascii="微软雅黑" w:hAnsi="微软雅黑" w:cs="微软雅黑"/>
                <w:color w:val="000000"/>
                <w:sz w:val="20"/>
                <w:szCs w:val="20"/>
              </w:rPr>
              <w:t>投标人须为在中国境内注册并合法存续的独立法人或非法人组织；提供营业执照复印件。</w:t>
            </w:r>
          </w:p>
        </w:tc>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487"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84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00"/>
                <w:sz w:val="20"/>
                <w:szCs w:val="20"/>
              </w:rPr>
            </w:pPr>
          </w:p>
        </w:tc>
        <w:tc>
          <w:tcPr>
            <w:tcW w:w="604"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vAlign w:val="center"/>
          </w:tcPr>
          <w:p>
            <w:pPr>
              <w:adjustRightInd/>
              <w:snapToGrid/>
              <w:spacing w:after="0"/>
              <w:rPr>
                <w:rFonts w:ascii="微软雅黑" w:hAnsi="微软雅黑" w:cs="微软雅黑"/>
                <w:b/>
                <w:color w:val="000000"/>
                <w:sz w:val="20"/>
                <w:szCs w:val="20"/>
              </w:rPr>
            </w:pPr>
          </w:p>
        </w:tc>
        <w:tc>
          <w:tcPr>
            <w:tcW w:w="669" w:type="dxa"/>
            <w:tcBorders>
              <w:top w:val="single" w:color="auto" w:sz="6" w:space="0"/>
              <w:left w:val="single" w:color="auto" w:sz="6" w:space="0"/>
              <w:bottom w:val="single" w:color="auto" w:sz="6" w:space="0"/>
              <w:right w:val="single" w:color="auto" w:sz="6" w:space="0"/>
            </w:tcBorders>
            <w:vAlign w:val="center"/>
          </w:tcPr>
          <w:p>
            <w:pPr>
              <w:adjustRightInd/>
              <w:jc w:val="center"/>
              <w:rPr>
                <w:rFonts w:ascii="微软雅黑" w:hAnsi="微软雅黑" w:cs="微软雅黑"/>
                <w:color w:val="000000"/>
                <w:sz w:val="20"/>
                <w:szCs w:val="20"/>
              </w:rPr>
            </w:pPr>
            <w:r>
              <w:rPr>
                <w:rFonts w:hint="eastAsia" w:ascii="微软雅黑" w:hAnsi="微软雅黑" w:cs="微软雅黑"/>
                <w:color w:val="000000"/>
                <w:sz w:val="20"/>
                <w:szCs w:val="20"/>
              </w:rPr>
              <w:t>9</w:t>
            </w:r>
          </w:p>
        </w:tc>
        <w:tc>
          <w:tcPr>
            <w:tcW w:w="5048" w:type="dxa"/>
            <w:tcBorders>
              <w:top w:val="single" w:color="auto" w:sz="6" w:space="0"/>
              <w:left w:val="single" w:color="auto" w:sz="6" w:space="0"/>
              <w:bottom w:val="single" w:color="auto" w:sz="6" w:space="0"/>
              <w:right w:val="single" w:color="auto" w:sz="6" w:space="0"/>
            </w:tcBorders>
            <w:vAlign w:val="center"/>
          </w:tcPr>
          <w:p>
            <w:pPr>
              <w:pStyle w:val="25"/>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投标人没有处于被责令停业或破产状态，且资产未被重组、接管和冻结，声明在经营活动及投标活动中三年内没有重大违法活动和涉嫌违规行为；</w:t>
            </w:r>
            <w:r>
              <w:rPr>
                <w:rFonts w:hint="eastAsia" w:ascii="微软雅黑" w:hAnsi="微软雅黑" w:eastAsia="微软雅黑" w:cs="微软雅黑"/>
                <w:bCs/>
                <w:color w:val="000000"/>
                <w:sz w:val="20"/>
                <w:szCs w:val="20"/>
              </w:rPr>
              <w:t>提供相关声明。</w:t>
            </w:r>
          </w:p>
        </w:tc>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487"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84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00"/>
                <w:sz w:val="20"/>
                <w:szCs w:val="20"/>
              </w:rPr>
            </w:pPr>
          </w:p>
        </w:tc>
        <w:tc>
          <w:tcPr>
            <w:tcW w:w="604"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88" w:hRule="atLeast"/>
          <w:jc w:val="center"/>
        </w:trPr>
        <w:tc>
          <w:tcPr>
            <w:tcW w:w="1514" w:type="dxa"/>
            <w:vMerge w:val="continue"/>
            <w:tcBorders>
              <w:top w:val="single" w:color="auto" w:sz="6" w:space="0"/>
              <w:left w:val="single" w:color="auto" w:sz="12" w:space="0"/>
              <w:bottom w:val="single" w:color="auto" w:sz="6" w:space="0"/>
              <w:right w:val="single" w:color="auto" w:sz="6" w:space="0"/>
            </w:tcBorders>
            <w:vAlign w:val="center"/>
          </w:tcPr>
          <w:p>
            <w:pPr>
              <w:adjustRightInd/>
              <w:snapToGrid/>
              <w:spacing w:after="0"/>
              <w:rPr>
                <w:rFonts w:ascii="微软雅黑" w:hAnsi="微软雅黑" w:cs="微软雅黑"/>
                <w:b/>
                <w:color w:val="000000"/>
                <w:sz w:val="20"/>
                <w:szCs w:val="20"/>
              </w:rPr>
            </w:pPr>
          </w:p>
        </w:tc>
        <w:tc>
          <w:tcPr>
            <w:tcW w:w="669" w:type="dxa"/>
            <w:tcBorders>
              <w:top w:val="single" w:color="auto" w:sz="6" w:space="0"/>
              <w:left w:val="single" w:color="auto" w:sz="6" w:space="0"/>
              <w:bottom w:val="single" w:color="auto" w:sz="6" w:space="0"/>
              <w:right w:val="single" w:color="auto" w:sz="6" w:space="0"/>
            </w:tcBorders>
            <w:vAlign w:val="center"/>
          </w:tcPr>
          <w:p>
            <w:pPr>
              <w:adjustRightInd/>
              <w:jc w:val="center"/>
              <w:rPr>
                <w:rFonts w:ascii="微软雅黑" w:hAnsi="微软雅黑" w:cs="微软雅黑"/>
                <w:color w:val="000000"/>
                <w:sz w:val="20"/>
                <w:szCs w:val="20"/>
              </w:rPr>
            </w:pPr>
            <w:r>
              <w:rPr>
                <w:rFonts w:hint="eastAsia" w:ascii="微软雅黑" w:hAnsi="微软雅黑" w:cs="微软雅黑"/>
                <w:color w:val="000000"/>
                <w:sz w:val="20"/>
                <w:szCs w:val="20"/>
              </w:rPr>
              <w:t>10</w:t>
            </w:r>
          </w:p>
        </w:tc>
        <w:tc>
          <w:tcPr>
            <w:tcW w:w="5048" w:type="dxa"/>
            <w:tcBorders>
              <w:top w:val="single" w:color="auto" w:sz="6" w:space="0"/>
              <w:left w:val="single" w:color="auto" w:sz="6" w:space="0"/>
              <w:bottom w:val="single" w:color="auto" w:sz="6" w:space="0"/>
              <w:right w:val="single" w:color="auto" w:sz="6" w:space="0"/>
            </w:tcBorders>
            <w:vAlign w:val="center"/>
          </w:tcPr>
          <w:p>
            <w:pPr>
              <w:pStyle w:val="25"/>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投标人没有列入失信被执行人、重大税收违法案件当事人名单、政府采购严重违法失信行为记录名单，相关主体信用记录通过“信用中国”网站（www.creditchina.gov.cn）、中国政府采购网（www.ccgp.gov.cn）等渠道查询；</w:t>
            </w:r>
            <w:r>
              <w:rPr>
                <w:rFonts w:hint="eastAsia" w:ascii="微软雅黑" w:hAnsi="微软雅黑" w:eastAsia="微软雅黑" w:cs="微软雅黑"/>
                <w:bCs/>
                <w:color w:val="000000"/>
                <w:sz w:val="20"/>
                <w:szCs w:val="20"/>
              </w:rPr>
              <w:t>提供相关网页截图。</w:t>
            </w:r>
          </w:p>
        </w:tc>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487"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84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00"/>
                <w:sz w:val="20"/>
                <w:szCs w:val="20"/>
              </w:rPr>
            </w:pPr>
          </w:p>
        </w:tc>
        <w:tc>
          <w:tcPr>
            <w:tcW w:w="604"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514" w:type="dxa"/>
            <w:vMerge w:val="continue"/>
            <w:tcBorders>
              <w:top w:val="single" w:color="auto" w:sz="6" w:space="0"/>
              <w:left w:val="single" w:color="auto" w:sz="12" w:space="0"/>
              <w:bottom w:val="single" w:color="auto" w:sz="6" w:space="0"/>
              <w:right w:val="single" w:color="auto" w:sz="6" w:space="0"/>
            </w:tcBorders>
            <w:vAlign w:val="center"/>
          </w:tcPr>
          <w:p>
            <w:pPr>
              <w:adjustRightInd/>
              <w:snapToGrid/>
              <w:spacing w:after="0"/>
              <w:rPr>
                <w:rFonts w:ascii="微软雅黑" w:hAnsi="微软雅黑" w:cs="微软雅黑"/>
                <w:b/>
                <w:color w:val="000000"/>
                <w:sz w:val="20"/>
                <w:szCs w:val="20"/>
              </w:rPr>
            </w:pPr>
          </w:p>
        </w:tc>
        <w:tc>
          <w:tcPr>
            <w:tcW w:w="669" w:type="dxa"/>
            <w:tcBorders>
              <w:top w:val="single" w:color="auto" w:sz="6" w:space="0"/>
              <w:left w:val="single" w:color="auto" w:sz="6" w:space="0"/>
              <w:bottom w:val="single" w:color="auto" w:sz="6" w:space="0"/>
              <w:right w:val="single" w:color="auto" w:sz="6" w:space="0"/>
            </w:tcBorders>
            <w:vAlign w:val="center"/>
          </w:tcPr>
          <w:p>
            <w:pPr>
              <w:pStyle w:val="25"/>
              <w:jc w:val="center"/>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11</w:t>
            </w:r>
          </w:p>
        </w:tc>
        <w:tc>
          <w:tcPr>
            <w:tcW w:w="5048" w:type="dxa"/>
            <w:tcBorders>
              <w:top w:val="single" w:color="auto" w:sz="6" w:space="0"/>
              <w:left w:val="single" w:color="auto" w:sz="6" w:space="0"/>
              <w:bottom w:val="single" w:color="auto" w:sz="6" w:space="0"/>
              <w:right w:val="single" w:color="auto" w:sz="6" w:space="0"/>
            </w:tcBorders>
            <w:vAlign w:val="center"/>
          </w:tcPr>
          <w:p>
            <w:pPr>
              <w:pStyle w:val="25"/>
              <w:rPr>
                <w:rFonts w:ascii="微软雅黑" w:hAnsi="微软雅黑" w:eastAsia="微软雅黑" w:cs="微软雅黑"/>
                <w:color w:val="000000"/>
                <w:sz w:val="20"/>
                <w:szCs w:val="20"/>
              </w:rPr>
            </w:pPr>
            <w:r>
              <w:rPr>
                <w:rFonts w:hint="eastAsia" w:ascii="微软雅黑" w:hAnsi="微软雅黑" w:eastAsia="微软雅黑" w:cs="微软雅黑"/>
                <w:b/>
                <w:color w:val="000000"/>
                <w:sz w:val="20"/>
                <w:szCs w:val="20"/>
              </w:rPr>
              <w:t>开标一览表（见格式7）</w:t>
            </w:r>
          </w:p>
        </w:tc>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487"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84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00"/>
                <w:sz w:val="20"/>
                <w:szCs w:val="20"/>
              </w:rPr>
            </w:pPr>
          </w:p>
        </w:tc>
        <w:tc>
          <w:tcPr>
            <w:tcW w:w="604"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9" w:hRule="atLeast"/>
          <w:jc w:val="center"/>
        </w:trPr>
        <w:tc>
          <w:tcPr>
            <w:tcW w:w="1514" w:type="dxa"/>
            <w:vMerge w:val="restart"/>
            <w:tcBorders>
              <w:top w:val="single" w:color="auto" w:sz="6" w:space="0"/>
              <w:left w:val="single" w:color="auto" w:sz="12" w:space="0"/>
              <w:bottom w:val="single" w:color="auto" w:sz="6" w:space="0"/>
              <w:right w:val="single" w:color="auto" w:sz="6" w:space="0"/>
            </w:tcBorders>
            <w:vAlign w:val="center"/>
          </w:tcPr>
          <w:p>
            <w:pPr>
              <w:ind w:left="113" w:right="113"/>
              <w:jc w:val="center"/>
              <w:rPr>
                <w:rFonts w:ascii="微软雅黑" w:hAnsi="微软雅黑" w:cs="微软雅黑"/>
                <w:color w:val="000000"/>
                <w:sz w:val="20"/>
                <w:szCs w:val="20"/>
              </w:rPr>
            </w:pPr>
            <w:r>
              <w:rPr>
                <w:rFonts w:hint="eastAsia" w:ascii="微软雅黑" w:hAnsi="微软雅黑" w:cs="微软雅黑"/>
                <w:b/>
                <w:color w:val="000000"/>
                <w:sz w:val="20"/>
                <w:szCs w:val="20"/>
              </w:rPr>
              <w:t>投标人应提交的技术文件（</w:t>
            </w:r>
            <w:r>
              <w:rPr>
                <w:rFonts w:hint="eastAsia" w:ascii="微软雅黑" w:hAnsi="微软雅黑" w:cs="微软雅黑"/>
                <w:b/>
                <w:bCs/>
                <w:color w:val="000000"/>
                <w:sz w:val="20"/>
                <w:szCs w:val="20"/>
              </w:rPr>
              <w:t>加盖投标人公章</w:t>
            </w:r>
            <w:r>
              <w:rPr>
                <w:rFonts w:hint="eastAsia" w:ascii="微软雅黑" w:hAnsi="微软雅黑" w:cs="微软雅黑"/>
                <w:b/>
                <w:color w:val="000000"/>
                <w:sz w:val="20"/>
                <w:szCs w:val="20"/>
              </w:rPr>
              <w:t>）</w:t>
            </w:r>
          </w:p>
        </w:tc>
        <w:tc>
          <w:tcPr>
            <w:tcW w:w="669" w:type="dxa"/>
            <w:tcBorders>
              <w:top w:val="single" w:color="auto" w:sz="6" w:space="0"/>
              <w:left w:val="single" w:color="auto" w:sz="6" w:space="0"/>
              <w:bottom w:val="single" w:color="auto" w:sz="6" w:space="0"/>
              <w:right w:val="single" w:color="auto" w:sz="6" w:space="0"/>
            </w:tcBorders>
            <w:vAlign w:val="center"/>
          </w:tcPr>
          <w:p>
            <w:pPr>
              <w:widowControl w:val="0"/>
              <w:numPr>
                <w:ilvl w:val="0"/>
                <w:numId w:val="10"/>
              </w:numPr>
              <w:autoSpaceDN w:val="0"/>
              <w:adjustRightInd/>
              <w:snapToGrid/>
              <w:spacing w:after="0"/>
              <w:jc w:val="center"/>
              <w:rPr>
                <w:rFonts w:ascii="微软雅黑" w:hAnsi="微软雅黑" w:cs="微软雅黑"/>
                <w:color w:val="000000"/>
                <w:sz w:val="20"/>
                <w:szCs w:val="20"/>
              </w:rPr>
            </w:pPr>
          </w:p>
        </w:tc>
        <w:tc>
          <w:tcPr>
            <w:tcW w:w="5048" w:type="dxa"/>
            <w:tcBorders>
              <w:top w:val="single" w:color="auto" w:sz="6" w:space="0"/>
              <w:left w:val="single" w:color="auto" w:sz="6" w:space="0"/>
              <w:bottom w:val="single" w:color="auto" w:sz="6" w:space="0"/>
              <w:right w:val="single" w:color="auto" w:sz="6" w:space="0"/>
            </w:tcBorders>
            <w:vAlign w:val="center"/>
          </w:tcPr>
          <w:p>
            <w:pPr>
              <w:pStyle w:val="25"/>
              <w:rPr>
                <w:rFonts w:ascii="微软雅黑" w:hAnsi="微软雅黑" w:eastAsia="微软雅黑" w:cs="微软雅黑"/>
                <w:color w:val="000000"/>
                <w:sz w:val="20"/>
                <w:szCs w:val="20"/>
              </w:rPr>
            </w:pPr>
            <w:r>
              <w:rPr>
                <w:rFonts w:hint="eastAsia" w:ascii="微软雅黑" w:hAnsi="微软雅黑" w:eastAsia="微软雅黑" w:cs="微软雅黑"/>
                <w:color w:val="000000"/>
                <w:sz w:val="20"/>
                <w:szCs w:val="20"/>
              </w:rPr>
              <w:t>服务方案（见格式8）</w:t>
            </w:r>
          </w:p>
        </w:tc>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487"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84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00"/>
                <w:sz w:val="20"/>
                <w:szCs w:val="20"/>
              </w:rPr>
            </w:pPr>
          </w:p>
        </w:tc>
        <w:tc>
          <w:tcPr>
            <w:tcW w:w="604"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65" w:hRule="atLeast"/>
          <w:jc w:val="center"/>
        </w:trPr>
        <w:tc>
          <w:tcPr>
            <w:tcW w:w="1514" w:type="dxa"/>
            <w:vMerge w:val="continue"/>
            <w:tcBorders>
              <w:top w:val="single" w:color="auto" w:sz="6" w:space="0"/>
              <w:left w:val="single" w:color="auto" w:sz="12" w:space="0"/>
              <w:bottom w:val="single" w:color="auto" w:sz="6" w:space="0"/>
              <w:right w:val="single" w:color="auto" w:sz="6" w:space="0"/>
            </w:tcBorders>
            <w:vAlign w:val="center"/>
          </w:tcPr>
          <w:p>
            <w:pPr>
              <w:adjustRightInd/>
              <w:snapToGrid/>
              <w:spacing w:after="0"/>
              <w:rPr>
                <w:rFonts w:ascii="微软雅黑" w:hAnsi="微软雅黑" w:cs="微软雅黑"/>
                <w:color w:val="000000"/>
                <w:sz w:val="20"/>
                <w:szCs w:val="20"/>
              </w:rPr>
            </w:pPr>
          </w:p>
        </w:tc>
        <w:tc>
          <w:tcPr>
            <w:tcW w:w="669" w:type="dxa"/>
            <w:tcBorders>
              <w:top w:val="single" w:color="auto" w:sz="6" w:space="0"/>
              <w:left w:val="single" w:color="auto" w:sz="6" w:space="0"/>
              <w:bottom w:val="single" w:color="auto" w:sz="6" w:space="0"/>
              <w:right w:val="single" w:color="auto" w:sz="6" w:space="0"/>
            </w:tcBorders>
            <w:vAlign w:val="center"/>
          </w:tcPr>
          <w:p>
            <w:pPr>
              <w:widowControl w:val="0"/>
              <w:numPr>
                <w:ilvl w:val="0"/>
                <w:numId w:val="10"/>
              </w:numPr>
              <w:autoSpaceDN w:val="0"/>
              <w:adjustRightInd/>
              <w:snapToGrid/>
              <w:spacing w:after="0"/>
              <w:jc w:val="center"/>
              <w:rPr>
                <w:rFonts w:ascii="微软雅黑" w:hAnsi="微软雅黑" w:cs="微软雅黑"/>
                <w:color w:val="000000"/>
                <w:sz w:val="20"/>
                <w:szCs w:val="20"/>
              </w:rPr>
            </w:pPr>
          </w:p>
        </w:tc>
        <w:tc>
          <w:tcPr>
            <w:tcW w:w="5048" w:type="dxa"/>
            <w:tcBorders>
              <w:top w:val="single" w:color="auto" w:sz="6" w:space="0"/>
              <w:left w:val="single" w:color="auto" w:sz="6" w:space="0"/>
              <w:bottom w:val="single" w:color="auto" w:sz="6" w:space="0"/>
              <w:right w:val="single" w:color="auto" w:sz="6" w:space="0"/>
            </w:tcBorders>
            <w:vAlign w:val="center"/>
          </w:tcPr>
          <w:p>
            <w:pPr>
              <w:pStyle w:val="25"/>
              <w:rPr>
                <w:rFonts w:ascii="微软雅黑" w:hAnsi="微软雅黑" w:eastAsia="微软雅黑" w:cs="微软雅黑"/>
                <w:bCs/>
                <w:color w:val="000000"/>
                <w:sz w:val="20"/>
                <w:szCs w:val="20"/>
              </w:rPr>
            </w:pPr>
            <w:r>
              <w:rPr>
                <w:rFonts w:hint="eastAsia" w:ascii="微软雅黑" w:hAnsi="微软雅黑" w:eastAsia="微软雅黑" w:cs="微软雅黑"/>
                <w:bCs/>
                <w:color w:val="000000"/>
                <w:sz w:val="20"/>
                <w:szCs w:val="20"/>
              </w:rPr>
              <w:t>投标人认为需要提供的其它说明和资料</w:t>
            </w:r>
          </w:p>
        </w:tc>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487"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84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00"/>
                <w:sz w:val="20"/>
                <w:szCs w:val="20"/>
              </w:rPr>
            </w:pPr>
          </w:p>
        </w:tc>
        <w:tc>
          <w:tcPr>
            <w:tcW w:w="604"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64" w:hRule="atLeast"/>
          <w:jc w:val="center"/>
        </w:trPr>
        <w:tc>
          <w:tcPr>
            <w:tcW w:w="1514" w:type="dxa"/>
            <w:vMerge w:val="restart"/>
            <w:tcBorders>
              <w:top w:val="single" w:color="auto" w:sz="6" w:space="0"/>
              <w:left w:val="single" w:color="auto" w:sz="12" w:space="0"/>
              <w:bottom w:val="single" w:color="auto" w:sz="12" w:space="0"/>
              <w:right w:val="single" w:color="auto" w:sz="6" w:space="0"/>
            </w:tcBorders>
            <w:vAlign w:val="center"/>
          </w:tcPr>
          <w:p>
            <w:pPr>
              <w:jc w:val="center"/>
              <w:rPr>
                <w:rFonts w:ascii="微软雅黑" w:hAnsi="微软雅黑" w:cs="微软雅黑"/>
                <w:color w:val="000000"/>
                <w:sz w:val="20"/>
                <w:szCs w:val="20"/>
              </w:rPr>
            </w:pPr>
            <w:r>
              <w:rPr>
                <w:rFonts w:hint="eastAsia" w:ascii="微软雅黑" w:hAnsi="微软雅黑" w:cs="微软雅黑"/>
                <w:b/>
                <w:color w:val="000000"/>
                <w:sz w:val="20"/>
                <w:szCs w:val="20"/>
              </w:rPr>
              <w:t>投标人应提交的商务文件（</w:t>
            </w:r>
            <w:r>
              <w:rPr>
                <w:rFonts w:hint="eastAsia" w:ascii="微软雅黑" w:hAnsi="微软雅黑" w:cs="微软雅黑"/>
                <w:b/>
                <w:bCs/>
                <w:color w:val="000000"/>
                <w:sz w:val="20"/>
                <w:szCs w:val="20"/>
              </w:rPr>
              <w:t>加盖投标人公章</w:t>
            </w:r>
            <w:r>
              <w:rPr>
                <w:rFonts w:hint="eastAsia" w:ascii="微软雅黑" w:hAnsi="微软雅黑" w:cs="微软雅黑"/>
                <w:b/>
                <w:color w:val="000000"/>
                <w:sz w:val="20"/>
                <w:szCs w:val="20"/>
              </w:rPr>
              <w:t>）</w:t>
            </w:r>
          </w:p>
        </w:tc>
        <w:tc>
          <w:tcPr>
            <w:tcW w:w="669" w:type="dxa"/>
            <w:tcBorders>
              <w:top w:val="single" w:color="auto" w:sz="6" w:space="0"/>
              <w:left w:val="single" w:color="auto" w:sz="6" w:space="0"/>
              <w:bottom w:val="single" w:color="auto" w:sz="6" w:space="0"/>
              <w:right w:val="single" w:color="auto" w:sz="6" w:space="0"/>
            </w:tcBorders>
            <w:vAlign w:val="center"/>
          </w:tcPr>
          <w:p>
            <w:pPr>
              <w:jc w:val="center"/>
              <w:textAlignment w:val="baseline"/>
              <w:rPr>
                <w:rFonts w:ascii="微软雅黑" w:hAnsi="微软雅黑" w:cs="微软雅黑"/>
                <w:color w:val="000000"/>
                <w:sz w:val="20"/>
                <w:szCs w:val="20"/>
              </w:rPr>
            </w:pPr>
            <w:r>
              <w:rPr>
                <w:rFonts w:hint="eastAsia" w:ascii="微软雅黑" w:hAnsi="微软雅黑" w:cs="微软雅黑"/>
                <w:color w:val="000000"/>
                <w:sz w:val="20"/>
                <w:szCs w:val="20"/>
              </w:rPr>
              <w:t>1</w:t>
            </w:r>
          </w:p>
        </w:tc>
        <w:tc>
          <w:tcPr>
            <w:tcW w:w="5048" w:type="dxa"/>
            <w:tcBorders>
              <w:top w:val="single" w:color="auto" w:sz="6" w:space="0"/>
              <w:left w:val="single" w:color="auto" w:sz="6" w:space="0"/>
              <w:bottom w:val="single" w:color="auto" w:sz="6" w:space="0"/>
              <w:right w:val="single" w:color="auto" w:sz="6" w:space="0"/>
            </w:tcBorders>
            <w:vAlign w:val="center"/>
          </w:tcPr>
          <w:p>
            <w:pPr>
              <w:pStyle w:val="25"/>
              <w:rPr>
                <w:rFonts w:ascii="微软雅黑" w:hAnsi="微软雅黑" w:eastAsia="微软雅黑" w:cs="微软雅黑"/>
                <w:bCs/>
                <w:color w:val="000000"/>
                <w:sz w:val="20"/>
                <w:szCs w:val="20"/>
              </w:rPr>
            </w:pPr>
            <w:r>
              <w:rPr>
                <w:rFonts w:hint="eastAsia" w:ascii="微软雅黑" w:hAnsi="微软雅黑" w:eastAsia="微软雅黑" w:cs="微软雅黑"/>
                <w:bCs/>
                <w:color w:val="000000"/>
                <w:sz w:val="20"/>
                <w:szCs w:val="20"/>
              </w:rPr>
              <w:t>投标人基本情况表（见格式9）</w:t>
            </w:r>
          </w:p>
        </w:tc>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487"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84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00"/>
                <w:sz w:val="20"/>
                <w:szCs w:val="20"/>
              </w:rPr>
            </w:pPr>
          </w:p>
        </w:tc>
        <w:tc>
          <w:tcPr>
            <w:tcW w:w="604"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5" w:hRule="atLeast"/>
          <w:jc w:val="center"/>
        </w:trPr>
        <w:tc>
          <w:tcPr>
            <w:tcW w:w="1514" w:type="dxa"/>
            <w:vMerge w:val="continue"/>
            <w:tcBorders>
              <w:top w:val="single" w:color="auto" w:sz="6" w:space="0"/>
              <w:left w:val="single" w:color="auto" w:sz="12" w:space="0"/>
              <w:bottom w:val="single" w:color="auto" w:sz="12" w:space="0"/>
              <w:right w:val="single" w:color="auto" w:sz="6" w:space="0"/>
            </w:tcBorders>
            <w:vAlign w:val="center"/>
          </w:tcPr>
          <w:p>
            <w:pPr>
              <w:adjustRightInd/>
              <w:snapToGrid/>
              <w:spacing w:after="0"/>
              <w:rPr>
                <w:rFonts w:ascii="微软雅黑" w:hAnsi="微软雅黑" w:cs="微软雅黑"/>
                <w:color w:val="000000"/>
                <w:sz w:val="20"/>
                <w:szCs w:val="20"/>
              </w:rPr>
            </w:pPr>
          </w:p>
        </w:tc>
        <w:tc>
          <w:tcPr>
            <w:tcW w:w="669" w:type="dxa"/>
            <w:tcBorders>
              <w:top w:val="single" w:color="auto" w:sz="6" w:space="0"/>
              <w:left w:val="single" w:color="auto" w:sz="6" w:space="0"/>
              <w:bottom w:val="single" w:color="auto" w:sz="6" w:space="0"/>
              <w:right w:val="single" w:color="auto" w:sz="6" w:space="0"/>
            </w:tcBorders>
            <w:vAlign w:val="center"/>
          </w:tcPr>
          <w:p>
            <w:pPr>
              <w:jc w:val="center"/>
              <w:textAlignment w:val="baseline"/>
              <w:rPr>
                <w:rFonts w:ascii="微软雅黑" w:hAnsi="微软雅黑" w:cs="微软雅黑"/>
                <w:color w:val="000000"/>
                <w:sz w:val="20"/>
                <w:szCs w:val="20"/>
              </w:rPr>
            </w:pPr>
            <w:r>
              <w:rPr>
                <w:rFonts w:hint="eastAsia" w:ascii="微软雅黑" w:hAnsi="微软雅黑" w:cs="微软雅黑"/>
                <w:color w:val="000000"/>
                <w:sz w:val="20"/>
                <w:szCs w:val="20"/>
              </w:rPr>
              <w:t>2</w:t>
            </w:r>
          </w:p>
        </w:tc>
        <w:tc>
          <w:tcPr>
            <w:tcW w:w="5048" w:type="dxa"/>
            <w:tcBorders>
              <w:top w:val="single" w:color="auto" w:sz="6" w:space="0"/>
              <w:left w:val="single" w:color="auto" w:sz="6" w:space="0"/>
              <w:bottom w:val="single" w:color="auto" w:sz="6" w:space="0"/>
              <w:right w:val="single" w:color="auto" w:sz="6" w:space="0"/>
            </w:tcBorders>
            <w:vAlign w:val="center"/>
          </w:tcPr>
          <w:p>
            <w:pPr>
              <w:jc w:val="both"/>
              <w:rPr>
                <w:rFonts w:ascii="微软雅黑" w:hAnsi="微软雅黑" w:cs="微软雅黑"/>
                <w:bCs/>
                <w:color w:val="FF0000"/>
                <w:kern w:val="2"/>
                <w:sz w:val="20"/>
                <w:szCs w:val="20"/>
              </w:rPr>
            </w:pPr>
            <w:r>
              <w:rPr>
                <w:rFonts w:hint="eastAsia" w:ascii="微软雅黑" w:hAnsi="微软雅黑" w:cs="微软雅黑"/>
                <w:bCs/>
                <w:color w:val="FF0000"/>
                <w:kern w:val="2"/>
                <w:sz w:val="20"/>
                <w:szCs w:val="20"/>
              </w:rPr>
              <w:t>投标人资质情况（格式自定）</w:t>
            </w:r>
          </w:p>
        </w:tc>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487"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84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00"/>
                <w:sz w:val="20"/>
                <w:szCs w:val="20"/>
              </w:rPr>
            </w:pPr>
          </w:p>
        </w:tc>
        <w:tc>
          <w:tcPr>
            <w:tcW w:w="604"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0" w:hRule="atLeast"/>
          <w:jc w:val="center"/>
        </w:trPr>
        <w:tc>
          <w:tcPr>
            <w:tcW w:w="1514" w:type="dxa"/>
            <w:vMerge w:val="continue"/>
            <w:tcBorders>
              <w:top w:val="single" w:color="auto" w:sz="6" w:space="0"/>
              <w:left w:val="single" w:color="auto" w:sz="12" w:space="0"/>
              <w:bottom w:val="single" w:color="auto" w:sz="12" w:space="0"/>
              <w:right w:val="single" w:color="auto" w:sz="6" w:space="0"/>
            </w:tcBorders>
            <w:vAlign w:val="center"/>
          </w:tcPr>
          <w:p>
            <w:pPr>
              <w:adjustRightInd/>
              <w:snapToGrid/>
              <w:spacing w:after="0"/>
              <w:rPr>
                <w:rFonts w:ascii="微软雅黑" w:hAnsi="微软雅黑" w:cs="微软雅黑"/>
                <w:color w:val="000000"/>
                <w:sz w:val="20"/>
                <w:szCs w:val="20"/>
              </w:rPr>
            </w:pPr>
          </w:p>
        </w:tc>
        <w:tc>
          <w:tcPr>
            <w:tcW w:w="669" w:type="dxa"/>
            <w:tcBorders>
              <w:top w:val="single" w:color="auto" w:sz="6" w:space="0"/>
              <w:left w:val="single" w:color="auto" w:sz="6" w:space="0"/>
              <w:bottom w:val="single" w:color="auto" w:sz="6" w:space="0"/>
              <w:right w:val="single" w:color="auto" w:sz="6" w:space="0"/>
            </w:tcBorders>
            <w:vAlign w:val="center"/>
          </w:tcPr>
          <w:p>
            <w:pPr>
              <w:jc w:val="center"/>
              <w:textAlignment w:val="baseline"/>
              <w:rPr>
                <w:rFonts w:ascii="微软雅黑" w:hAnsi="微软雅黑" w:cs="微软雅黑"/>
                <w:color w:val="000000"/>
                <w:sz w:val="20"/>
                <w:szCs w:val="20"/>
              </w:rPr>
            </w:pPr>
            <w:r>
              <w:rPr>
                <w:rFonts w:hint="eastAsia" w:ascii="微软雅黑" w:hAnsi="微软雅黑" w:cs="微软雅黑"/>
                <w:color w:val="000000"/>
                <w:sz w:val="20"/>
                <w:szCs w:val="20"/>
              </w:rPr>
              <w:t>3</w:t>
            </w:r>
          </w:p>
        </w:tc>
        <w:tc>
          <w:tcPr>
            <w:tcW w:w="5048" w:type="dxa"/>
            <w:tcBorders>
              <w:top w:val="single" w:color="auto" w:sz="6" w:space="0"/>
              <w:left w:val="single" w:color="auto" w:sz="6" w:space="0"/>
              <w:bottom w:val="single" w:color="auto" w:sz="6" w:space="0"/>
              <w:right w:val="single" w:color="auto" w:sz="6" w:space="0"/>
            </w:tcBorders>
            <w:vAlign w:val="center"/>
          </w:tcPr>
          <w:p>
            <w:pPr>
              <w:jc w:val="both"/>
              <w:rPr>
                <w:rFonts w:ascii="微软雅黑" w:hAnsi="微软雅黑" w:cs="微软雅黑"/>
                <w:bCs/>
                <w:color w:val="FF0000"/>
                <w:kern w:val="2"/>
                <w:sz w:val="20"/>
                <w:szCs w:val="20"/>
              </w:rPr>
            </w:pPr>
            <w:r>
              <w:rPr>
                <w:rFonts w:hint="eastAsia" w:ascii="微软雅黑" w:hAnsi="微软雅黑" w:cs="微软雅黑"/>
                <w:bCs/>
                <w:color w:val="FF0000"/>
                <w:kern w:val="2"/>
                <w:sz w:val="20"/>
                <w:szCs w:val="20"/>
              </w:rPr>
              <w:t>投标人技术能力（格式自定）</w:t>
            </w:r>
          </w:p>
        </w:tc>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487"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84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00"/>
                <w:sz w:val="20"/>
                <w:szCs w:val="20"/>
              </w:rPr>
            </w:pPr>
          </w:p>
        </w:tc>
        <w:tc>
          <w:tcPr>
            <w:tcW w:w="604"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1514" w:type="dxa"/>
            <w:vMerge w:val="continue"/>
            <w:tcBorders>
              <w:top w:val="single" w:color="auto" w:sz="6" w:space="0"/>
              <w:left w:val="single" w:color="auto" w:sz="12" w:space="0"/>
              <w:bottom w:val="single" w:color="auto" w:sz="12" w:space="0"/>
              <w:right w:val="single" w:color="auto" w:sz="6" w:space="0"/>
            </w:tcBorders>
            <w:vAlign w:val="center"/>
          </w:tcPr>
          <w:p>
            <w:pPr>
              <w:adjustRightInd/>
              <w:snapToGrid/>
              <w:spacing w:after="0"/>
              <w:rPr>
                <w:rFonts w:ascii="微软雅黑" w:hAnsi="微软雅黑" w:cs="微软雅黑"/>
                <w:color w:val="000000"/>
                <w:sz w:val="20"/>
                <w:szCs w:val="20"/>
              </w:rPr>
            </w:pPr>
          </w:p>
        </w:tc>
        <w:tc>
          <w:tcPr>
            <w:tcW w:w="669" w:type="dxa"/>
            <w:tcBorders>
              <w:top w:val="single" w:color="auto" w:sz="6" w:space="0"/>
              <w:left w:val="single" w:color="auto" w:sz="6" w:space="0"/>
              <w:bottom w:val="single" w:color="auto" w:sz="6" w:space="0"/>
              <w:right w:val="single" w:color="auto" w:sz="6" w:space="0"/>
            </w:tcBorders>
            <w:vAlign w:val="center"/>
          </w:tcPr>
          <w:p>
            <w:pPr>
              <w:jc w:val="center"/>
              <w:textAlignment w:val="baseline"/>
              <w:rPr>
                <w:rFonts w:ascii="微软雅黑" w:hAnsi="微软雅黑" w:cs="微软雅黑"/>
                <w:color w:val="000000"/>
                <w:sz w:val="20"/>
                <w:szCs w:val="20"/>
              </w:rPr>
            </w:pPr>
            <w:r>
              <w:rPr>
                <w:rFonts w:hint="eastAsia" w:ascii="微软雅黑" w:hAnsi="微软雅黑" w:cs="微软雅黑"/>
                <w:color w:val="000000"/>
                <w:sz w:val="20"/>
                <w:szCs w:val="20"/>
              </w:rPr>
              <w:t>4</w:t>
            </w:r>
          </w:p>
        </w:tc>
        <w:tc>
          <w:tcPr>
            <w:tcW w:w="5048" w:type="dxa"/>
            <w:tcBorders>
              <w:top w:val="single" w:color="auto" w:sz="6" w:space="0"/>
              <w:left w:val="single" w:color="auto" w:sz="6" w:space="0"/>
              <w:bottom w:val="single" w:color="auto" w:sz="6" w:space="0"/>
              <w:right w:val="single" w:color="auto" w:sz="6" w:space="0"/>
            </w:tcBorders>
            <w:vAlign w:val="center"/>
          </w:tcPr>
          <w:p>
            <w:pPr>
              <w:jc w:val="both"/>
              <w:rPr>
                <w:rFonts w:ascii="微软雅黑" w:hAnsi="微软雅黑" w:cs="微软雅黑"/>
                <w:bCs/>
                <w:color w:val="FF0000"/>
                <w:kern w:val="2"/>
                <w:sz w:val="20"/>
                <w:szCs w:val="20"/>
              </w:rPr>
            </w:pPr>
            <w:r>
              <w:rPr>
                <w:rFonts w:hint="eastAsia" w:ascii="微软雅黑" w:hAnsi="微软雅黑" w:cs="微软雅黑"/>
                <w:bCs/>
                <w:color w:val="FF0000"/>
                <w:kern w:val="2"/>
                <w:sz w:val="20"/>
                <w:szCs w:val="20"/>
              </w:rPr>
              <w:t>投标人团队服务能力（格式自定）</w:t>
            </w:r>
          </w:p>
        </w:tc>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487"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84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00"/>
                <w:sz w:val="20"/>
                <w:szCs w:val="20"/>
              </w:rPr>
            </w:pPr>
          </w:p>
        </w:tc>
        <w:tc>
          <w:tcPr>
            <w:tcW w:w="604"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jc w:val="center"/>
        </w:trPr>
        <w:tc>
          <w:tcPr>
            <w:tcW w:w="1514" w:type="dxa"/>
            <w:vMerge w:val="continue"/>
            <w:tcBorders>
              <w:top w:val="single" w:color="auto" w:sz="6" w:space="0"/>
              <w:left w:val="single" w:color="auto" w:sz="12" w:space="0"/>
              <w:bottom w:val="single" w:color="auto" w:sz="12" w:space="0"/>
              <w:right w:val="single" w:color="auto" w:sz="6" w:space="0"/>
            </w:tcBorders>
            <w:vAlign w:val="center"/>
          </w:tcPr>
          <w:p>
            <w:pPr>
              <w:adjustRightInd/>
              <w:snapToGrid/>
              <w:spacing w:after="0"/>
              <w:rPr>
                <w:rFonts w:ascii="微软雅黑" w:hAnsi="微软雅黑" w:cs="微软雅黑"/>
                <w:color w:val="000000"/>
                <w:sz w:val="20"/>
                <w:szCs w:val="20"/>
              </w:rPr>
            </w:pPr>
          </w:p>
        </w:tc>
        <w:tc>
          <w:tcPr>
            <w:tcW w:w="669" w:type="dxa"/>
            <w:tcBorders>
              <w:top w:val="single" w:color="auto" w:sz="6" w:space="0"/>
              <w:left w:val="single" w:color="auto" w:sz="6" w:space="0"/>
              <w:bottom w:val="single" w:color="auto" w:sz="6" w:space="0"/>
              <w:right w:val="single" w:color="auto" w:sz="6" w:space="0"/>
            </w:tcBorders>
            <w:vAlign w:val="center"/>
          </w:tcPr>
          <w:p>
            <w:pPr>
              <w:jc w:val="center"/>
              <w:textAlignment w:val="baseline"/>
              <w:rPr>
                <w:rFonts w:ascii="微软雅黑" w:hAnsi="微软雅黑" w:cs="微软雅黑"/>
                <w:color w:val="000000"/>
                <w:sz w:val="20"/>
                <w:szCs w:val="20"/>
              </w:rPr>
            </w:pPr>
            <w:r>
              <w:rPr>
                <w:rFonts w:hint="eastAsia" w:ascii="微软雅黑" w:hAnsi="微软雅黑" w:cs="微软雅黑"/>
                <w:color w:val="000000"/>
                <w:sz w:val="20"/>
                <w:szCs w:val="20"/>
              </w:rPr>
              <w:t>5</w:t>
            </w:r>
          </w:p>
        </w:tc>
        <w:tc>
          <w:tcPr>
            <w:tcW w:w="5048" w:type="dxa"/>
            <w:tcBorders>
              <w:top w:val="single" w:color="auto" w:sz="6" w:space="0"/>
              <w:left w:val="single" w:color="auto" w:sz="6" w:space="0"/>
              <w:bottom w:val="single" w:color="auto" w:sz="6" w:space="0"/>
              <w:right w:val="single" w:color="auto" w:sz="6" w:space="0"/>
            </w:tcBorders>
            <w:vAlign w:val="center"/>
          </w:tcPr>
          <w:p>
            <w:pPr>
              <w:jc w:val="both"/>
              <w:rPr>
                <w:rFonts w:ascii="宋体" w:hAnsi="宋体" w:cs="宋体"/>
                <w:snapToGrid w:val="0"/>
                <w:color w:val="FF0000"/>
                <w:szCs w:val="21"/>
              </w:rPr>
            </w:pPr>
            <w:r>
              <w:rPr>
                <w:rFonts w:hint="eastAsia" w:ascii="微软雅黑" w:hAnsi="微软雅黑" w:cs="微软雅黑"/>
                <w:bCs/>
                <w:color w:val="FF0000"/>
                <w:kern w:val="2"/>
                <w:sz w:val="20"/>
                <w:szCs w:val="20"/>
              </w:rPr>
              <w:t>投标人业绩（格式自定）</w:t>
            </w:r>
          </w:p>
        </w:tc>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487"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84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00"/>
                <w:sz w:val="20"/>
                <w:szCs w:val="20"/>
              </w:rPr>
            </w:pPr>
          </w:p>
        </w:tc>
        <w:tc>
          <w:tcPr>
            <w:tcW w:w="604"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1514" w:type="dxa"/>
            <w:vMerge w:val="continue"/>
            <w:tcBorders>
              <w:top w:val="single" w:color="auto" w:sz="6" w:space="0"/>
              <w:left w:val="single" w:color="auto" w:sz="12" w:space="0"/>
              <w:bottom w:val="single" w:color="auto" w:sz="12" w:space="0"/>
              <w:right w:val="single" w:color="auto" w:sz="6" w:space="0"/>
            </w:tcBorders>
            <w:vAlign w:val="center"/>
          </w:tcPr>
          <w:p>
            <w:pPr>
              <w:adjustRightInd/>
              <w:snapToGrid/>
              <w:spacing w:after="0"/>
              <w:rPr>
                <w:rFonts w:ascii="微软雅黑" w:hAnsi="微软雅黑" w:cs="微软雅黑"/>
                <w:color w:val="000000"/>
                <w:sz w:val="20"/>
                <w:szCs w:val="20"/>
              </w:rPr>
            </w:pPr>
          </w:p>
        </w:tc>
        <w:tc>
          <w:tcPr>
            <w:tcW w:w="669" w:type="dxa"/>
            <w:tcBorders>
              <w:top w:val="single" w:color="auto" w:sz="6" w:space="0"/>
              <w:left w:val="single" w:color="auto" w:sz="6" w:space="0"/>
              <w:bottom w:val="single" w:color="auto" w:sz="6" w:space="0"/>
              <w:right w:val="single" w:color="auto" w:sz="6" w:space="0"/>
            </w:tcBorders>
            <w:vAlign w:val="center"/>
          </w:tcPr>
          <w:p>
            <w:pPr>
              <w:jc w:val="center"/>
              <w:textAlignment w:val="baseline"/>
              <w:rPr>
                <w:rFonts w:ascii="微软雅黑" w:hAnsi="微软雅黑" w:cs="微软雅黑"/>
                <w:color w:val="000000"/>
                <w:sz w:val="20"/>
                <w:szCs w:val="20"/>
              </w:rPr>
            </w:pPr>
            <w:r>
              <w:rPr>
                <w:rFonts w:hint="eastAsia" w:ascii="微软雅黑" w:hAnsi="微软雅黑" w:cs="微软雅黑"/>
                <w:color w:val="000000"/>
                <w:sz w:val="20"/>
                <w:szCs w:val="20"/>
              </w:rPr>
              <w:t>6</w:t>
            </w:r>
          </w:p>
        </w:tc>
        <w:tc>
          <w:tcPr>
            <w:tcW w:w="5048" w:type="dxa"/>
            <w:tcBorders>
              <w:top w:val="single" w:color="auto" w:sz="6" w:space="0"/>
              <w:left w:val="single" w:color="auto" w:sz="6" w:space="0"/>
              <w:bottom w:val="single" w:color="auto" w:sz="6" w:space="0"/>
              <w:right w:val="single" w:color="auto" w:sz="6" w:space="0"/>
            </w:tcBorders>
            <w:vAlign w:val="center"/>
          </w:tcPr>
          <w:p>
            <w:pPr>
              <w:pStyle w:val="4"/>
              <w:adjustRightInd w:val="0"/>
              <w:snapToGrid w:val="0"/>
              <w:spacing w:before="120" w:beforeLines="50" w:after="120" w:afterLines="50" w:line="360" w:lineRule="auto"/>
              <w:rPr>
                <w:rFonts w:ascii="微软雅黑" w:hAnsi="微软雅黑" w:eastAsia="微软雅黑" w:cs="微软雅黑"/>
                <w:b w:val="0"/>
                <w:color w:val="000000"/>
                <w:kern w:val="2"/>
                <w:sz w:val="20"/>
                <w:szCs w:val="20"/>
              </w:rPr>
            </w:pPr>
            <w:r>
              <w:rPr>
                <w:rFonts w:hint="eastAsia" w:ascii="微软雅黑" w:hAnsi="微软雅黑" w:eastAsia="微软雅黑" w:cs="微软雅黑"/>
                <w:b w:val="0"/>
                <w:color w:val="000000"/>
                <w:kern w:val="2"/>
                <w:sz w:val="20"/>
                <w:szCs w:val="20"/>
              </w:rPr>
              <w:t>用户需求响应一览表（见格式10）</w:t>
            </w:r>
          </w:p>
        </w:tc>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487"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84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00"/>
                <w:sz w:val="20"/>
                <w:szCs w:val="20"/>
              </w:rPr>
            </w:pPr>
          </w:p>
        </w:tc>
        <w:tc>
          <w:tcPr>
            <w:tcW w:w="604"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514" w:type="dxa"/>
            <w:vMerge w:val="continue"/>
            <w:tcBorders>
              <w:top w:val="single" w:color="auto" w:sz="6" w:space="0"/>
              <w:left w:val="single" w:color="auto" w:sz="12" w:space="0"/>
              <w:bottom w:val="single" w:color="auto" w:sz="12" w:space="0"/>
              <w:right w:val="single" w:color="auto" w:sz="6" w:space="0"/>
            </w:tcBorders>
            <w:vAlign w:val="center"/>
          </w:tcPr>
          <w:p>
            <w:pPr>
              <w:adjustRightInd/>
              <w:snapToGrid/>
              <w:spacing w:after="0"/>
              <w:rPr>
                <w:rFonts w:ascii="微软雅黑" w:hAnsi="微软雅黑" w:cs="微软雅黑"/>
                <w:color w:val="000000"/>
                <w:sz w:val="20"/>
                <w:szCs w:val="20"/>
              </w:rPr>
            </w:pPr>
          </w:p>
        </w:tc>
        <w:tc>
          <w:tcPr>
            <w:tcW w:w="669" w:type="dxa"/>
            <w:tcBorders>
              <w:top w:val="single" w:color="auto" w:sz="6" w:space="0"/>
              <w:left w:val="single" w:color="auto" w:sz="6" w:space="0"/>
              <w:bottom w:val="single" w:color="auto" w:sz="6" w:space="0"/>
              <w:right w:val="single" w:color="auto" w:sz="6" w:space="0"/>
            </w:tcBorders>
            <w:vAlign w:val="center"/>
          </w:tcPr>
          <w:p>
            <w:pPr>
              <w:jc w:val="center"/>
              <w:textAlignment w:val="baseline"/>
              <w:rPr>
                <w:rFonts w:ascii="微软雅黑" w:hAnsi="微软雅黑" w:cs="微软雅黑"/>
                <w:color w:val="000000"/>
                <w:sz w:val="20"/>
                <w:szCs w:val="20"/>
              </w:rPr>
            </w:pPr>
            <w:r>
              <w:rPr>
                <w:rFonts w:hint="eastAsia" w:ascii="微软雅黑" w:hAnsi="微软雅黑" w:cs="微软雅黑"/>
                <w:color w:val="000000"/>
                <w:sz w:val="20"/>
                <w:szCs w:val="20"/>
              </w:rPr>
              <w:t>7</w:t>
            </w:r>
          </w:p>
        </w:tc>
        <w:tc>
          <w:tcPr>
            <w:tcW w:w="5048" w:type="dxa"/>
            <w:tcBorders>
              <w:top w:val="single" w:color="auto" w:sz="6" w:space="0"/>
              <w:left w:val="single" w:color="auto" w:sz="6" w:space="0"/>
              <w:bottom w:val="single" w:color="auto" w:sz="6" w:space="0"/>
              <w:right w:val="single" w:color="auto" w:sz="6" w:space="0"/>
            </w:tcBorders>
            <w:vAlign w:val="center"/>
          </w:tcPr>
          <w:p>
            <w:pPr>
              <w:pStyle w:val="4"/>
              <w:adjustRightInd w:val="0"/>
              <w:snapToGrid w:val="0"/>
              <w:spacing w:before="120" w:beforeLines="50" w:after="120" w:afterLines="50" w:line="360" w:lineRule="auto"/>
              <w:rPr>
                <w:rFonts w:ascii="微软雅黑" w:hAnsi="微软雅黑" w:eastAsia="微软雅黑" w:cs="微软雅黑"/>
                <w:b w:val="0"/>
                <w:color w:val="000000"/>
                <w:kern w:val="2"/>
                <w:sz w:val="20"/>
                <w:szCs w:val="20"/>
              </w:rPr>
            </w:pPr>
            <w:r>
              <w:rPr>
                <w:rFonts w:hint="eastAsia" w:ascii="微软雅黑" w:hAnsi="微软雅黑" w:eastAsia="微软雅黑" w:cs="微软雅黑"/>
                <w:b w:val="0"/>
                <w:color w:val="000000"/>
                <w:kern w:val="2"/>
                <w:sz w:val="20"/>
                <w:szCs w:val="20"/>
              </w:rPr>
              <w:t>招标代理服务费承诺书（见格式11）</w:t>
            </w:r>
          </w:p>
        </w:tc>
        <w:tc>
          <w:tcPr>
            <w:tcW w:w="536"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487" w:type="dxa"/>
            <w:tcBorders>
              <w:top w:val="single" w:color="auto" w:sz="6" w:space="0"/>
              <w:left w:val="single" w:color="auto" w:sz="6" w:space="0"/>
              <w:bottom w:val="single" w:color="auto" w:sz="6" w:space="0"/>
              <w:right w:val="single" w:color="auto" w:sz="6" w:space="0"/>
            </w:tcBorders>
            <w:vAlign w:val="center"/>
          </w:tcPr>
          <w:p>
            <w:pPr>
              <w:jc w:val="center"/>
              <w:rPr>
                <w:rFonts w:ascii="微软雅黑" w:hAnsi="微软雅黑" w:cs="微软雅黑"/>
                <w:color w:val="000000"/>
                <w:sz w:val="20"/>
                <w:szCs w:val="20"/>
              </w:rPr>
            </w:pPr>
          </w:p>
        </w:tc>
        <w:tc>
          <w:tcPr>
            <w:tcW w:w="847" w:type="dxa"/>
            <w:tcBorders>
              <w:top w:val="single" w:color="auto" w:sz="6"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color w:val="000000"/>
                <w:sz w:val="20"/>
                <w:szCs w:val="20"/>
              </w:rPr>
            </w:pPr>
          </w:p>
        </w:tc>
        <w:tc>
          <w:tcPr>
            <w:tcW w:w="604" w:type="dxa"/>
            <w:tcBorders>
              <w:top w:val="single" w:color="auto" w:sz="6"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8" w:hRule="atLeast"/>
          <w:jc w:val="center"/>
        </w:trPr>
        <w:tc>
          <w:tcPr>
            <w:tcW w:w="1514" w:type="dxa"/>
            <w:vMerge w:val="continue"/>
            <w:tcBorders>
              <w:top w:val="single" w:color="auto" w:sz="6" w:space="0"/>
              <w:left w:val="single" w:color="auto" w:sz="12" w:space="0"/>
              <w:bottom w:val="single" w:color="auto" w:sz="12" w:space="0"/>
              <w:right w:val="single" w:color="auto" w:sz="6" w:space="0"/>
            </w:tcBorders>
            <w:vAlign w:val="center"/>
          </w:tcPr>
          <w:p>
            <w:pPr>
              <w:adjustRightInd/>
              <w:snapToGrid/>
              <w:spacing w:after="0"/>
              <w:rPr>
                <w:rFonts w:ascii="微软雅黑" w:hAnsi="微软雅黑" w:cs="微软雅黑"/>
                <w:color w:val="000000"/>
                <w:sz w:val="20"/>
                <w:szCs w:val="20"/>
              </w:rPr>
            </w:pPr>
          </w:p>
        </w:tc>
        <w:tc>
          <w:tcPr>
            <w:tcW w:w="669" w:type="dxa"/>
            <w:tcBorders>
              <w:top w:val="single" w:color="auto" w:sz="6" w:space="0"/>
              <w:left w:val="single" w:color="auto" w:sz="6" w:space="0"/>
              <w:bottom w:val="single" w:color="auto" w:sz="12" w:space="0"/>
              <w:right w:val="single" w:color="auto" w:sz="6" w:space="0"/>
            </w:tcBorders>
            <w:vAlign w:val="center"/>
          </w:tcPr>
          <w:p>
            <w:pPr>
              <w:jc w:val="center"/>
              <w:rPr>
                <w:rFonts w:ascii="微软雅黑" w:hAnsi="微软雅黑" w:cs="微软雅黑"/>
                <w:color w:val="000000"/>
                <w:sz w:val="20"/>
                <w:szCs w:val="20"/>
              </w:rPr>
            </w:pPr>
            <w:r>
              <w:rPr>
                <w:rFonts w:hint="eastAsia" w:ascii="微软雅黑" w:hAnsi="微软雅黑" w:cs="微软雅黑"/>
                <w:color w:val="000000"/>
                <w:sz w:val="20"/>
                <w:szCs w:val="20"/>
              </w:rPr>
              <w:t>8</w:t>
            </w:r>
          </w:p>
        </w:tc>
        <w:tc>
          <w:tcPr>
            <w:tcW w:w="5048" w:type="dxa"/>
            <w:tcBorders>
              <w:top w:val="single" w:color="auto" w:sz="6" w:space="0"/>
              <w:left w:val="single" w:color="auto" w:sz="6" w:space="0"/>
              <w:bottom w:val="single" w:color="auto" w:sz="12" w:space="0"/>
              <w:right w:val="single" w:color="auto" w:sz="6" w:space="0"/>
            </w:tcBorders>
            <w:vAlign w:val="center"/>
          </w:tcPr>
          <w:p>
            <w:pPr>
              <w:pStyle w:val="25"/>
              <w:rPr>
                <w:rFonts w:ascii="微软雅黑" w:hAnsi="微软雅黑" w:eastAsia="微软雅黑" w:cs="微软雅黑"/>
                <w:bCs/>
                <w:color w:val="000000"/>
                <w:sz w:val="20"/>
                <w:szCs w:val="20"/>
              </w:rPr>
            </w:pPr>
            <w:r>
              <w:rPr>
                <w:rFonts w:hint="eastAsia" w:ascii="微软雅黑" w:hAnsi="微软雅黑" w:eastAsia="微软雅黑" w:cs="微软雅黑"/>
                <w:bCs/>
                <w:color w:val="000000"/>
                <w:sz w:val="20"/>
                <w:szCs w:val="20"/>
              </w:rPr>
              <w:t>投标人认为需要提供的其他商务资料</w:t>
            </w:r>
          </w:p>
        </w:tc>
        <w:tc>
          <w:tcPr>
            <w:tcW w:w="536" w:type="dxa"/>
            <w:tcBorders>
              <w:top w:val="single" w:color="auto" w:sz="6" w:space="0"/>
              <w:left w:val="single" w:color="auto" w:sz="6" w:space="0"/>
              <w:bottom w:val="single" w:color="auto" w:sz="12" w:space="0"/>
              <w:right w:val="single" w:color="auto" w:sz="6" w:space="0"/>
            </w:tcBorders>
            <w:vAlign w:val="center"/>
          </w:tcPr>
          <w:p>
            <w:pPr>
              <w:jc w:val="center"/>
              <w:rPr>
                <w:rFonts w:ascii="微软雅黑" w:hAnsi="微软雅黑" w:cs="微软雅黑"/>
                <w:color w:val="000000"/>
                <w:sz w:val="20"/>
                <w:szCs w:val="20"/>
              </w:rPr>
            </w:pPr>
          </w:p>
        </w:tc>
        <w:tc>
          <w:tcPr>
            <w:tcW w:w="487" w:type="dxa"/>
            <w:tcBorders>
              <w:top w:val="single" w:color="auto" w:sz="6" w:space="0"/>
              <w:left w:val="single" w:color="auto" w:sz="6" w:space="0"/>
              <w:bottom w:val="single" w:color="auto" w:sz="12" w:space="0"/>
              <w:right w:val="single" w:color="auto" w:sz="6" w:space="0"/>
            </w:tcBorders>
            <w:vAlign w:val="center"/>
          </w:tcPr>
          <w:p>
            <w:pPr>
              <w:jc w:val="center"/>
              <w:rPr>
                <w:rFonts w:ascii="微软雅黑" w:hAnsi="微软雅黑" w:cs="微软雅黑"/>
                <w:color w:val="000000"/>
                <w:sz w:val="20"/>
                <w:szCs w:val="20"/>
              </w:rPr>
            </w:pPr>
          </w:p>
        </w:tc>
        <w:tc>
          <w:tcPr>
            <w:tcW w:w="847" w:type="dxa"/>
            <w:tcBorders>
              <w:top w:val="single" w:color="auto" w:sz="6" w:space="0"/>
              <w:left w:val="single" w:color="auto" w:sz="6" w:space="0"/>
              <w:bottom w:val="single" w:color="auto" w:sz="12" w:space="0"/>
              <w:right w:val="single" w:color="auto" w:sz="6" w:space="0"/>
            </w:tcBorders>
            <w:shd w:val="clear" w:color="auto" w:fill="EEECE1"/>
            <w:vAlign w:val="center"/>
          </w:tcPr>
          <w:p>
            <w:pPr>
              <w:jc w:val="center"/>
              <w:rPr>
                <w:rFonts w:ascii="微软雅黑" w:hAnsi="微软雅黑" w:cs="微软雅黑"/>
                <w:color w:val="000000"/>
                <w:sz w:val="20"/>
                <w:szCs w:val="20"/>
              </w:rPr>
            </w:pPr>
          </w:p>
        </w:tc>
        <w:tc>
          <w:tcPr>
            <w:tcW w:w="604" w:type="dxa"/>
            <w:tcBorders>
              <w:top w:val="single" w:color="auto" w:sz="6" w:space="0"/>
              <w:left w:val="single" w:color="auto" w:sz="6" w:space="0"/>
              <w:bottom w:val="single" w:color="auto" w:sz="12" w:space="0"/>
              <w:right w:val="single" w:color="auto" w:sz="12" w:space="0"/>
            </w:tcBorders>
            <w:shd w:val="clear" w:color="auto" w:fill="EEECE1"/>
            <w:vAlign w:val="center"/>
          </w:tcPr>
          <w:p>
            <w:pPr>
              <w:jc w:val="center"/>
              <w:rPr>
                <w:rFonts w:ascii="微软雅黑" w:hAnsi="微软雅黑" w:cs="微软雅黑"/>
                <w:color w:val="000000"/>
                <w:sz w:val="20"/>
                <w:szCs w:val="20"/>
              </w:rPr>
            </w:pPr>
          </w:p>
        </w:tc>
      </w:tr>
    </w:tbl>
    <w:p>
      <w:pPr>
        <w:adjustRightInd/>
        <w:snapToGrid/>
        <w:spacing w:after="0" w:line="360" w:lineRule="auto"/>
        <w:rPr>
          <w:rFonts w:ascii="宋体" w:hAnsi="宋体"/>
          <w:b/>
          <w:szCs w:val="21"/>
        </w:rPr>
        <w:sectPr>
          <w:pgSz w:w="11906" w:h="16838"/>
          <w:pgMar w:top="1440" w:right="1080" w:bottom="1440" w:left="1080" w:header="657" w:footer="481" w:gutter="0"/>
          <w:cols w:space="720" w:num="1"/>
        </w:sectPr>
      </w:pPr>
    </w:p>
    <w:p>
      <w:pPr>
        <w:widowControl w:val="0"/>
        <w:numPr>
          <w:ilvl w:val="0"/>
          <w:numId w:val="11"/>
        </w:numPr>
        <w:autoSpaceDN w:val="0"/>
        <w:adjustRightInd/>
        <w:snapToGrid/>
        <w:spacing w:after="0" w:line="440" w:lineRule="exact"/>
        <w:jc w:val="both"/>
        <w:rPr>
          <w:rFonts w:ascii="黑体" w:eastAsia="黑体"/>
          <w:bCs/>
          <w:sz w:val="28"/>
        </w:rPr>
      </w:pPr>
      <w:r>
        <w:rPr>
          <w:rFonts w:hint="eastAsia" w:ascii="黑体" w:eastAsia="黑体"/>
          <w:bCs/>
          <w:sz w:val="28"/>
        </w:rPr>
        <w:t xml:space="preserve"> </w:t>
      </w:r>
    </w:p>
    <w:p>
      <w:pPr>
        <w:pStyle w:val="4"/>
        <w:adjustRightInd w:val="0"/>
        <w:snapToGrid w:val="0"/>
        <w:spacing w:before="120" w:beforeLines="50" w:after="120" w:afterLines="50" w:line="360" w:lineRule="auto"/>
        <w:jc w:val="center"/>
        <w:rPr>
          <w:b w:val="0"/>
        </w:rPr>
      </w:pPr>
      <w:bookmarkStart w:id="1161" w:name="_Toc453957428"/>
      <w:bookmarkStart w:id="1162" w:name="_Toc275865605"/>
      <w:r>
        <w:rPr>
          <w:rFonts w:hint="eastAsia"/>
          <w:b w:val="0"/>
        </w:rPr>
        <w:t>投</w:t>
      </w:r>
      <w:r>
        <w:rPr>
          <w:b w:val="0"/>
        </w:rPr>
        <w:t xml:space="preserve">  </w:t>
      </w:r>
      <w:r>
        <w:rPr>
          <w:rFonts w:hint="eastAsia"/>
          <w:b w:val="0"/>
        </w:rPr>
        <w:t>标</w:t>
      </w:r>
      <w:r>
        <w:rPr>
          <w:b w:val="0"/>
        </w:rPr>
        <w:t xml:space="preserve">  </w:t>
      </w:r>
      <w:r>
        <w:rPr>
          <w:rFonts w:hint="eastAsia"/>
          <w:b w:val="0"/>
        </w:rPr>
        <w:t>函</w:t>
      </w:r>
      <w:bookmarkEnd w:id="1161"/>
      <w:bookmarkEnd w:id="1162"/>
    </w:p>
    <w:p>
      <w:pPr>
        <w:spacing w:line="360" w:lineRule="auto"/>
        <w:ind w:left="110" w:leftChars="50" w:firstLine="2"/>
        <w:rPr>
          <w:rFonts w:ascii="宋体" w:hAnsi="宋体"/>
          <w:b/>
          <w:sz w:val="21"/>
          <w:szCs w:val="21"/>
        </w:rPr>
      </w:pPr>
      <w:r>
        <w:rPr>
          <w:rFonts w:hint="eastAsia" w:ascii="宋体" w:hAnsi="宋体"/>
          <w:b/>
          <w:sz w:val="21"/>
          <w:szCs w:val="21"/>
        </w:rPr>
        <w:t>致：广州宝诚招标代理咨询有限公司</w:t>
      </w:r>
    </w:p>
    <w:p>
      <w:pPr>
        <w:spacing w:line="360" w:lineRule="auto"/>
        <w:ind w:left="110" w:leftChars="50" w:firstLine="420" w:firstLineChars="200"/>
        <w:rPr>
          <w:rFonts w:ascii="宋体" w:hAnsi="宋体"/>
          <w:sz w:val="21"/>
          <w:szCs w:val="21"/>
        </w:rPr>
      </w:pPr>
      <w:r>
        <w:rPr>
          <w:rFonts w:hint="eastAsia" w:ascii="宋体" w:hAnsi="宋体"/>
          <w:sz w:val="21"/>
          <w:szCs w:val="21"/>
        </w:rPr>
        <w:t>我方确认收到贵方</w:t>
      </w:r>
      <w:r>
        <w:rPr>
          <w:rFonts w:hint="eastAsia" w:ascii="微软雅黑" w:hAnsi="微软雅黑" w:cs="微软雅黑"/>
          <w:bCs/>
          <w:sz w:val="21"/>
          <w:szCs w:val="21"/>
          <w:u w:val="single"/>
        </w:rPr>
        <w:t>正和消保中心数字化平台建设服务采购项目</w:t>
      </w:r>
      <w:r>
        <w:rPr>
          <w:rFonts w:hint="eastAsia" w:ascii="宋体" w:hAnsi="宋体"/>
          <w:kern w:val="28"/>
          <w:sz w:val="21"/>
          <w:szCs w:val="21"/>
        </w:rPr>
        <w:t>服务内容</w:t>
      </w:r>
      <w:r>
        <w:rPr>
          <w:rFonts w:hint="eastAsia" w:ascii="宋体" w:hAnsi="宋体"/>
          <w:sz w:val="21"/>
          <w:szCs w:val="21"/>
        </w:rPr>
        <w:t>及相关服务的招标文件（项目编号：GZBC22FG06002），</w:t>
      </w:r>
      <w:r>
        <w:rPr>
          <w:rFonts w:hint="eastAsia" w:ascii="宋体" w:hAnsi="宋体"/>
          <w:kern w:val="28"/>
          <w:sz w:val="21"/>
          <w:szCs w:val="21"/>
          <w:u w:val="single"/>
        </w:rPr>
        <w:t xml:space="preserve">   </w:t>
      </w:r>
      <w:r>
        <w:rPr>
          <w:rFonts w:hint="eastAsia" w:ascii="宋体" w:hAnsi="宋体"/>
          <w:sz w:val="21"/>
          <w:szCs w:val="21"/>
          <w:u w:val="single"/>
        </w:rPr>
        <w:t xml:space="preserve"> (投标人名称、地址)</w:t>
      </w:r>
      <w:r>
        <w:rPr>
          <w:rFonts w:hint="eastAsia" w:ascii="宋体" w:hAnsi="宋体"/>
          <w:kern w:val="28"/>
          <w:sz w:val="21"/>
          <w:szCs w:val="21"/>
          <w:u w:val="single"/>
        </w:rPr>
        <w:t xml:space="preserve">   </w:t>
      </w:r>
      <w:r>
        <w:rPr>
          <w:rFonts w:hint="eastAsia" w:ascii="宋体" w:hAnsi="宋体"/>
          <w:sz w:val="21"/>
          <w:szCs w:val="21"/>
        </w:rPr>
        <w:t>作为投标人已正式授权</w:t>
      </w:r>
      <w:r>
        <w:rPr>
          <w:rFonts w:hint="eastAsia" w:ascii="宋体" w:hAnsi="宋体"/>
          <w:kern w:val="28"/>
          <w:sz w:val="21"/>
          <w:szCs w:val="21"/>
          <w:u w:val="single"/>
        </w:rPr>
        <w:t xml:space="preserve">   </w:t>
      </w:r>
      <w:r>
        <w:rPr>
          <w:rFonts w:hint="eastAsia" w:ascii="宋体" w:hAnsi="宋体"/>
          <w:sz w:val="21"/>
          <w:szCs w:val="21"/>
          <w:u w:val="single"/>
        </w:rPr>
        <w:t xml:space="preserve"> (被投标人授权代表全名、职务)</w:t>
      </w:r>
      <w:r>
        <w:rPr>
          <w:rFonts w:hint="eastAsia" w:ascii="宋体" w:hAnsi="宋体"/>
          <w:kern w:val="28"/>
          <w:sz w:val="21"/>
          <w:szCs w:val="21"/>
          <w:u w:val="single"/>
        </w:rPr>
        <w:t xml:space="preserve">   </w:t>
      </w:r>
      <w:r>
        <w:rPr>
          <w:rFonts w:hint="eastAsia" w:ascii="宋体" w:hAnsi="宋体"/>
          <w:sz w:val="21"/>
          <w:szCs w:val="21"/>
        </w:rPr>
        <w:t>为我方签名代表，签名代表在此声明并同意：</w:t>
      </w:r>
    </w:p>
    <w:p>
      <w:pPr>
        <w:widowControl w:val="0"/>
        <w:numPr>
          <w:ilvl w:val="0"/>
          <w:numId w:val="12"/>
        </w:numPr>
        <w:autoSpaceDN w:val="0"/>
        <w:adjustRightInd/>
        <w:spacing w:after="0"/>
        <w:jc w:val="both"/>
        <w:rPr>
          <w:rFonts w:ascii="宋体" w:hAnsi="宋体"/>
          <w:b/>
          <w:sz w:val="21"/>
          <w:szCs w:val="21"/>
        </w:rPr>
      </w:pPr>
      <w:r>
        <w:rPr>
          <w:rFonts w:hint="eastAsia" w:ascii="宋体" w:hAnsi="宋体"/>
          <w:b/>
          <w:sz w:val="21"/>
          <w:szCs w:val="21"/>
        </w:rPr>
        <w:t>我们愿意遵守采购代理机构招标文件的各项规定，自愿参加投标, 并已清楚招标文件的要求及有关文件规定，并严格按照招标文件的规定履行全部责任和义务。</w:t>
      </w:r>
    </w:p>
    <w:p>
      <w:pPr>
        <w:widowControl w:val="0"/>
        <w:numPr>
          <w:ilvl w:val="0"/>
          <w:numId w:val="12"/>
        </w:numPr>
        <w:autoSpaceDN w:val="0"/>
        <w:adjustRightInd/>
        <w:spacing w:after="0"/>
        <w:jc w:val="both"/>
        <w:rPr>
          <w:rFonts w:ascii="宋体" w:hAnsi="宋体"/>
          <w:b/>
          <w:sz w:val="21"/>
          <w:szCs w:val="21"/>
        </w:rPr>
      </w:pPr>
      <w:r>
        <w:rPr>
          <w:rFonts w:hint="eastAsia" w:ascii="宋体" w:hAnsi="宋体"/>
          <w:b/>
          <w:sz w:val="21"/>
          <w:szCs w:val="21"/>
        </w:rPr>
        <w:t>我们同意本投标自投标截止之日起</w:t>
      </w:r>
      <w:r>
        <w:rPr>
          <w:rFonts w:hint="eastAsia" w:ascii="宋体" w:hAnsi="宋体"/>
          <w:b/>
          <w:sz w:val="21"/>
          <w:szCs w:val="21"/>
          <w:u w:val="single"/>
        </w:rPr>
        <w:t>90</w:t>
      </w:r>
      <w:r>
        <w:rPr>
          <w:rFonts w:hint="eastAsia" w:ascii="宋体" w:hAnsi="宋体"/>
          <w:b/>
          <w:sz w:val="21"/>
          <w:szCs w:val="21"/>
        </w:rPr>
        <w:t>天内有效。如果我们的投标被接受，则直至合同生效时止，本投标始终有效并不撤回已递交的投标文件。</w:t>
      </w:r>
    </w:p>
    <w:p>
      <w:pPr>
        <w:widowControl w:val="0"/>
        <w:numPr>
          <w:ilvl w:val="0"/>
          <w:numId w:val="12"/>
        </w:numPr>
        <w:autoSpaceDN w:val="0"/>
        <w:adjustRightInd/>
        <w:spacing w:after="0"/>
        <w:jc w:val="both"/>
        <w:rPr>
          <w:rFonts w:ascii="宋体" w:hAnsi="宋体"/>
          <w:b/>
          <w:sz w:val="21"/>
          <w:szCs w:val="21"/>
        </w:rPr>
      </w:pPr>
      <w:r>
        <w:rPr>
          <w:rFonts w:hint="eastAsia" w:ascii="宋体" w:hAnsi="宋体"/>
          <w:b/>
          <w:sz w:val="21"/>
          <w:szCs w:val="21"/>
        </w:rPr>
        <w:t>我们已经详细地阅读并完全明白了全部招标文件及附件，包括澄清（如有）及参考文件，我们完全理解本招标文件的要求，</w:t>
      </w:r>
      <w:r>
        <w:rPr>
          <w:rFonts w:hint="eastAsia" w:ascii="宋体"/>
          <w:b/>
          <w:sz w:val="21"/>
          <w:szCs w:val="21"/>
        </w:rPr>
        <w:t>我们同意放弃对招标文件提出不明或误解的一切权力</w:t>
      </w:r>
      <w:r>
        <w:rPr>
          <w:rFonts w:hint="eastAsia" w:ascii="宋体" w:hAnsi="宋体"/>
          <w:b/>
          <w:sz w:val="21"/>
          <w:szCs w:val="21"/>
        </w:rPr>
        <w:t>。</w:t>
      </w:r>
    </w:p>
    <w:p>
      <w:pPr>
        <w:widowControl w:val="0"/>
        <w:numPr>
          <w:ilvl w:val="0"/>
          <w:numId w:val="12"/>
        </w:numPr>
        <w:autoSpaceDN w:val="0"/>
        <w:adjustRightInd/>
        <w:spacing w:after="0"/>
        <w:jc w:val="both"/>
        <w:rPr>
          <w:rFonts w:ascii="宋体" w:hAnsi="宋体"/>
          <w:b/>
          <w:sz w:val="21"/>
          <w:szCs w:val="21"/>
        </w:rPr>
      </w:pPr>
      <w:r>
        <w:rPr>
          <w:rFonts w:hint="eastAsia" w:ascii="宋体" w:hAnsi="宋体"/>
          <w:b/>
          <w:sz w:val="21"/>
          <w:szCs w:val="21"/>
        </w:rPr>
        <w:t>我们同意提供招标采购单位与评标委员会要求的有关投标的一切数据或资料。</w:t>
      </w:r>
    </w:p>
    <w:p>
      <w:pPr>
        <w:widowControl w:val="0"/>
        <w:numPr>
          <w:ilvl w:val="0"/>
          <w:numId w:val="12"/>
        </w:numPr>
        <w:autoSpaceDN w:val="0"/>
        <w:adjustRightInd/>
        <w:spacing w:after="0"/>
        <w:jc w:val="both"/>
        <w:rPr>
          <w:rFonts w:ascii="宋体" w:hAnsi="宋体"/>
          <w:b/>
          <w:sz w:val="21"/>
          <w:szCs w:val="21"/>
        </w:rPr>
      </w:pPr>
      <w:r>
        <w:rPr>
          <w:rFonts w:hint="eastAsia" w:ascii="宋体" w:hAnsi="宋体"/>
          <w:b/>
          <w:sz w:val="21"/>
          <w:szCs w:val="21"/>
        </w:rPr>
        <w:t>我们理解招标采购单位与评标委员会并无义务必须接受最低报价的投标或其它任何投标，完全理解采购代理机构拒绝迟到的任何投标和最低投标报价不是被授予中标的唯一条件。</w:t>
      </w:r>
    </w:p>
    <w:p>
      <w:pPr>
        <w:widowControl w:val="0"/>
        <w:numPr>
          <w:ilvl w:val="0"/>
          <w:numId w:val="12"/>
        </w:numPr>
        <w:autoSpaceDN w:val="0"/>
        <w:adjustRightInd/>
        <w:spacing w:after="0"/>
        <w:jc w:val="both"/>
        <w:rPr>
          <w:rFonts w:ascii="宋体" w:hAnsi="宋体"/>
          <w:b/>
          <w:sz w:val="21"/>
          <w:szCs w:val="21"/>
        </w:rPr>
      </w:pPr>
      <w:r>
        <w:rPr>
          <w:rFonts w:hint="eastAsia" w:ascii="宋体" w:hAnsi="宋体"/>
          <w:b/>
          <w:sz w:val="21"/>
          <w:szCs w:val="21"/>
        </w:rPr>
        <w:t xml:space="preserve">如果我们未对招标文件全部要求作出实质性响应，则完全同意并接受按无效投标处理。 </w:t>
      </w:r>
    </w:p>
    <w:p>
      <w:pPr>
        <w:widowControl w:val="0"/>
        <w:numPr>
          <w:ilvl w:val="0"/>
          <w:numId w:val="12"/>
        </w:numPr>
        <w:autoSpaceDN w:val="0"/>
        <w:adjustRightInd/>
        <w:spacing w:after="0"/>
        <w:jc w:val="both"/>
        <w:rPr>
          <w:rFonts w:ascii="宋体" w:hAnsi="宋体"/>
          <w:b/>
          <w:sz w:val="21"/>
          <w:szCs w:val="21"/>
        </w:rPr>
      </w:pPr>
      <w:r>
        <w:rPr>
          <w:rFonts w:hint="eastAsia" w:ascii="宋体" w:hAnsi="宋体"/>
          <w:b/>
          <w:sz w:val="21"/>
          <w:szCs w:val="21"/>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widowControl w:val="0"/>
        <w:numPr>
          <w:ilvl w:val="0"/>
          <w:numId w:val="12"/>
        </w:numPr>
        <w:autoSpaceDN w:val="0"/>
        <w:adjustRightInd/>
        <w:spacing w:after="0"/>
        <w:jc w:val="both"/>
        <w:rPr>
          <w:rFonts w:ascii="宋体" w:hAnsi="宋体"/>
          <w:b/>
          <w:sz w:val="21"/>
          <w:szCs w:val="21"/>
        </w:rPr>
      </w:pPr>
      <w:r>
        <w:rPr>
          <w:rFonts w:hint="eastAsia" w:ascii="宋体" w:hAnsi="宋体"/>
          <w:b/>
          <w:sz w:val="21"/>
          <w:szCs w:val="21"/>
        </w:rPr>
        <w:t>我们是依法注册的法人，在法律、财务及运作上完全独立于（采购人）和广州宝诚招标代理咨询有限公司（采购代理机构）。</w:t>
      </w:r>
    </w:p>
    <w:p>
      <w:pPr>
        <w:widowControl w:val="0"/>
        <w:numPr>
          <w:ilvl w:val="0"/>
          <w:numId w:val="12"/>
        </w:numPr>
        <w:autoSpaceDN w:val="0"/>
        <w:adjustRightInd/>
        <w:spacing w:after="0"/>
        <w:jc w:val="both"/>
        <w:rPr>
          <w:rFonts w:ascii="宋体" w:hAnsi="宋体"/>
          <w:b/>
          <w:sz w:val="21"/>
          <w:szCs w:val="21"/>
        </w:rPr>
      </w:pPr>
      <w:r>
        <w:rPr>
          <w:rFonts w:hint="eastAsia" w:ascii="宋体" w:hAnsi="宋体"/>
          <w:b/>
          <w:sz w:val="21"/>
          <w:szCs w:val="21"/>
        </w:rPr>
        <w:t xml:space="preserve">所有有关本次投标的函电请寄：  （投标人地址）     </w:t>
      </w:r>
    </w:p>
    <w:p>
      <w:pPr>
        <w:ind w:left="420" w:firstLine="310"/>
        <w:rPr>
          <w:rFonts w:ascii="宋体" w:hAnsi="宋体"/>
          <w:b/>
          <w:sz w:val="21"/>
          <w:szCs w:val="21"/>
        </w:rPr>
      </w:pPr>
      <w:r>
        <w:rPr>
          <w:rFonts w:hint="eastAsia" w:ascii="宋体" w:hAnsi="宋体"/>
          <w:b/>
          <w:sz w:val="21"/>
          <w:szCs w:val="21"/>
        </w:rPr>
        <w:t>备注：本投标函内容不得擅自删改，否则视为无效投标。（</w:t>
      </w:r>
      <w:r>
        <w:rPr>
          <w:rFonts w:hint="eastAsia"/>
          <w:b/>
          <w:sz w:val="21"/>
          <w:szCs w:val="21"/>
        </w:rPr>
        <w:t>此表须另附在开标小信封中。）</w:t>
      </w:r>
    </w:p>
    <w:p>
      <w:pPr>
        <w:spacing w:line="360" w:lineRule="auto"/>
        <w:rPr>
          <w:rFonts w:ascii="宋体" w:hAnsi="宋体"/>
          <w:b/>
          <w:sz w:val="21"/>
          <w:szCs w:val="21"/>
        </w:rPr>
      </w:pPr>
    </w:p>
    <w:p>
      <w:pPr>
        <w:ind w:left="504" w:leftChars="229" w:firstLine="210" w:firstLineChars="100"/>
        <w:rPr>
          <w:rFonts w:ascii="宋体" w:hAnsi="宋体"/>
          <w:sz w:val="21"/>
          <w:szCs w:val="21"/>
        </w:rPr>
      </w:pPr>
      <w:r>
        <w:rPr>
          <w:rFonts w:hint="eastAsia" w:ascii="宋体"/>
          <w:sz w:val="21"/>
          <w:szCs w:val="21"/>
        </w:rPr>
        <w:t>法定代表人或</w:t>
      </w:r>
      <w:r>
        <w:rPr>
          <w:rFonts w:hint="eastAsia" w:ascii="宋体" w:hAnsi="宋体"/>
          <w:sz w:val="21"/>
          <w:szCs w:val="21"/>
        </w:rPr>
        <w:t>投标人授权代表（签名或盖章）：</w:t>
      </w:r>
    </w:p>
    <w:p>
      <w:pPr>
        <w:ind w:left="504" w:leftChars="229" w:firstLine="210" w:firstLineChars="100"/>
        <w:rPr>
          <w:rFonts w:ascii="宋体"/>
          <w:sz w:val="21"/>
          <w:szCs w:val="21"/>
        </w:rPr>
      </w:pPr>
      <w:r>
        <w:rPr>
          <w:rFonts w:hint="eastAsia" w:ascii="宋体"/>
          <w:sz w:val="21"/>
          <w:szCs w:val="21"/>
        </w:rPr>
        <w:t xml:space="preserve">职务：                    </w:t>
      </w:r>
    </w:p>
    <w:p>
      <w:pPr>
        <w:ind w:left="504" w:leftChars="229" w:firstLine="210" w:firstLineChars="100"/>
        <w:rPr>
          <w:rFonts w:ascii="宋体"/>
          <w:sz w:val="21"/>
          <w:szCs w:val="21"/>
        </w:rPr>
      </w:pPr>
      <w:r>
        <w:rPr>
          <w:rFonts w:hint="eastAsia" w:ascii="宋体"/>
          <w:sz w:val="21"/>
          <w:szCs w:val="21"/>
        </w:rPr>
        <w:t xml:space="preserve">投标人名称:                         </w:t>
      </w:r>
    </w:p>
    <w:p>
      <w:pPr>
        <w:ind w:left="504" w:leftChars="229" w:firstLine="210" w:firstLineChars="100"/>
        <w:rPr>
          <w:rFonts w:ascii="宋体"/>
          <w:sz w:val="21"/>
          <w:szCs w:val="21"/>
        </w:rPr>
      </w:pPr>
      <w:r>
        <w:rPr>
          <w:rFonts w:hint="eastAsia" w:ascii="宋体"/>
          <w:sz w:val="21"/>
          <w:szCs w:val="21"/>
        </w:rPr>
        <w:t xml:space="preserve">投标人公章：           </w:t>
      </w:r>
    </w:p>
    <w:p>
      <w:pPr>
        <w:ind w:left="504" w:leftChars="229" w:firstLine="210" w:firstLineChars="100"/>
        <w:rPr>
          <w:rFonts w:ascii="宋体"/>
          <w:sz w:val="21"/>
          <w:szCs w:val="21"/>
        </w:rPr>
      </w:pPr>
      <w:r>
        <w:rPr>
          <w:rFonts w:hint="eastAsia" w:ascii="宋体"/>
          <w:sz w:val="21"/>
          <w:szCs w:val="21"/>
        </w:rPr>
        <w:t xml:space="preserve">电话：                传真：              邮编：   </w:t>
      </w:r>
    </w:p>
    <w:p>
      <w:pPr>
        <w:widowControl w:val="0"/>
        <w:autoSpaceDN w:val="0"/>
        <w:adjustRightInd/>
        <w:snapToGrid/>
        <w:spacing w:after="0" w:line="440" w:lineRule="exact"/>
        <w:jc w:val="both"/>
        <w:rPr>
          <w:b/>
        </w:rPr>
      </w:pPr>
      <w:r>
        <w:rPr>
          <w:rFonts w:hint="eastAsia" w:ascii="黑体" w:eastAsia="黑体"/>
          <w:bCs/>
          <w:sz w:val="28"/>
        </w:rPr>
        <w:br w:type="page"/>
      </w:r>
      <w:bookmarkStart w:id="1163" w:name="_Toc453957429"/>
      <w:bookmarkStart w:id="1164" w:name="_Toc275865606"/>
      <w:r>
        <w:rPr>
          <w:rFonts w:hint="eastAsia" w:ascii="黑体"/>
          <w:sz w:val="28"/>
        </w:rPr>
        <w:t>格式2</w:t>
      </w:r>
    </w:p>
    <w:p>
      <w:pPr>
        <w:pStyle w:val="4"/>
        <w:adjustRightInd w:val="0"/>
        <w:snapToGrid w:val="0"/>
        <w:spacing w:before="120" w:beforeLines="50" w:after="120" w:afterLines="50" w:line="360" w:lineRule="auto"/>
        <w:jc w:val="center"/>
        <w:rPr>
          <w:b w:val="0"/>
        </w:rPr>
      </w:pPr>
      <w:r>
        <w:rPr>
          <w:rFonts w:hint="eastAsia"/>
          <w:b w:val="0"/>
        </w:rPr>
        <w:t>投标人资格声明函</w:t>
      </w:r>
      <w:bookmarkEnd w:id="1163"/>
      <w:bookmarkEnd w:id="1164"/>
    </w:p>
    <w:p>
      <w:pPr>
        <w:spacing w:line="360" w:lineRule="auto"/>
        <w:rPr>
          <w:b/>
          <w:sz w:val="21"/>
          <w:szCs w:val="21"/>
        </w:rPr>
      </w:pPr>
      <w:r>
        <w:rPr>
          <w:rFonts w:hint="eastAsia"/>
          <w:b/>
          <w:sz w:val="21"/>
          <w:szCs w:val="21"/>
        </w:rPr>
        <w:t>广州宝诚招标代理咨询有限公司：</w:t>
      </w:r>
      <w:r>
        <w:rPr>
          <w:b/>
          <w:sz w:val="21"/>
          <w:szCs w:val="21"/>
        </w:rPr>
        <w:t xml:space="preserve"> </w:t>
      </w:r>
    </w:p>
    <w:p>
      <w:pPr>
        <w:spacing w:line="360" w:lineRule="auto"/>
        <w:ind w:firstLine="420" w:firstLineChars="200"/>
        <w:rPr>
          <w:rFonts w:ascii="宋体" w:hAnsi="宋体"/>
          <w:sz w:val="21"/>
          <w:szCs w:val="21"/>
        </w:rPr>
      </w:pPr>
      <w:r>
        <w:rPr>
          <w:rFonts w:hint="eastAsia" w:ascii="宋体" w:hAnsi="宋体"/>
          <w:sz w:val="21"/>
          <w:szCs w:val="21"/>
        </w:rPr>
        <w:t>关于贵公司</w:t>
      </w:r>
      <w:r>
        <w:rPr>
          <w:rFonts w:hint="eastAsia" w:ascii="宋体" w:hAnsi="宋体"/>
          <w:sz w:val="21"/>
          <w:szCs w:val="21"/>
          <w:u w:val="single"/>
        </w:rPr>
        <w:t>　　　</w:t>
      </w:r>
      <w:r>
        <w:rPr>
          <w:rFonts w:hint="eastAsia" w:ascii="宋体" w:hAnsi="宋体"/>
          <w:sz w:val="21"/>
          <w:szCs w:val="21"/>
        </w:rPr>
        <w:t>年</w:t>
      </w:r>
      <w:r>
        <w:rPr>
          <w:rFonts w:hint="eastAsia" w:ascii="宋体" w:hAnsi="宋体"/>
          <w:sz w:val="21"/>
          <w:szCs w:val="21"/>
          <w:u w:val="single"/>
        </w:rPr>
        <w:t>　　</w:t>
      </w:r>
      <w:r>
        <w:rPr>
          <w:rFonts w:hint="eastAsia" w:ascii="宋体" w:hAnsi="宋体"/>
          <w:sz w:val="21"/>
          <w:szCs w:val="21"/>
        </w:rPr>
        <w:t>月</w:t>
      </w:r>
      <w:r>
        <w:rPr>
          <w:rFonts w:hint="eastAsia" w:ascii="宋体" w:hAnsi="宋体"/>
          <w:sz w:val="21"/>
          <w:szCs w:val="21"/>
          <w:u w:val="single"/>
        </w:rPr>
        <w:t>　　</w:t>
      </w:r>
      <w:r>
        <w:rPr>
          <w:rFonts w:hint="eastAsia" w:ascii="宋体" w:hAnsi="宋体"/>
          <w:sz w:val="21"/>
          <w:szCs w:val="21"/>
        </w:rPr>
        <w:t>日发布</w:t>
      </w:r>
      <w:r>
        <w:rPr>
          <w:rFonts w:hint="eastAsia" w:ascii="微软雅黑" w:hAnsi="微软雅黑" w:cs="微软雅黑"/>
          <w:bCs/>
          <w:sz w:val="21"/>
          <w:szCs w:val="21"/>
        </w:rPr>
        <w:t>正和消保中心数字化平台建设服务采购项目</w:t>
      </w:r>
      <w:r>
        <w:rPr>
          <w:rFonts w:hint="eastAsia" w:ascii="宋体" w:hAnsi="宋体"/>
          <w:sz w:val="21"/>
          <w:szCs w:val="21"/>
        </w:rPr>
        <w:t>（项目编号：GZBC22FG06002）的采购公告，本公司（企业）愿意参加投标，并声明：</w:t>
      </w:r>
    </w:p>
    <w:p>
      <w:pPr>
        <w:spacing w:line="360" w:lineRule="auto"/>
        <w:ind w:firstLine="420" w:firstLineChars="200"/>
        <w:rPr>
          <w:rFonts w:ascii="宋体" w:hAnsi="宋体"/>
          <w:sz w:val="21"/>
          <w:szCs w:val="21"/>
        </w:rPr>
      </w:pPr>
      <w:r>
        <w:rPr>
          <w:rFonts w:hint="eastAsia" w:ascii="宋体" w:hAnsi="宋体"/>
          <w:sz w:val="21"/>
          <w:szCs w:val="21"/>
        </w:rPr>
        <w:t>本公司（企业）具备</w:t>
      </w:r>
      <w:r>
        <w:rPr>
          <w:rFonts w:hint="eastAsia" w:ascii="宋体" w:hAnsi="宋体"/>
          <w:bCs/>
          <w:sz w:val="21"/>
          <w:szCs w:val="21"/>
        </w:rPr>
        <w:t>本次项目所需资格条件，</w:t>
      </w:r>
      <w:r>
        <w:rPr>
          <w:rFonts w:hint="eastAsia" w:ascii="宋体" w:hAnsi="宋体"/>
          <w:sz w:val="21"/>
          <w:szCs w:val="21"/>
        </w:rPr>
        <w:t xml:space="preserve">并已清楚招标文件的要求及有关文件规定，并承诺在本次招标采购活动中，如有违法、违规、弄虚作假行为，所造成的损失、不良后果及法律责任，一律由我公司（企业）承担。   </w:t>
      </w:r>
    </w:p>
    <w:p>
      <w:pPr>
        <w:spacing w:line="360" w:lineRule="auto"/>
        <w:ind w:firstLine="420" w:firstLineChars="200"/>
        <w:rPr>
          <w:sz w:val="21"/>
          <w:szCs w:val="21"/>
        </w:rPr>
      </w:pPr>
    </w:p>
    <w:p>
      <w:pPr>
        <w:spacing w:line="360" w:lineRule="auto"/>
        <w:ind w:firstLine="420" w:firstLineChars="200"/>
        <w:rPr>
          <w:sz w:val="21"/>
          <w:szCs w:val="21"/>
        </w:rPr>
      </w:pPr>
    </w:p>
    <w:p>
      <w:pPr>
        <w:spacing w:line="360" w:lineRule="auto"/>
        <w:ind w:firstLine="420"/>
        <w:rPr>
          <w:sz w:val="21"/>
          <w:szCs w:val="21"/>
        </w:rPr>
      </w:pPr>
      <w:r>
        <w:rPr>
          <w:rFonts w:hint="eastAsia"/>
          <w:sz w:val="21"/>
          <w:szCs w:val="21"/>
        </w:rPr>
        <w:t>特此声明！</w:t>
      </w:r>
    </w:p>
    <w:p>
      <w:pPr>
        <w:spacing w:line="360" w:lineRule="auto"/>
        <w:ind w:firstLine="420"/>
        <w:rPr>
          <w:sz w:val="21"/>
          <w:szCs w:val="21"/>
        </w:rPr>
      </w:pPr>
    </w:p>
    <w:p>
      <w:pPr>
        <w:spacing w:line="360" w:lineRule="auto"/>
        <w:ind w:firstLine="420"/>
        <w:rPr>
          <w:sz w:val="21"/>
          <w:szCs w:val="21"/>
        </w:rPr>
      </w:pPr>
    </w:p>
    <w:p>
      <w:pPr>
        <w:spacing w:line="360" w:lineRule="auto"/>
        <w:ind w:firstLine="420"/>
        <w:rPr>
          <w:sz w:val="21"/>
          <w:szCs w:val="21"/>
        </w:rPr>
      </w:pPr>
      <w:r>
        <w:rPr>
          <w:rFonts w:hint="eastAsia"/>
          <w:sz w:val="21"/>
          <w:szCs w:val="21"/>
        </w:rPr>
        <w:t>单位名称：　　　　　　　　　　　　　　　　　</w:t>
      </w:r>
      <w:r>
        <w:rPr>
          <w:rFonts w:hint="eastAsia" w:ascii="宋体"/>
          <w:sz w:val="21"/>
          <w:szCs w:val="21"/>
        </w:rPr>
        <w:t>法定代表人或</w:t>
      </w:r>
      <w:r>
        <w:rPr>
          <w:rFonts w:hint="eastAsia" w:ascii="宋体" w:hAnsi="宋体"/>
          <w:sz w:val="21"/>
          <w:szCs w:val="21"/>
        </w:rPr>
        <w:t>投标人授权代表（签名或盖章）</w:t>
      </w:r>
      <w:r>
        <w:rPr>
          <w:rFonts w:hint="eastAsia"/>
          <w:color w:val="FF0000"/>
          <w:sz w:val="21"/>
          <w:szCs w:val="21"/>
        </w:rPr>
        <w:t>：</w:t>
      </w:r>
    </w:p>
    <w:p>
      <w:pPr>
        <w:spacing w:line="360" w:lineRule="auto"/>
        <w:ind w:firstLine="420"/>
        <w:rPr>
          <w:sz w:val="21"/>
          <w:szCs w:val="21"/>
        </w:rPr>
      </w:pPr>
      <w:r>
        <w:rPr>
          <w:rFonts w:hint="eastAsia"/>
          <w:sz w:val="21"/>
          <w:szCs w:val="21"/>
        </w:rPr>
        <w:t>单位地址：　　　　　　　　　　　　　　　　　单位公章：</w:t>
      </w:r>
    </w:p>
    <w:p>
      <w:pPr>
        <w:spacing w:line="360" w:lineRule="auto"/>
        <w:ind w:firstLine="420"/>
        <w:rPr>
          <w:sz w:val="21"/>
          <w:szCs w:val="21"/>
        </w:rPr>
      </w:pPr>
      <w:r>
        <w:rPr>
          <w:rFonts w:hint="eastAsia"/>
          <w:sz w:val="21"/>
          <w:szCs w:val="21"/>
        </w:rPr>
        <w:t>邮政编码：　　　　　　　　　　　　　　　　　日期：</w:t>
      </w:r>
    </w:p>
    <w:p>
      <w:pPr>
        <w:spacing w:line="360" w:lineRule="auto"/>
        <w:ind w:firstLine="420" w:firstLineChars="200"/>
        <w:rPr>
          <w:sz w:val="21"/>
          <w:szCs w:val="21"/>
        </w:rPr>
      </w:pPr>
      <w:r>
        <w:rPr>
          <w:rFonts w:hint="eastAsia"/>
          <w:sz w:val="21"/>
          <w:szCs w:val="21"/>
        </w:rPr>
        <w:t>联系电话：</w:t>
      </w:r>
    </w:p>
    <w:p>
      <w:pPr>
        <w:spacing w:line="360" w:lineRule="auto"/>
        <w:rPr>
          <w:rFonts w:ascii="黑体" w:eastAsia="黑体"/>
          <w:bCs/>
          <w:sz w:val="28"/>
        </w:rPr>
      </w:pPr>
      <w:r>
        <w:rPr>
          <w:sz w:val="21"/>
          <w:szCs w:val="21"/>
        </w:rPr>
        <w:br w:type="page"/>
      </w:r>
      <w:r>
        <w:rPr>
          <w:rFonts w:hint="eastAsia" w:ascii="黑体" w:eastAsia="黑体"/>
          <w:bCs/>
          <w:sz w:val="28"/>
        </w:rPr>
        <w:t>格式3</w:t>
      </w:r>
    </w:p>
    <w:p>
      <w:pPr>
        <w:pStyle w:val="4"/>
        <w:adjustRightInd w:val="0"/>
        <w:snapToGrid w:val="0"/>
        <w:spacing w:before="120" w:beforeLines="50" w:after="120" w:afterLines="50" w:line="360" w:lineRule="auto"/>
        <w:jc w:val="center"/>
        <w:rPr>
          <w:b w:val="0"/>
        </w:rPr>
      </w:pPr>
      <w:r>
        <w:rPr>
          <w:rFonts w:hint="eastAsia"/>
          <w:b w:val="0"/>
        </w:rPr>
        <w:t>承</w:t>
      </w:r>
      <w:r>
        <w:rPr>
          <w:b w:val="0"/>
        </w:rPr>
        <w:t xml:space="preserve"> </w:t>
      </w:r>
      <w:r>
        <w:rPr>
          <w:rFonts w:hint="eastAsia"/>
          <w:b w:val="0"/>
        </w:rPr>
        <w:t>诺</w:t>
      </w:r>
      <w:r>
        <w:rPr>
          <w:b w:val="0"/>
        </w:rPr>
        <w:t xml:space="preserve"> </w:t>
      </w:r>
      <w:r>
        <w:rPr>
          <w:rFonts w:hint="eastAsia"/>
          <w:b w:val="0"/>
        </w:rPr>
        <w:t>函</w:t>
      </w:r>
    </w:p>
    <w:p>
      <w:pPr>
        <w:spacing w:line="360" w:lineRule="auto"/>
        <w:ind w:firstLine="700" w:firstLineChars="250"/>
        <w:rPr>
          <w:rFonts w:ascii="宋体" w:hAnsi="宋体"/>
          <w:sz w:val="28"/>
          <w:szCs w:val="28"/>
        </w:rPr>
      </w:pPr>
    </w:p>
    <w:p>
      <w:pPr>
        <w:spacing w:line="360" w:lineRule="auto"/>
        <w:ind w:firstLine="420" w:firstLineChars="200"/>
        <w:rPr>
          <w:rFonts w:ascii="宋体" w:hAnsi="宋体"/>
          <w:bCs/>
          <w:sz w:val="21"/>
          <w:szCs w:val="21"/>
        </w:rPr>
      </w:pPr>
      <w:r>
        <w:rPr>
          <w:rFonts w:hint="eastAsia" w:ascii="宋体" w:hAnsi="宋体"/>
          <w:bCs/>
          <w:sz w:val="21"/>
          <w:szCs w:val="21"/>
        </w:rPr>
        <w:t>本公司</w:t>
      </w:r>
      <w:r>
        <w:rPr>
          <w:rFonts w:hint="eastAsia" w:ascii="宋体" w:hAnsi="宋体"/>
          <w:bCs/>
          <w:sz w:val="21"/>
          <w:szCs w:val="21"/>
          <w:u w:val="single"/>
        </w:rPr>
        <w:t xml:space="preserve">                </w:t>
      </w:r>
      <w:r>
        <w:rPr>
          <w:rFonts w:hint="eastAsia" w:ascii="宋体" w:hAnsi="宋体"/>
          <w:bCs/>
          <w:sz w:val="21"/>
          <w:szCs w:val="21"/>
        </w:rPr>
        <w:t>（组织机构代码证号：</w:t>
      </w:r>
      <w:r>
        <w:rPr>
          <w:rFonts w:hint="eastAsia" w:ascii="宋体" w:hAnsi="宋体"/>
          <w:bCs/>
          <w:sz w:val="21"/>
          <w:szCs w:val="21"/>
          <w:u w:val="single"/>
        </w:rPr>
        <w:t xml:space="preserve">                    </w:t>
      </w:r>
      <w:r>
        <w:rPr>
          <w:rFonts w:hint="eastAsia" w:ascii="宋体" w:hAnsi="宋体"/>
          <w:bCs/>
          <w:sz w:val="21"/>
          <w:szCs w:val="21"/>
        </w:rPr>
        <w:t>）为</w:t>
      </w:r>
      <w:r>
        <w:rPr>
          <w:rFonts w:hint="eastAsia" w:ascii="宋体" w:hAnsi="宋体"/>
          <w:bCs/>
          <w:sz w:val="21"/>
          <w:szCs w:val="21"/>
          <w:u w:val="single"/>
        </w:rPr>
        <w:t xml:space="preserve">              </w:t>
      </w:r>
      <w:r>
        <w:rPr>
          <w:rFonts w:hint="eastAsia" w:ascii="宋体" w:hAnsi="宋体"/>
          <w:bCs/>
          <w:sz w:val="21"/>
          <w:szCs w:val="21"/>
        </w:rPr>
        <w:t>项目（编号：</w:t>
      </w:r>
      <w:r>
        <w:rPr>
          <w:rFonts w:hint="eastAsia" w:ascii="宋体" w:hAnsi="宋体"/>
          <w:bCs/>
          <w:sz w:val="21"/>
          <w:szCs w:val="21"/>
          <w:u w:val="single"/>
        </w:rPr>
        <w:t xml:space="preserve">             </w:t>
      </w:r>
      <w:r>
        <w:rPr>
          <w:rFonts w:hint="eastAsia" w:ascii="宋体" w:hAnsi="宋体"/>
          <w:bCs/>
          <w:sz w:val="21"/>
          <w:szCs w:val="21"/>
        </w:rPr>
        <w:t>）的投标人。如本公司被确认为该项目的供应方，承诺按采购方提交的合同版本来签署《采购合同》。</w:t>
      </w:r>
    </w:p>
    <w:p>
      <w:pPr>
        <w:spacing w:line="360" w:lineRule="auto"/>
        <w:ind w:firstLine="420" w:firstLineChars="200"/>
        <w:rPr>
          <w:rFonts w:ascii="宋体" w:hAnsi="宋体"/>
          <w:bCs/>
          <w:sz w:val="21"/>
          <w:szCs w:val="21"/>
        </w:rPr>
      </w:pPr>
    </w:p>
    <w:p>
      <w:pPr>
        <w:spacing w:line="360" w:lineRule="auto"/>
        <w:ind w:firstLine="420" w:firstLineChars="200"/>
        <w:rPr>
          <w:rFonts w:ascii="宋体" w:hAnsi="宋体"/>
          <w:bCs/>
          <w:sz w:val="21"/>
          <w:szCs w:val="21"/>
        </w:rPr>
      </w:pPr>
    </w:p>
    <w:p>
      <w:pPr>
        <w:spacing w:line="360" w:lineRule="auto"/>
        <w:ind w:firstLine="420" w:firstLineChars="200"/>
        <w:rPr>
          <w:rFonts w:ascii="宋体" w:hAnsi="宋体"/>
          <w:bCs/>
          <w:sz w:val="21"/>
          <w:szCs w:val="21"/>
        </w:rPr>
      </w:pPr>
      <w:r>
        <w:rPr>
          <w:rFonts w:hint="eastAsia" w:ascii="宋体" w:hAnsi="宋体"/>
          <w:bCs/>
          <w:sz w:val="21"/>
          <w:szCs w:val="21"/>
        </w:rPr>
        <w:t>附件：《采购合同》</w:t>
      </w:r>
    </w:p>
    <w:p>
      <w:pPr>
        <w:spacing w:line="360" w:lineRule="auto"/>
        <w:ind w:firstLine="420" w:firstLineChars="200"/>
        <w:rPr>
          <w:rFonts w:ascii="宋体" w:hAnsi="宋体"/>
          <w:bCs/>
          <w:sz w:val="21"/>
          <w:szCs w:val="21"/>
        </w:rPr>
      </w:pPr>
    </w:p>
    <w:p>
      <w:pPr>
        <w:spacing w:line="360" w:lineRule="auto"/>
        <w:ind w:firstLine="420" w:firstLineChars="200"/>
        <w:rPr>
          <w:rFonts w:ascii="宋体" w:hAnsi="宋体"/>
          <w:bCs/>
          <w:sz w:val="21"/>
          <w:szCs w:val="21"/>
        </w:rPr>
      </w:pPr>
      <w:r>
        <w:rPr>
          <w:rFonts w:hint="eastAsia" w:ascii="宋体" w:hAnsi="宋体"/>
          <w:bCs/>
          <w:sz w:val="21"/>
          <w:szCs w:val="21"/>
        </w:rPr>
        <w:t xml:space="preserve">投标人（签章）：  </w:t>
      </w:r>
    </w:p>
    <w:p>
      <w:pPr>
        <w:spacing w:line="360" w:lineRule="auto"/>
        <w:ind w:firstLine="420" w:firstLineChars="200"/>
        <w:rPr>
          <w:rFonts w:ascii="宋体" w:hAnsi="宋体"/>
          <w:bCs/>
          <w:sz w:val="21"/>
          <w:szCs w:val="21"/>
        </w:rPr>
      </w:pPr>
      <w:r>
        <w:rPr>
          <w:rFonts w:hint="eastAsia" w:ascii="宋体" w:hAnsi="宋体"/>
          <w:bCs/>
          <w:sz w:val="21"/>
          <w:szCs w:val="21"/>
        </w:rPr>
        <w:t xml:space="preserve">                       </w:t>
      </w:r>
    </w:p>
    <w:p>
      <w:pPr>
        <w:spacing w:line="360" w:lineRule="auto"/>
        <w:ind w:firstLine="420" w:firstLineChars="200"/>
        <w:rPr>
          <w:rFonts w:ascii="宋体" w:hAnsi="宋体"/>
          <w:sz w:val="30"/>
          <w:szCs w:val="30"/>
        </w:rPr>
      </w:pPr>
      <w:r>
        <w:rPr>
          <w:rFonts w:hint="eastAsia" w:ascii="宋体" w:hAnsi="宋体"/>
          <w:bCs/>
          <w:sz w:val="21"/>
          <w:szCs w:val="21"/>
        </w:rPr>
        <w:t>年    月    日</w:t>
      </w:r>
    </w:p>
    <w:p>
      <w:pPr>
        <w:spacing w:line="360" w:lineRule="auto"/>
        <w:rPr>
          <w:rFonts w:ascii="黑体" w:eastAsia="黑体"/>
          <w:bCs/>
          <w:sz w:val="28"/>
        </w:rPr>
      </w:pPr>
      <w:r>
        <w:rPr>
          <w:sz w:val="21"/>
          <w:szCs w:val="21"/>
        </w:rPr>
        <w:br w:type="page"/>
      </w:r>
      <w:bookmarkStart w:id="1165" w:name="_Toc50737328"/>
      <w:bookmarkStart w:id="1166" w:name="_Toc50737329"/>
      <w:bookmarkStart w:id="1167" w:name="_Toc50691034"/>
      <w:bookmarkStart w:id="1168" w:name="_Toc275865607"/>
      <w:bookmarkStart w:id="1169" w:name="_Toc50737297"/>
      <w:bookmarkStart w:id="1170" w:name="_Toc50737296"/>
      <w:bookmarkStart w:id="1171" w:name="_Toc50736477"/>
      <w:bookmarkStart w:id="1172" w:name="_Toc52165081"/>
      <w:bookmarkStart w:id="1173" w:name="_Toc50736476"/>
      <w:bookmarkStart w:id="1174" w:name="_Toc52165080"/>
      <w:r>
        <w:rPr>
          <w:rFonts w:hint="eastAsia" w:ascii="黑体" w:eastAsia="黑体"/>
          <w:bCs/>
          <w:sz w:val="28"/>
        </w:rPr>
        <w:t>格式4</w:t>
      </w:r>
    </w:p>
    <w:p>
      <w:pPr>
        <w:pStyle w:val="4"/>
        <w:jc w:val="center"/>
        <w:rPr>
          <w:rFonts w:ascii="宋体" w:hAnsi="宋体"/>
          <w:b w:val="0"/>
          <w:sz w:val="36"/>
          <w:szCs w:val="36"/>
        </w:rPr>
      </w:pPr>
      <w:bookmarkStart w:id="1175" w:name="_Toc453957430"/>
      <w:r>
        <w:rPr>
          <w:rFonts w:hint="eastAsia"/>
          <w:b w:val="0"/>
        </w:rPr>
        <w:t>公平竞争承诺书</w:t>
      </w:r>
      <w:bookmarkEnd w:id="1175"/>
    </w:p>
    <w:p>
      <w:pPr>
        <w:spacing w:line="360" w:lineRule="auto"/>
        <w:ind w:firstLine="420" w:firstLineChars="200"/>
        <w:rPr>
          <w:sz w:val="21"/>
          <w:szCs w:val="21"/>
        </w:rPr>
      </w:pPr>
      <w:r>
        <w:rPr>
          <w:rFonts w:hint="eastAsia"/>
          <w:sz w:val="21"/>
          <w:szCs w:val="21"/>
        </w:rPr>
        <w:t>本公司郑重承诺：本公司保证所提交的相关资质文件和证明材料的真实性，有良好的历史诚信记录，并将依法参与</w:t>
      </w:r>
      <w:r>
        <w:rPr>
          <w:rFonts w:hint="eastAsia" w:ascii="微软雅黑" w:hAnsi="微软雅黑" w:cs="微软雅黑"/>
          <w:bCs/>
          <w:sz w:val="21"/>
          <w:szCs w:val="21"/>
        </w:rPr>
        <w:t>正和消保中心数字化平台建设服务采购项目</w:t>
      </w:r>
      <w:r>
        <w:rPr>
          <w:rFonts w:hint="eastAsia"/>
          <w:sz w:val="21"/>
          <w:szCs w:val="21"/>
        </w:rPr>
        <w:t>的公平竞争，不以任何不正当行为谋取不当利益，否则承担相应的法律责任。</w:t>
      </w:r>
      <w:r>
        <w:rPr>
          <w:sz w:val="21"/>
          <w:szCs w:val="21"/>
        </w:rPr>
        <w:t xml:space="preserve">  </w:t>
      </w:r>
    </w:p>
    <w:p>
      <w:pPr>
        <w:spacing w:line="360" w:lineRule="auto"/>
        <w:rPr>
          <w:sz w:val="21"/>
          <w:szCs w:val="21"/>
        </w:rPr>
      </w:pPr>
    </w:p>
    <w:p>
      <w:pPr>
        <w:spacing w:line="360" w:lineRule="auto"/>
        <w:rPr>
          <w:sz w:val="21"/>
          <w:szCs w:val="21"/>
        </w:rPr>
      </w:pPr>
    </w:p>
    <w:p>
      <w:pPr>
        <w:spacing w:line="360" w:lineRule="auto"/>
        <w:rPr>
          <w:sz w:val="21"/>
          <w:szCs w:val="21"/>
        </w:rPr>
      </w:pPr>
    </w:p>
    <w:p>
      <w:pPr>
        <w:spacing w:line="360" w:lineRule="auto"/>
        <w:jc w:val="right"/>
        <w:rPr>
          <w:sz w:val="21"/>
          <w:szCs w:val="21"/>
        </w:rPr>
      </w:pPr>
      <w:r>
        <w:rPr>
          <w:rFonts w:hint="eastAsia"/>
          <w:sz w:val="21"/>
          <w:szCs w:val="21"/>
        </w:rPr>
        <w:t>（公司名称，加盖公章）</w:t>
      </w:r>
    </w:p>
    <w:p>
      <w:pPr>
        <w:rPr>
          <w:b/>
          <w:sz w:val="21"/>
          <w:szCs w:val="21"/>
        </w:rPr>
      </w:pPr>
      <w:r>
        <w:rPr>
          <w:b/>
          <w:sz w:val="21"/>
          <w:szCs w:val="21"/>
        </w:rPr>
        <w:t xml:space="preserve"> </w:t>
      </w:r>
    </w:p>
    <w:p>
      <w:pPr>
        <w:adjustRightInd/>
        <w:snapToGrid/>
        <w:spacing w:after="0"/>
        <w:rPr>
          <w:rFonts w:ascii="Arial" w:hAnsi="Arial" w:eastAsia="黑体"/>
          <w:bCs/>
          <w:kern w:val="2"/>
          <w:sz w:val="21"/>
          <w:szCs w:val="21"/>
        </w:rPr>
        <w:sectPr>
          <w:pgSz w:w="11906" w:h="16838"/>
          <w:pgMar w:top="1440" w:right="1080" w:bottom="1440" w:left="1080" w:header="657" w:footer="481" w:gutter="0"/>
          <w:cols w:space="720" w:num="1"/>
        </w:sectPr>
      </w:pPr>
    </w:p>
    <w:bookmarkEnd w:id="1165"/>
    <w:bookmarkEnd w:id="1166"/>
    <w:bookmarkEnd w:id="1167"/>
    <w:bookmarkEnd w:id="1168"/>
    <w:bookmarkEnd w:id="1169"/>
    <w:bookmarkEnd w:id="1170"/>
    <w:bookmarkEnd w:id="1171"/>
    <w:bookmarkEnd w:id="1172"/>
    <w:bookmarkEnd w:id="1173"/>
    <w:bookmarkEnd w:id="1174"/>
    <w:p>
      <w:pPr>
        <w:spacing w:line="440" w:lineRule="exact"/>
        <w:rPr>
          <w:b/>
        </w:rPr>
      </w:pPr>
      <w:r>
        <w:rPr>
          <w:rFonts w:hint="eastAsia" w:ascii="黑体" w:eastAsia="黑体"/>
          <w:bCs/>
          <w:sz w:val="28"/>
        </w:rPr>
        <w:t>格式5</w:t>
      </w:r>
    </w:p>
    <w:p>
      <w:pPr>
        <w:pStyle w:val="4"/>
        <w:adjustRightInd w:val="0"/>
        <w:snapToGrid w:val="0"/>
        <w:spacing w:before="120" w:beforeLines="50" w:after="120" w:afterLines="50" w:line="360" w:lineRule="auto"/>
        <w:jc w:val="center"/>
        <w:rPr>
          <w:b w:val="0"/>
        </w:rPr>
      </w:pPr>
      <w:bookmarkStart w:id="1176" w:name="_Toc453957431"/>
      <w:r>
        <w:rPr>
          <w:rFonts w:hint="eastAsia"/>
          <w:b w:val="0"/>
        </w:rPr>
        <w:t>法定代表人授权委托书</w:t>
      </w:r>
      <w:bookmarkEnd w:id="1176"/>
    </w:p>
    <w:p>
      <w:pPr>
        <w:pStyle w:val="25"/>
        <w:spacing w:line="360" w:lineRule="auto"/>
        <w:ind w:firstLine="420" w:firstLineChars="200"/>
      </w:pPr>
      <w:r>
        <w:rPr>
          <w:rFonts w:hint="eastAsia"/>
        </w:rPr>
        <w:t>本授权委托书声明：注册于</w:t>
      </w:r>
      <w:r>
        <w:rPr>
          <w:rFonts w:hint="eastAsia"/>
          <w:u w:val="single"/>
        </w:rPr>
        <w:t xml:space="preserve">    （投标人地址）  </w:t>
      </w:r>
      <w:r>
        <w:rPr>
          <w:rFonts w:hint="eastAsia"/>
        </w:rPr>
        <w:t>的</w:t>
      </w:r>
      <w:r>
        <w:rPr>
          <w:rFonts w:hint="eastAsia"/>
          <w:u w:val="single"/>
        </w:rPr>
        <w:t xml:space="preserve">  （投标人名称）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 xml:space="preserve">   （项目名称、项目编号）   </w:t>
      </w:r>
      <w:r>
        <w:rPr>
          <w:rFonts w:hint="eastAsia"/>
        </w:rPr>
        <w:t>的招投标活动，采购合同的签订、执行、完成和售后服务，作为投标人代表以我方的名义处理一切与之有关的事务。</w:t>
      </w:r>
    </w:p>
    <w:p>
      <w:pPr>
        <w:pStyle w:val="25"/>
        <w:spacing w:line="360" w:lineRule="auto"/>
        <w:ind w:firstLine="420" w:firstLineChars="200"/>
      </w:pPr>
      <w:r>
        <w:rPr>
          <w:rFonts w:hint="eastAsia"/>
        </w:rPr>
        <w:t>被授权人（投标人授权代表）无转委托权限。</w:t>
      </w:r>
    </w:p>
    <w:p>
      <w:pPr>
        <w:spacing w:line="360" w:lineRule="auto"/>
        <w:ind w:firstLine="420" w:firstLineChars="200"/>
        <w:rPr>
          <w:rFonts w:ascii="宋体"/>
          <w:sz w:val="21"/>
          <w:szCs w:val="21"/>
        </w:rPr>
      </w:pPr>
      <w:r>
        <w:rPr>
          <w:rFonts w:hint="eastAsia" w:ascii="宋体"/>
          <w:sz w:val="21"/>
          <w:szCs w:val="21"/>
        </w:rPr>
        <w:t>本授权书自法定代表人签字之日起生效，特此声明。</w:t>
      </w:r>
    </w:p>
    <w:p>
      <w:pPr>
        <w:spacing w:line="480" w:lineRule="auto"/>
        <w:ind w:left="2" w:leftChars="1" w:firstLine="1365" w:firstLineChars="650"/>
        <w:rPr>
          <w:rFonts w:ascii="宋体" w:hAnsi="宋体"/>
          <w:sz w:val="21"/>
          <w:szCs w:val="21"/>
        </w:rPr>
      </w:pPr>
    </w:p>
    <w:p>
      <w:pPr>
        <w:spacing w:line="360" w:lineRule="auto"/>
        <w:rPr>
          <w:rFonts w:ascii="宋体"/>
          <w:b/>
          <w:sz w:val="21"/>
          <w:szCs w:val="21"/>
        </w:rPr>
      </w:pPr>
      <w:r>
        <w:rPr>
          <w:rFonts w:hint="eastAsia" w:ascii="宋体"/>
          <w:b/>
          <w:sz w:val="21"/>
          <w:szCs w:val="21"/>
        </w:rPr>
        <w:t>随附《法定代表人证明》</w:t>
      </w:r>
    </w:p>
    <w:p>
      <w:pPr>
        <w:spacing w:line="360" w:lineRule="auto"/>
        <w:rPr>
          <w:rFonts w:ascii="宋体"/>
          <w:sz w:val="21"/>
          <w:szCs w:val="21"/>
        </w:rPr>
      </w:pPr>
    </w:p>
    <w:p>
      <w:pPr>
        <w:spacing w:line="360" w:lineRule="auto"/>
        <w:rPr>
          <w:rFonts w:ascii="宋体"/>
          <w:sz w:val="21"/>
          <w:szCs w:val="21"/>
        </w:rPr>
      </w:pPr>
      <w:r>
        <w:rPr>
          <w:rFonts w:hint="eastAsia" w:ascii="宋体"/>
          <w:sz w:val="21"/>
          <w:szCs w:val="21"/>
        </w:rPr>
        <w:t>投标人名称（</w:t>
      </w:r>
      <w:r>
        <w:rPr>
          <w:rFonts w:hint="eastAsia" w:ascii="宋体" w:hAnsi="宋体"/>
          <w:sz w:val="21"/>
          <w:szCs w:val="21"/>
        </w:rPr>
        <w:t>盖</w:t>
      </w:r>
      <w:r>
        <w:rPr>
          <w:rFonts w:hint="eastAsia" w:ascii="宋体"/>
          <w:sz w:val="21"/>
          <w:szCs w:val="21"/>
        </w:rPr>
        <w:t>公章）：</w:t>
      </w:r>
    </w:p>
    <w:p>
      <w:pPr>
        <w:spacing w:line="360" w:lineRule="auto"/>
        <w:rPr>
          <w:rFonts w:ascii="宋体"/>
          <w:sz w:val="21"/>
          <w:szCs w:val="21"/>
        </w:rPr>
      </w:pPr>
      <w:r>
        <w:rPr>
          <w:rFonts w:hint="eastAsia" w:ascii="宋体"/>
          <w:sz w:val="21"/>
          <w:szCs w:val="21"/>
        </w:rPr>
        <w:t>地      址：</w:t>
      </w:r>
    </w:p>
    <w:p>
      <w:pPr>
        <w:tabs>
          <w:tab w:val="left" w:pos="3780"/>
        </w:tabs>
        <w:spacing w:line="360" w:lineRule="auto"/>
        <w:rPr>
          <w:rFonts w:ascii="宋体"/>
          <w:sz w:val="21"/>
          <w:szCs w:val="21"/>
        </w:rPr>
      </w:pPr>
      <w:r>
        <w:rPr>
          <w:rFonts w:hint="eastAsia" w:ascii="宋体"/>
          <w:sz w:val="21"/>
          <w:szCs w:val="21"/>
        </w:rPr>
        <w:t>法定代表人（签字或盖章）：                         签字日期：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spacing w:line="360" w:lineRule="auto"/>
        <w:ind w:left="1214" w:leftChars="552" w:firstLine="2261"/>
        <w:rPr>
          <w:rFonts w:ascii="宋体"/>
          <w:sz w:val="21"/>
          <w:szCs w:val="21"/>
        </w:rPr>
      </w:pPr>
    </w:p>
    <w:p>
      <w:pPr>
        <w:spacing w:line="360" w:lineRule="auto"/>
        <w:rPr>
          <w:rFonts w:ascii="宋体"/>
          <w:sz w:val="21"/>
          <w:szCs w:val="21"/>
        </w:rPr>
      </w:pPr>
      <w:r>
        <w:rPr>
          <w:rFonts w:hint="eastAsia"/>
          <w:sz w:val="21"/>
          <w:szCs w:val="21"/>
        </w:rPr>
        <w:t>被授权人（投标人授权代表）</w:t>
      </w:r>
      <w:r>
        <w:rPr>
          <w:rFonts w:hint="eastAsia" w:ascii="宋体"/>
          <w:sz w:val="21"/>
          <w:szCs w:val="21"/>
        </w:rPr>
        <w:t xml:space="preserve">（签字或盖章）： </w:t>
      </w:r>
    </w:p>
    <w:p>
      <w:pPr>
        <w:spacing w:line="360" w:lineRule="auto"/>
        <w:rPr>
          <w:rFonts w:ascii="宋体"/>
          <w:sz w:val="21"/>
          <w:szCs w:val="21"/>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217170</wp:posOffset>
                </wp:positionV>
                <wp:extent cx="3086100" cy="1981200"/>
                <wp:effectExtent l="0" t="0" r="19050" b="19050"/>
                <wp:wrapNone/>
                <wp:docPr id="4" name="矩形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rPr>
                                <w:sz w:val="21"/>
                                <w:szCs w:val="21"/>
                              </w:rPr>
                            </w:pPr>
                            <w:r>
                              <w:rPr>
                                <w:rFonts w:hint="eastAsia"/>
                                <w:sz w:val="21"/>
                                <w:szCs w:val="21"/>
                              </w:rPr>
                              <w:t>被授权人（授权代表）</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680" w:firstLineChars="800"/>
                              <w:rPr>
                                <w:sz w:val="21"/>
                                <w:szCs w:val="21"/>
                              </w:rPr>
                            </w:pPr>
                            <w:r>
                              <w:rPr>
                                <w:rFonts w:hint="eastAsia"/>
                                <w:sz w:val="21"/>
                                <w:szCs w:val="21"/>
                              </w:rPr>
                              <w:t>（正面）</w:t>
                            </w:r>
                          </w:p>
                          <w:p/>
                        </w:txbxContent>
                      </wps:txbx>
                      <wps:bodyPr upright="1"/>
                    </wps:wsp>
                  </a:graphicData>
                </a:graphic>
              </wp:anchor>
            </w:drawing>
          </mc:Choice>
          <mc:Fallback>
            <w:pict>
              <v:rect id="_x0000_s1026" o:spid="_x0000_s1026" o:spt="1" style="position:absolute;left:0pt;margin-left:-1pt;margin-top:17.1pt;height:156pt;width:243pt;z-index:251660288;mso-width-relative:page;mso-height-relative:page;" fillcolor="#FFFFFF" filled="t" stroked="t" coordsize="21600,21600" o:gfxdata="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DQmStcAAAAJAQAADwAAAAAAAAABACAAAAAiAAAAZHJz&#10;L2Rvd25yZXYueG1sUEsBAhQAFAAAAAgAh07iQCgjdfsFAgAAOAQAAA4AAAAAAAAAAQAgAAAAJgEA&#10;AGRycy9lMm9Eb2MueG1sUEsFBgAAAAAGAAYAWQEAAJ0FAAAAAA==&#10;">
                <v:fill on="t" focussize="0,0"/>
                <v:stroke color="#000000" joinstyle="miter"/>
                <v:imagedata o:title=""/>
                <o:lock v:ext="edit" aspectratio="f"/>
                <v:textbox>
                  <w:txbxContent>
                    <w:p>
                      <w:pPr>
                        <w:ind w:firstLine="1260" w:firstLineChars="600"/>
                        <w:rPr>
                          <w:sz w:val="21"/>
                          <w:szCs w:val="21"/>
                        </w:rPr>
                      </w:pPr>
                      <w:r>
                        <w:rPr>
                          <w:rFonts w:hint="eastAsia"/>
                          <w:sz w:val="21"/>
                          <w:szCs w:val="21"/>
                        </w:rPr>
                        <w:t>被授权人（授权代表）</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680" w:firstLineChars="800"/>
                        <w:rPr>
                          <w:sz w:val="21"/>
                          <w:szCs w:val="21"/>
                        </w:rPr>
                      </w:pPr>
                      <w:r>
                        <w:rPr>
                          <w:rFonts w:hint="eastAsia"/>
                          <w:sz w:val="21"/>
                          <w:szCs w:val="21"/>
                        </w:rPr>
                        <w:t>（正面）</w:t>
                      </w:r>
                    </w:p>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3274060</wp:posOffset>
                </wp:positionH>
                <wp:positionV relativeFrom="paragraph">
                  <wp:posOffset>217170</wp:posOffset>
                </wp:positionV>
                <wp:extent cx="3086100" cy="1981200"/>
                <wp:effectExtent l="0" t="0" r="19050" b="19050"/>
                <wp:wrapNone/>
                <wp:docPr id="3" name="矩形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rPr>
                                <w:sz w:val="21"/>
                                <w:szCs w:val="21"/>
                              </w:rPr>
                            </w:pPr>
                            <w:r>
                              <w:rPr>
                                <w:rFonts w:hint="eastAsia"/>
                                <w:sz w:val="21"/>
                                <w:szCs w:val="21"/>
                              </w:rPr>
                              <w:t>被授权人（授权代表）</w:t>
                            </w:r>
                          </w:p>
                          <w:p>
                            <w:pPr>
                              <w:ind w:firstLine="1050" w:firstLineChars="500"/>
                              <w:rPr>
                                <w:sz w:val="21"/>
                                <w:szCs w:val="21"/>
                              </w:rPr>
                            </w:pPr>
                            <w:r>
                              <w:rPr>
                                <w:rFonts w:hint="eastAsia"/>
                                <w:sz w:val="21"/>
                                <w:szCs w:val="21"/>
                              </w:rPr>
                              <w:t>居民身份证复印件粘贴处</w:t>
                            </w:r>
                          </w:p>
                          <w:p>
                            <w:pPr>
                              <w:ind w:firstLine="1680" w:firstLineChars="800"/>
                              <w:rPr>
                                <w:sz w:val="21"/>
                                <w:szCs w:val="21"/>
                              </w:rPr>
                            </w:pPr>
                          </w:p>
                          <w:p>
                            <w:pPr>
                              <w:ind w:firstLine="1680" w:firstLineChars="800"/>
                              <w:rPr>
                                <w:sz w:val="21"/>
                                <w:szCs w:val="21"/>
                              </w:rPr>
                            </w:pPr>
                            <w:r>
                              <w:rPr>
                                <w:rFonts w:hint="eastAsia"/>
                                <w:sz w:val="21"/>
                                <w:szCs w:val="21"/>
                              </w:rPr>
                              <w:t>（反面）</w:t>
                            </w:r>
                          </w:p>
                          <w:p/>
                        </w:txbxContent>
                      </wps:txbx>
                      <wps:bodyPr upright="1"/>
                    </wps:wsp>
                  </a:graphicData>
                </a:graphic>
              </wp:anchor>
            </w:drawing>
          </mc:Choice>
          <mc:Fallback>
            <w:pict>
              <v:rect id="_x0000_s1026" o:spid="_x0000_s1026" o:spt="1" style="position:absolute;left:0pt;margin-left:257.8pt;margin-top:17.1pt;height:156pt;width:243pt;z-index:251661312;mso-width-relative:page;mso-height-relative:page;" fillcolor="#FFFFFF" filled="t" stroked="t" coordsize="21600,21600" o:gfxdata="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pns/NcAAAALAQAADwAAAAAAAAABACAAAAAiAAAAZHJz&#10;L2Rvd25yZXYueG1sUEsBAhQAFAAAAAgAh07iQBvk2rkFAgAAOAQAAA4AAAAAAAAAAQAgAAAAJgEA&#10;AGRycy9lMm9Eb2MueG1sUEsFBgAAAAAGAAYAWQEAAJ0FAAAAAA==&#10;">
                <v:fill on="t" focussize="0,0"/>
                <v:stroke color="#000000" joinstyle="miter"/>
                <v:imagedata o:title=""/>
                <o:lock v:ext="edit" aspectratio="f"/>
                <v:textbox>
                  <w:txbxContent>
                    <w:p>
                      <w:pPr>
                        <w:ind w:firstLine="1260" w:firstLineChars="600"/>
                        <w:rPr>
                          <w:sz w:val="21"/>
                          <w:szCs w:val="21"/>
                        </w:rPr>
                      </w:pPr>
                      <w:r>
                        <w:rPr>
                          <w:rFonts w:hint="eastAsia"/>
                          <w:sz w:val="21"/>
                          <w:szCs w:val="21"/>
                        </w:rPr>
                        <w:t>被授权人（授权代表）</w:t>
                      </w:r>
                    </w:p>
                    <w:p>
                      <w:pPr>
                        <w:ind w:firstLine="1050" w:firstLineChars="500"/>
                        <w:rPr>
                          <w:sz w:val="21"/>
                          <w:szCs w:val="21"/>
                        </w:rPr>
                      </w:pPr>
                      <w:r>
                        <w:rPr>
                          <w:rFonts w:hint="eastAsia"/>
                          <w:sz w:val="21"/>
                          <w:szCs w:val="21"/>
                        </w:rPr>
                        <w:t>居民身份证复印件粘贴处</w:t>
                      </w:r>
                    </w:p>
                    <w:p>
                      <w:pPr>
                        <w:ind w:firstLine="1680" w:firstLineChars="800"/>
                        <w:rPr>
                          <w:sz w:val="21"/>
                          <w:szCs w:val="21"/>
                        </w:rPr>
                      </w:pPr>
                    </w:p>
                    <w:p>
                      <w:pPr>
                        <w:ind w:firstLine="1680" w:firstLineChars="800"/>
                        <w:rPr>
                          <w:sz w:val="21"/>
                          <w:szCs w:val="21"/>
                        </w:rPr>
                      </w:pPr>
                      <w:r>
                        <w:rPr>
                          <w:rFonts w:hint="eastAsia"/>
                          <w:sz w:val="21"/>
                          <w:szCs w:val="21"/>
                        </w:rPr>
                        <w:t>（反面）</w:t>
                      </w:r>
                    </w:p>
                    <w:p/>
                  </w:txbxContent>
                </v:textbox>
              </v:rect>
            </w:pict>
          </mc:Fallback>
        </mc:AlternateContent>
      </w:r>
    </w:p>
    <w:p>
      <w:pPr>
        <w:spacing w:line="440" w:lineRule="exact"/>
        <w:rPr>
          <w:rFonts w:ascii="黑体" w:eastAsia="黑体"/>
          <w:sz w:val="21"/>
          <w:szCs w:val="21"/>
        </w:rPr>
      </w:pPr>
      <w:bookmarkStart w:id="1177" w:name="_Toc226217114"/>
    </w:p>
    <w:p>
      <w:pPr>
        <w:spacing w:line="440" w:lineRule="exact"/>
        <w:rPr>
          <w:rFonts w:ascii="黑体" w:eastAsia="黑体"/>
          <w:sz w:val="21"/>
          <w:szCs w:val="21"/>
        </w:rPr>
      </w:pPr>
    </w:p>
    <w:p>
      <w:pPr>
        <w:spacing w:line="440" w:lineRule="exact"/>
        <w:rPr>
          <w:rFonts w:ascii="黑体" w:eastAsia="黑体"/>
          <w:sz w:val="21"/>
          <w:szCs w:val="21"/>
        </w:rPr>
      </w:pPr>
    </w:p>
    <w:p>
      <w:pPr>
        <w:spacing w:line="440" w:lineRule="exact"/>
        <w:rPr>
          <w:rFonts w:ascii="黑体" w:eastAsia="黑体"/>
          <w:sz w:val="21"/>
          <w:szCs w:val="21"/>
        </w:rPr>
      </w:pPr>
    </w:p>
    <w:p>
      <w:pPr>
        <w:spacing w:line="440" w:lineRule="exact"/>
        <w:rPr>
          <w:rFonts w:ascii="黑体" w:eastAsia="黑体"/>
          <w:sz w:val="21"/>
          <w:szCs w:val="21"/>
        </w:rPr>
      </w:pPr>
    </w:p>
    <w:p>
      <w:pPr>
        <w:spacing w:line="440" w:lineRule="exact"/>
        <w:rPr>
          <w:rFonts w:ascii="黑体" w:eastAsia="黑体"/>
          <w:sz w:val="21"/>
          <w:szCs w:val="21"/>
        </w:rPr>
      </w:pPr>
    </w:p>
    <w:p>
      <w:pPr>
        <w:spacing w:line="440" w:lineRule="exact"/>
        <w:rPr>
          <w:rFonts w:ascii="黑体" w:eastAsia="黑体"/>
          <w:sz w:val="21"/>
          <w:szCs w:val="21"/>
        </w:rPr>
      </w:pPr>
    </w:p>
    <w:p>
      <w:pPr>
        <w:spacing w:line="360" w:lineRule="auto"/>
        <w:rPr>
          <w:rFonts w:ascii="宋体" w:hAnsi="宋体"/>
          <w:sz w:val="21"/>
          <w:szCs w:val="21"/>
        </w:rPr>
      </w:pPr>
      <w:r>
        <w:rPr>
          <w:rFonts w:hint="eastAsia" w:ascii="宋体" w:hAnsi="宋体"/>
          <w:sz w:val="21"/>
          <w:szCs w:val="21"/>
        </w:rPr>
        <w:t>说明：</w:t>
      </w:r>
    </w:p>
    <w:p>
      <w:pPr>
        <w:spacing w:line="360" w:lineRule="auto"/>
        <w:rPr>
          <w:rFonts w:ascii="宋体" w:hAnsi="宋体"/>
          <w:sz w:val="21"/>
          <w:szCs w:val="21"/>
        </w:rPr>
      </w:pPr>
      <w:r>
        <w:rPr>
          <w:rFonts w:hint="eastAsia" w:ascii="宋体" w:hAnsi="宋体"/>
          <w:sz w:val="21"/>
          <w:szCs w:val="21"/>
        </w:rPr>
        <w:t>1．法定代表人亲自签署《投标函》并亲自参加投标的，则无需提交本《法定代表人授权委托书》文件。</w:t>
      </w:r>
    </w:p>
    <w:p>
      <w:pPr>
        <w:spacing w:line="360" w:lineRule="auto"/>
        <w:ind w:left="315" w:hanging="315" w:hangingChars="150"/>
        <w:rPr>
          <w:rFonts w:ascii="宋体" w:hAnsi="宋体"/>
          <w:sz w:val="21"/>
          <w:szCs w:val="21"/>
        </w:rPr>
      </w:pPr>
      <w:r>
        <w:rPr>
          <w:rFonts w:hint="eastAsia" w:ascii="宋体" w:hAnsi="宋体"/>
          <w:sz w:val="21"/>
          <w:szCs w:val="21"/>
        </w:rPr>
        <w:t>2．《投标函》由委托代理人签署的，则须提交有单位公章、法定代表人的亲笔签名或盖章、被授权人的亲笔签名或盖章的本文件，三者缺一不可。</w:t>
      </w:r>
    </w:p>
    <w:p>
      <w:pPr>
        <w:adjustRightInd/>
        <w:spacing w:line="440" w:lineRule="exact"/>
        <w:jc w:val="both"/>
        <w:rPr>
          <w:rFonts w:ascii="黑体" w:eastAsia="黑体"/>
        </w:rPr>
      </w:pPr>
      <w:r>
        <w:rPr>
          <w:rFonts w:hint="eastAsia" w:ascii="宋体" w:hAnsi="宋体"/>
          <w:sz w:val="21"/>
          <w:szCs w:val="21"/>
        </w:rPr>
        <w:br w:type="page"/>
      </w:r>
      <w:bookmarkEnd w:id="1177"/>
      <w:r>
        <w:rPr>
          <w:rFonts w:hint="eastAsia" w:ascii="黑体" w:eastAsia="黑体"/>
          <w:bCs/>
          <w:sz w:val="28"/>
        </w:rPr>
        <w:t>格式6</w:t>
      </w:r>
    </w:p>
    <w:p>
      <w:pPr>
        <w:pStyle w:val="4"/>
        <w:adjustRightInd w:val="0"/>
        <w:snapToGrid w:val="0"/>
        <w:spacing w:before="120" w:beforeLines="50" w:after="120" w:afterLines="50" w:line="360" w:lineRule="auto"/>
        <w:jc w:val="center"/>
        <w:rPr>
          <w:b w:val="0"/>
        </w:rPr>
      </w:pPr>
      <w:bookmarkStart w:id="1178" w:name="_Toc275865608"/>
      <w:bookmarkStart w:id="1179" w:name="_Toc453957432"/>
      <w:r>
        <w:rPr>
          <w:rFonts w:hint="eastAsia"/>
          <w:b w:val="0"/>
        </w:rPr>
        <w:t>法定代表人证明书</w:t>
      </w:r>
      <w:bookmarkEnd w:id="1178"/>
      <w:bookmarkEnd w:id="1179"/>
    </w:p>
    <w:p>
      <w:pPr>
        <w:tabs>
          <w:tab w:val="left" w:pos="900"/>
        </w:tabs>
        <w:spacing w:line="480" w:lineRule="auto"/>
        <w:ind w:firstLine="945" w:firstLineChars="450"/>
        <w:rPr>
          <w:rFonts w:ascii="宋体" w:hAnsi="宋体"/>
          <w:sz w:val="21"/>
          <w:szCs w:val="21"/>
        </w:rPr>
      </w:pPr>
      <w:r>
        <w:rPr>
          <w:rFonts w:hint="eastAsia" w:ascii="宋体" w:hAnsi="宋体"/>
          <w:sz w:val="21"/>
          <w:szCs w:val="21"/>
        </w:rPr>
        <w:t>______________同志，现任我单位</w:t>
      </w:r>
      <w:r>
        <w:rPr>
          <w:rFonts w:hint="eastAsia" w:ascii="宋体" w:hAnsi="宋体"/>
          <w:sz w:val="21"/>
          <w:szCs w:val="21"/>
          <w:u w:val="single"/>
        </w:rPr>
        <w:t xml:space="preserve">         </w:t>
      </w:r>
      <w:r>
        <w:rPr>
          <w:rFonts w:hint="eastAsia" w:ascii="宋体" w:hAnsi="宋体"/>
          <w:sz w:val="21"/>
          <w:szCs w:val="21"/>
        </w:rPr>
        <w:t>职务，为法定代表人，特此证明。</w:t>
      </w:r>
    </w:p>
    <w:p>
      <w:pPr>
        <w:spacing w:line="480" w:lineRule="auto"/>
        <w:ind w:firstLine="420" w:firstLineChars="200"/>
        <w:rPr>
          <w:rFonts w:ascii="宋体" w:hAnsi="宋体"/>
          <w:sz w:val="21"/>
          <w:szCs w:val="21"/>
        </w:rPr>
      </w:pPr>
      <w:r>
        <w:rPr>
          <w:rFonts w:hint="eastAsia" w:ascii="宋体" w:hAnsi="宋体"/>
          <w:sz w:val="21"/>
          <w:szCs w:val="21"/>
        </w:rPr>
        <w:t>有效日期与本公司投标文件中标注的投标有效期相同。签发日期：</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spacing w:line="480" w:lineRule="auto"/>
        <w:ind w:firstLine="420" w:firstLineChars="200"/>
        <w:rPr>
          <w:rFonts w:ascii="宋体" w:hAnsi="宋体"/>
          <w:sz w:val="21"/>
          <w:szCs w:val="21"/>
        </w:rPr>
      </w:pPr>
      <w:r>
        <w:rPr>
          <w:rFonts w:hint="eastAsia" w:ascii="宋体" w:hAnsi="宋体"/>
          <w:sz w:val="21"/>
          <w:szCs w:val="21"/>
        </w:rPr>
        <w:t>附：</w:t>
      </w:r>
    </w:p>
    <w:p>
      <w:pPr>
        <w:spacing w:line="480" w:lineRule="auto"/>
        <w:ind w:firstLine="840" w:firstLineChars="400"/>
        <w:rPr>
          <w:rFonts w:ascii="宋体" w:hAnsi="宋体"/>
          <w:sz w:val="21"/>
          <w:szCs w:val="21"/>
        </w:rPr>
      </w:pPr>
      <w:r>
        <w:rPr>
          <w:rFonts w:hint="eastAsia" w:ascii="宋体" w:hAnsi="宋体"/>
          <w:sz w:val="21"/>
          <w:szCs w:val="21"/>
        </w:rPr>
        <w:t xml:space="preserve">营业执照（注册号）：                       </w:t>
      </w:r>
    </w:p>
    <w:p>
      <w:pPr>
        <w:spacing w:line="480" w:lineRule="auto"/>
        <w:ind w:firstLine="840" w:firstLineChars="400"/>
        <w:rPr>
          <w:rFonts w:ascii="宋体" w:hAnsi="宋体"/>
          <w:sz w:val="21"/>
          <w:szCs w:val="21"/>
        </w:rPr>
      </w:pPr>
      <w:r>
        <w:rPr>
          <w:rFonts w:hint="eastAsia" w:ascii="宋体" w:hAnsi="宋体"/>
          <w:sz w:val="21"/>
          <w:szCs w:val="21"/>
        </w:rPr>
        <w:t>经济性质：</w:t>
      </w:r>
    </w:p>
    <w:p>
      <w:pPr>
        <w:spacing w:line="480" w:lineRule="auto"/>
        <w:ind w:firstLine="840" w:firstLineChars="400"/>
        <w:rPr>
          <w:rFonts w:ascii="宋体" w:hAnsi="宋体"/>
          <w:sz w:val="21"/>
          <w:szCs w:val="21"/>
        </w:rPr>
      </w:pPr>
      <w:r>
        <w:rPr>
          <w:rFonts w:hint="eastAsia" w:ascii="宋体" w:hAnsi="宋体"/>
          <w:sz w:val="21"/>
          <w:szCs w:val="21"/>
        </w:rPr>
        <w:t>主营（产）：</w:t>
      </w:r>
    </w:p>
    <w:p>
      <w:pPr>
        <w:spacing w:line="480" w:lineRule="auto"/>
        <w:ind w:firstLine="840" w:firstLineChars="400"/>
        <w:rPr>
          <w:rFonts w:ascii="宋体" w:hAnsi="宋体"/>
          <w:sz w:val="21"/>
          <w:szCs w:val="21"/>
        </w:rPr>
      </w:pPr>
      <w:r>
        <w:rPr>
          <w:rFonts w:hint="eastAsia" w:ascii="宋体" w:hAnsi="宋体"/>
          <w:sz w:val="21"/>
          <w:szCs w:val="21"/>
        </w:rPr>
        <w:t>兼营（产）：</w:t>
      </w:r>
    </w:p>
    <w:p>
      <w:pPr>
        <w:spacing w:line="480" w:lineRule="auto"/>
        <w:ind w:firstLine="880" w:firstLineChars="400"/>
        <w:rPr>
          <w:rFonts w:ascii="宋体" w:hAnsi="宋体"/>
          <w:sz w:val="21"/>
          <w:szCs w:val="21"/>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243840</wp:posOffset>
                </wp:positionV>
                <wp:extent cx="3086100" cy="1882140"/>
                <wp:effectExtent l="0" t="0" r="19050" b="22860"/>
                <wp:wrapNone/>
                <wp:docPr id="8" name="矩形 8"/>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sz w:val="21"/>
                                <w:szCs w:val="21"/>
                              </w:rPr>
                            </w:pPr>
                          </w:p>
                          <w:p>
                            <w:pPr>
                              <w:ind w:firstLine="1680" w:firstLineChars="800"/>
                              <w:rPr>
                                <w:sz w:val="21"/>
                                <w:szCs w:val="21"/>
                              </w:rPr>
                            </w:pPr>
                            <w:r>
                              <w:rPr>
                                <w:rFonts w:hint="eastAsia"/>
                                <w:sz w:val="21"/>
                                <w:szCs w:val="21"/>
                              </w:rPr>
                              <w:t>法定代表人</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785" w:firstLineChars="850"/>
                              <w:rPr>
                                <w:sz w:val="21"/>
                                <w:szCs w:val="21"/>
                              </w:rPr>
                            </w:pPr>
                            <w:r>
                              <w:rPr>
                                <w:rFonts w:hint="eastAsia"/>
                                <w:sz w:val="21"/>
                                <w:szCs w:val="21"/>
                              </w:rPr>
                              <w:t>（正面）</w:t>
                            </w:r>
                          </w:p>
                          <w:p>
                            <w:pPr>
                              <w:ind w:firstLine="1100" w:firstLineChars="500"/>
                            </w:pPr>
                          </w:p>
                        </w:txbxContent>
                      </wps:txbx>
                      <wps:bodyPr upright="1"/>
                    </wps:wsp>
                  </a:graphicData>
                </a:graphic>
              </wp:anchor>
            </w:drawing>
          </mc:Choice>
          <mc:Fallback>
            <w:pict>
              <v:rect id="_x0000_s1026" o:spid="_x0000_s1026" o:spt="1" style="position:absolute;left:0pt;margin-left:3.4pt;margin-top:19.2pt;height:148.2pt;width:243pt;z-index:251661312;mso-width-relative:page;mso-height-relative:page;" fillcolor="#FFFFFF" filled="t" stroked="t" coordsize="21600,21600" o:gfxdata="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&#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753I1gAAAAgBAAAPAAAAAAAAAAEAIAAAACIAAABk&#10;cnMvZG93bnJldi54bWxQSwECFAAUAAAACACHTuJAUBnk1ggCAAA4BAAADgAAAAAAAAABACAAAAAl&#10;AQAAZHJzL2Uyb0RvYy54bWxQSwUGAAAAAAYABgBZAQAAnwUAAAAA&#10;">
                <v:fill on="t" focussize="0,0"/>
                <v:stroke color="#000000" joinstyle="miter"/>
                <v:imagedata o:title=""/>
                <o:lock v:ext="edit" aspectratio="f"/>
                <v:textbox>
                  <w:txbxContent>
                    <w:p>
                      <w:pPr>
                        <w:ind w:firstLine="840" w:firstLineChars="400"/>
                        <w:rPr>
                          <w:sz w:val="21"/>
                          <w:szCs w:val="21"/>
                        </w:rPr>
                      </w:pPr>
                    </w:p>
                    <w:p>
                      <w:pPr>
                        <w:ind w:firstLine="1680" w:firstLineChars="800"/>
                        <w:rPr>
                          <w:sz w:val="21"/>
                          <w:szCs w:val="21"/>
                        </w:rPr>
                      </w:pPr>
                      <w:r>
                        <w:rPr>
                          <w:rFonts w:hint="eastAsia"/>
                          <w:sz w:val="21"/>
                          <w:szCs w:val="21"/>
                        </w:rPr>
                        <w:t>法定代表人</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785" w:firstLineChars="850"/>
                        <w:rPr>
                          <w:sz w:val="21"/>
                          <w:szCs w:val="21"/>
                        </w:rPr>
                      </w:pPr>
                      <w:r>
                        <w:rPr>
                          <w:rFonts w:hint="eastAsia"/>
                          <w:sz w:val="21"/>
                          <w:szCs w:val="21"/>
                        </w:rPr>
                        <w:t>（正面）</w:t>
                      </w:r>
                    </w:p>
                    <w:p>
                      <w:pPr>
                        <w:ind w:firstLine="1100" w:firstLineChars="500"/>
                      </w:pPr>
                    </w:p>
                  </w:txbxContent>
                </v:textbox>
              </v:rect>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3295650</wp:posOffset>
                </wp:positionH>
                <wp:positionV relativeFrom="paragraph">
                  <wp:posOffset>243840</wp:posOffset>
                </wp:positionV>
                <wp:extent cx="3086100" cy="1882140"/>
                <wp:effectExtent l="0" t="0" r="19050" b="22860"/>
                <wp:wrapNone/>
                <wp:docPr id="9" name="矩形 9"/>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80" w:firstLineChars="400"/>
                            </w:pPr>
                          </w:p>
                          <w:p>
                            <w:pPr>
                              <w:ind w:firstLine="1680" w:firstLineChars="800"/>
                              <w:rPr>
                                <w:sz w:val="21"/>
                                <w:szCs w:val="21"/>
                              </w:rPr>
                            </w:pPr>
                            <w:r>
                              <w:rPr>
                                <w:rFonts w:hint="eastAsia"/>
                                <w:sz w:val="21"/>
                                <w:szCs w:val="21"/>
                              </w:rPr>
                              <w:t>法定代表人</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785" w:firstLineChars="850"/>
                              <w:rPr>
                                <w:sz w:val="21"/>
                                <w:szCs w:val="21"/>
                              </w:rPr>
                            </w:pPr>
                            <w:r>
                              <w:rPr>
                                <w:rFonts w:hint="eastAsia"/>
                                <w:sz w:val="21"/>
                                <w:szCs w:val="21"/>
                              </w:rPr>
                              <w:t>（反面）</w:t>
                            </w:r>
                          </w:p>
                          <w:p>
                            <w:pPr>
                              <w:ind w:firstLine="1100" w:firstLineChars="500"/>
                            </w:pPr>
                          </w:p>
                        </w:txbxContent>
                      </wps:txbx>
                      <wps:bodyPr upright="1"/>
                    </wps:wsp>
                  </a:graphicData>
                </a:graphic>
              </wp:anchor>
            </w:drawing>
          </mc:Choice>
          <mc:Fallback>
            <w:pict>
              <v:rect id="_x0000_s1026" o:spid="_x0000_s1026" o:spt="1" style="position:absolute;left:0pt;margin-left:259.5pt;margin-top:19.2pt;height:148.2pt;width:243pt;z-index:251662336;mso-width-relative:page;mso-height-relative:page;" fillcolor="#FFFFFF" filled="t" stroked="t" coordsize="21600,21600" o:gfxdata="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UInS9kAAAALAQAADwAAAAAAAAABACAAAAAi&#10;AAAAZHJzL2Rvd25yZXYueG1sUEsBAhQAFAAAAAgAh07iQMBbWwIJAgAAOAQAAA4AAAAAAAAAAQAg&#10;AAAAKAEAAGRycy9lMm9Eb2MueG1sUEsFBgAAAAAGAAYAWQEAAKMFAAAAAA==&#10;">
                <v:fill on="t" focussize="0,0"/>
                <v:stroke color="#000000" joinstyle="miter"/>
                <v:imagedata o:title=""/>
                <o:lock v:ext="edit" aspectratio="f"/>
                <v:textbox>
                  <w:txbxContent>
                    <w:p>
                      <w:pPr>
                        <w:ind w:firstLine="880" w:firstLineChars="400"/>
                      </w:pPr>
                    </w:p>
                    <w:p>
                      <w:pPr>
                        <w:ind w:firstLine="1680" w:firstLineChars="800"/>
                        <w:rPr>
                          <w:sz w:val="21"/>
                          <w:szCs w:val="21"/>
                        </w:rPr>
                      </w:pPr>
                      <w:r>
                        <w:rPr>
                          <w:rFonts w:hint="eastAsia"/>
                          <w:sz w:val="21"/>
                          <w:szCs w:val="21"/>
                        </w:rPr>
                        <w:t>法定代表人</w:t>
                      </w:r>
                    </w:p>
                    <w:p>
                      <w:pPr>
                        <w:ind w:firstLine="1050" w:firstLineChars="500"/>
                        <w:rPr>
                          <w:sz w:val="21"/>
                          <w:szCs w:val="21"/>
                        </w:rPr>
                      </w:pPr>
                      <w:r>
                        <w:rPr>
                          <w:rFonts w:hint="eastAsia"/>
                          <w:sz w:val="21"/>
                          <w:szCs w:val="21"/>
                        </w:rPr>
                        <w:t>居民身份证复印件粘贴处</w:t>
                      </w:r>
                    </w:p>
                    <w:p>
                      <w:pPr>
                        <w:ind w:firstLine="1050" w:firstLineChars="500"/>
                        <w:rPr>
                          <w:sz w:val="21"/>
                          <w:szCs w:val="21"/>
                        </w:rPr>
                      </w:pPr>
                    </w:p>
                    <w:p>
                      <w:pPr>
                        <w:ind w:firstLine="1785" w:firstLineChars="850"/>
                        <w:rPr>
                          <w:sz w:val="21"/>
                          <w:szCs w:val="21"/>
                        </w:rPr>
                      </w:pPr>
                      <w:r>
                        <w:rPr>
                          <w:rFonts w:hint="eastAsia"/>
                          <w:sz w:val="21"/>
                          <w:szCs w:val="21"/>
                        </w:rPr>
                        <w:t>（反面）</w:t>
                      </w:r>
                    </w:p>
                    <w:p>
                      <w:pPr>
                        <w:ind w:firstLine="1100" w:firstLineChars="500"/>
                      </w:pPr>
                    </w:p>
                  </w:txbxContent>
                </v:textbox>
              </v:rect>
            </w:pict>
          </mc:Fallback>
        </mc:AlternateContent>
      </w:r>
    </w:p>
    <w:p>
      <w:pPr>
        <w:spacing w:line="500" w:lineRule="exact"/>
        <w:rPr>
          <w:rFonts w:ascii="宋体"/>
          <w:b/>
          <w:bCs/>
          <w:sz w:val="21"/>
          <w:szCs w:val="21"/>
        </w:rPr>
      </w:pPr>
    </w:p>
    <w:p>
      <w:pPr>
        <w:spacing w:line="500" w:lineRule="exact"/>
        <w:rPr>
          <w:rFonts w:ascii="宋体"/>
          <w:b/>
          <w:bCs/>
          <w:sz w:val="21"/>
          <w:szCs w:val="21"/>
        </w:rPr>
      </w:pPr>
    </w:p>
    <w:p>
      <w:pPr>
        <w:spacing w:line="500" w:lineRule="exact"/>
        <w:rPr>
          <w:rFonts w:ascii="宋体"/>
          <w:b/>
          <w:bCs/>
          <w:sz w:val="21"/>
          <w:szCs w:val="21"/>
        </w:rPr>
      </w:pPr>
    </w:p>
    <w:p>
      <w:pPr>
        <w:spacing w:line="500" w:lineRule="exact"/>
        <w:rPr>
          <w:rFonts w:ascii="宋体"/>
          <w:b/>
          <w:bCs/>
          <w:sz w:val="21"/>
          <w:szCs w:val="21"/>
        </w:rPr>
      </w:pPr>
    </w:p>
    <w:p>
      <w:pPr>
        <w:spacing w:line="500" w:lineRule="exact"/>
        <w:rPr>
          <w:rFonts w:ascii="宋体"/>
          <w:b/>
          <w:bCs/>
          <w:sz w:val="21"/>
          <w:szCs w:val="21"/>
        </w:rPr>
      </w:pPr>
      <w:r>
        <w:rPr>
          <w:rFonts w:hint="eastAsia" w:ascii="宋体"/>
          <w:b/>
          <w:bCs/>
          <w:sz w:val="21"/>
          <w:szCs w:val="21"/>
        </w:rPr>
        <w:t xml:space="preserve"> </w:t>
      </w:r>
      <w:r>
        <w:rPr>
          <w:rFonts w:hint="eastAsia" w:ascii="宋体" w:hAnsi="宋体"/>
          <w:sz w:val="21"/>
          <w:szCs w:val="21"/>
        </w:rPr>
        <w:t>投标人名称：（盖公章）：</w:t>
      </w:r>
    </w:p>
    <w:p>
      <w:pPr>
        <w:spacing w:line="500" w:lineRule="exact"/>
        <w:rPr>
          <w:rFonts w:ascii="宋体" w:hAnsi="宋体"/>
          <w:sz w:val="21"/>
          <w:szCs w:val="21"/>
        </w:rPr>
      </w:pPr>
      <w:r>
        <w:rPr>
          <w:rFonts w:hint="eastAsia" w:ascii="宋体" w:hAnsi="宋体"/>
          <w:sz w:val="21"/>
          <w:szCs w:val="21"/>
        </w:rPr>
        <w:t xml:space="preserve"> 地址：</w:t>
      </w:r>
    </w:p>
    <w:p>
      <w:pPr>
        <w:spacing w:line="500" w:lineRule="exact"/>
        <w:ind w:firstLine="105" w:firstLineChars="50"/>
        <w:jc w:val="both"/>
        <w:rPr>
          <w:rFonts w:ascii="宋体" w:hAnsi="宋体"/>
          <w:b/>
          <w:bCs/>
          <w:sz w:val="21"/>
          <w:szCs w:val="21"/>
        </w:rPr>
      </w:pPr>
      <w:r>
        <w:rPr>
          <w:rFonts w:hint="eastAsia" w:ascii="宋体" w:hAnsi="宋体"/>
          <w:sz w:val="21"/>
          <w:szCs w:val="21"/>
        </w:rPr>
        <w:t>日期：</w:t>
      </w:r>
    </w:p>
    <w:p>
      <w:pPr>
        <w:spacing w:line="360" w:lineRule="auto"/>
        <w:rPr>
          <w:bCs/>
        </w:rPr>
      </w:pPr>
      <w:r>
        <w:rPr>
          <w:rFonts w:hint="eastAsia" w:ascii="宋体" w:hAnsi="宋体"/>
          <w:b/>
          <w:color w:val="000000"/>
        </w:rPr>
        <w:br w:type="page"/>
      </w:r>
      <w:r>
        <w:rPr>
          <w:rFonts w:hint="eastAsia" w:ascii="黑体" w:eastAsia="黑体"/>
          <w:bCs/>
          <w:sz w:val="28"/>
        </w:rPr>
        <w:t>格式7</w:t>
      </w:r>
    </w:p>
    <w:p>
      <w:pPr>
        <w:pStyle w:val="4"/>
        <w:adjustRightInd w:val="0"/>
        <w:snapToGrid w:val="0"/>
        <w:spacing w:before="120" w:beforeLines="50" w:after="120" w:afterLines="50" w:line="360" w:lineRule="auto"/>
        <w:jc w:val="center"/>
        <w:rPr>
          <w:b w:val="0"/>
        </w:rPr>
      </w:pPr>
      <w:bookmarkStart w:id="1180" w:name="_Toc453957433"/>
      <w:r>
        <w:rPr>
          <w:rFonts w:hint="eastAsia"/>
          <w:b w:val="0"/>
        </w:rPr>
        <w:t>开标一览表</w:t>
      </w:r>
      <w:r>
        <w:rPr>
          <w:b w:val="0"/>
        </w:rPr>
        <w:t>(</w:t>
      </w:r>
      <w:r>
        <w:rPr>
          <w:rFonts w:hint="eastAsia"/>
          <w:b w:val="0"/>
        </w:rPr>
        <w:t>报价表</w:t>
      </w:r>
      <w:r>
        <w:rPr>
          <w:b w:val="0"/>
        </w:rPr>
        <w:t>)</w:t>
      </w:r>
      <w:bookmarkEnd w:id="1180"/>
    </w:p>
    <w:p>
      <w:pPr>
        <w:tabs>
          <w:tab w:val="left" w:pos="7740"/>
        </w:tabs>
        <w:ind w:firstLine="315" w:firstLineChars="150"/>
        <w:rPr>
          <w:rFonts w:ascii="宋体" w:hAnsi="宋体"/>
          <w:sz w:val="21"/>
          <w:szCs w:val="21"/>
        </w:rPr>
      </w:pPr>
      <w:r>
        <w:rPr>
          <w:rFonts w:hint="eastAsia" w:ascii="宋体" w:hAnsi="宋体"/>
          <w:sz w:val="21"/>
          <w:szCs w:val="21"/>
        </w:rPr>
        <w:t>投标人名称：                                                   项目编号：</w:t>
      </w:r>
    </w:p>
    <w:tbl>
      <w:tblPr>
        <w:tblStyle w:val="45"/>
        <w:tblW w:w="99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94"/>
        <w:gridCol w:w="3270"/>
        <w:gridCol w:w="3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195" w:type="dxa"/>
            <w:tcBorders>
              <w:top w:val="single" w:color="auto" w:sz="12" w:space="0"/>
              <w:left w:val="single" w:color="auto" w:sz="12" w:space="0"/>
              <w:bottom w:val="double" w:color="auto" w:sz="4" w:space="0"/>
              <w:right w:val="single" w:color="auto" w:sz="4" w:space="0"/>
            </w:tcBorders>
            <w:shd w:val="clear" w:color="auto" w:fill="EEECE1"/>
            <w:vAlign w:val="center"/>
          </w:tcPr>
          <w:p>
            <w:pPr>
              <w:jc w:val="center"/>
              <w:rPr>
                <w:rFonts w:ascii="宋体" w:hAnsi="宋体"/>
                <w:b/>
                <w:szCs w:val="21"/>
              </w:rPr>
            </w:pPr>
            <w:r>
              <w:rPr>
                <w:rFonts w:hint="eastAsia" w:ascii="宋体" w:hAnsi="宋体"/>
                <w:b/>
                <w:szCs w:val="21"/>
              </w:rPr>
              <w:t>采购内容</w:t>
            </w:r>
          </w:p>
        </w:tc>
        <w:tc>
          <w:tcPr>
            <w:tcW w:w="3270" w:type="dxa"/>
            <w:tcBorders>
              <w:top w:val="single" w:color="auto" w:sz="12" w:space="0"/>
              <w:left w:val="single" w:color="auto" w:sz="4" w:space="0"/>
              <w:bottom w:val="double" w:color="auto" w:sz="4" w:space="0"/>
              <w:right w:val="single" w:color="auto" w:sz="4" w:space="0"/>
            </w:tcBorders>
            <w:shd w:val="clear" w:color="auto" w:fill="EEECE1"/>
            <w:vAlign w:val="center"/>
          </w:tcPr>
          <w:p>
            <w:pPr>
              <w:jc w:val="center"/>
              <w:rPr>
                <w:rFonts w:ascii="宋体" w:hAnsi="宋体"/>
                <w:b/>
                <w:szCs w:val="21"/>
              </w:rPr>
            </w:pPr>
            <w:r>
              <w:rPr>
                <w:rFonts w:hint="eastAsia" w:ascii="宋体" w:hAnsi="宋体"/>
                <w:b/>
                <w:szCs w:val="21"/>
              </w:rPr>
              <w:t>服务期</w:t>
            </w:r>
          </w:p>
        </w:tc>
        <w:tc>
          <w:tcPr>
            <w:tcW w:w="3481" w:type="dxa"/>
            <w:tcBorders>
              <w:top w:val="single" w:color="auto" w:sz="12" w:space="0"/>
              <w:left w:val="single" w:color="auto" w:sz="4" w:space="0"/>
              <w:bottom w:val="double" w:color="auto" w:sz="4" w:space="0"/>
              <w:right w:val="single" w:color="auto" w:sz="12" w:space="0"/>
            </w:tcBorders>
            <w:shd w:val="clear" w:color="auto" w:fill="EEECE1"/>
            <w:vAlign w:val="center"/>
          </w:tcPr>
          <w:p>
            <w:pPr>
              <w:jc w:val="center"/>
              <w:rPr>
                <w:rFonts w:ascii="宋体" w:hAnsi="宋体"/>
                <w:b/>
                <w:szCs w:val="21"/>
              </w:rPr>
            </w:pPr>
            <w:r>
              <w:rPr>
                <w:rFonts w:hint="eastAsia" w:ascii="宋体" w:hAnsi="宋体"/>
                <w:b/>
                <w:szCs w:val="21"/>
              </w:rPr>
              <w:t>投标报价（元）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35" w:hRule="atLeast"/>
          <w:jc w:val="center"/>
        </w:trPr>
        <w:tc>
          <w:tcPr>
            <w:tcW w:w="3195"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数字化平台建设</w:t>
            </w:r>
          </w:p>
        </w:tc>
        <w:tc>
          <w:tcPr>
            <w:tcW w:w="3270"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eastAsia="宋体" w:cs="宋体"/>
                <w:bCs/>
                <w:szCs w:val="21"/>
              </w:rPr>
            </w:pPr>
            <w:r>
              <w:rPr>
                <w:rFonts w:hint="eastAsia" w:ascii="宋体" w:hAnsi="宋体" w:eastAsia="宋体" w:cs="宋体"/>
                <w:bCs/>
                <w:szCs w:val="21"/>
              </w:rPr>
              <w:t>自合同签订之日起90天内完成，包括安装调试等</w:t>
            </w:r>
          </w:p>
        </w:tc>
        <w:tc>
          <w:tcPr>
            <w:tcW w:w="3481" w:type="dxa"/>
            <w:tcBorders>
              <w:top w:val="single" w:color="auto" w:sz="4" w:space="0"/>
              <w:left w:val="single" w:color="auto" w:sz="4" w:space="0"/>
              <w:bottom w:val="single" w:color="auto" w:sz="12" w:space="0"/>
              <w:right w:val="single" w:color="auto" w:sz="12" w:space="0"/>
            </w:tcBorders>
            <w:vAlign w:val="center"/>
          </w:tcPr>
          <w:p>
            <w:pPr>
              <w:rPr>
                <w:rFonts w:ascii="宋体" w:hAnsi="宋体"/>
                <w:bCs/>
                <w:szCs w:val="21"/>
                <w:u w:val="single"/>
              </w:rPr>
            </w:pPr>
            <w:r>
              <w:rPr>
                <w:rFonts w:hint="eastAsia" w:ascii="宋体" w:hAnsi="宋体"/>
                <w:szCs w:val="21"/>
                <w:u w:val="single"/>
              </w:rPr>
              <w:t xml:space="preserve">                </w:t>
            </w:r>
          </w:p>
        </w:tc>
      </w:tr>
    </w:tbl>
    <w:p>
      <w:pPr>
        <w:spacing w:line="500" w:lineRule="exact"/>
        <w:rPr>
          <w:b/>
          <w:spacing w:val="4"/>
          <w:sz w:val="21"/>
          <w:szCs w:val="21"/>
        </w:rPr>
      </w:pPr>
    </w:p>
    <w:p>
      <w:pPr>
        <w:spacing w:line="500" w:lineRule="exact"/>
        <w:ind w:firstLine="436" w:firstLineChars="200"/>
        <w:rPr>
          <w:rFonts w:ascii="宋体" w:hAnsi="宋体"/>
          <w:sz w:val="21"/>
          <w:szCs w:val="21"/>
          <w:u w:val="single"/>
        </w:rPr>
      </w:pPr>
      <w:r>
        <w:rPr>
          <w:rFonts w:hint="eastAsia"/>
          <w:spacing w:val="4"/>
          <w:sz w:val="21"/>
          <w:szCs w:val="21"/>
        </w:rPr>
        <w:t>投标人名称（盖公章）：</w:t>
      </w:r>
      <w:r>
        <w:rPr>
          <w:spacing w:val="4"/>
          <w:sz w:val="21"/>
          <w:szCs w:val="21"/>
          <w:u w:val="single"/>
        </w:rPr>
        <w:t xml:space="preserve">                             </w:t>
      </w:r>
    </w:p>
    <w:p>
      <w:pPr>
        <w:ind w:firstLine="436" w:firstLineChars="200"/>
        <w:rPr>
          <w:spacing w:val="4"/>
          <w:sz w:val="21"/>
          <w:szCs w:val="21"/>
        </w:rPr>
      </w:pPr>
    </w:p>
    <w:p>
      <w:pPr>
        <w:spacing w:line="520" w:lineRule="exact"/>
        <w:ind w:firstLine="420" w:firstLineChars="200"/>
        <w:rPr>
          <w:spacing w:val="4"/>
          <w:sz w:val="21"/>
          <w:szCs w:val="21"/>
        </w:rPr>
      </w:pPr>
      <w:r>
        <w:rPr>
          <w:rFonts w:hint="eastAsia" w:ascii="宋体"/>
          <w:sz w:val="21"/>
          <w:szCs w:val="21"/>
        </w:rPr>
        <w:t>法定代表人或</w:t>
      </w:r>
      <w:r>
        <w:rPr>
          <w:rFonts w:hint="eastAsia" w:ascii="宋体" w:hAnsi="宋体"/>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rPr>
        <w:t xml:space="preserve">            </w:t>
      </w:r>
      <w:r>
        <w:rPr>
          <w:spacing w:val="4"/>
          <w:sz w:val="21"/>
          <w:szCs w:val="21"/>
          <w:u w:val="single"/>
        </w:rPr>
        <w:t xml:space="preserve">    </w:t>
      </w:r>
    </w:p>
    <w:p>
      <w:pPr>
        <w:spacing w:line="400" w:lineRule="exact"/>
        <w:rPr>
          <w:rFonts w:ascii="宋体" w:hAnsi="宋体"/>
          <w:b/>
          <w:bCs/>
          <w:sz w:val="21"/>
          <w:szCs w:val="21"/>
        </w:rPr>
      </w:pPr>
    </w:p>
    <w:p>
      <w:pPr>
        <w:spacing w:line="400" w:lineRule="exact"/>
        <w:ind w:firstLine="420" w:firstLineChars="200"/>
        <w:rPr>
          <w:b/>
          <w:sz w:val="21"/>
          <w:szCs w:val="21"/>
        </w:rPr>
      </w:pPr>
      <w:r>
        <w:rPr>
          <w:rFonts w:hint="eastAsia" w:ascii="宋体" w:hAnsi="宋体"/>
          <w:b/>
          <w:bCs/>
          <w:sz w:val="21"/>
          <w:szCs w:val="21"/>
        </w:rPr>
        <w:t>备注：</w:t>
      </w:r>
      <w:r>
        <w:rPr>
          <w:rFonts w:hint="eastAsia"/>
          <w:b/>
          <w:sz w:val="21"/>
          <w:szCs w:val="21"/>
        </w:rPr>
        <w:t>在正、副本的投标文件中，并另封装一份于开标小信封中。</w:t>
      </w:r>
    </w:p>
    <w:p>
      <w:pPr>
        <w:spacing w:line="400" w:lineRule="exact"/>
        <w:rPr>
          <w:rFonts w:ascii="宋体" w:hAnsi="宋体"/>
          <w:b/>
          <w:bCs/>
          <w:sz w:val="21"/>
          <w:szCs w:val="21"/>
        </w:rPr>
      </w:pPr>
    </w:p>
    <w:p>
      <w:pPr>
        <w:spacing w:line="400" w:lineRule="exact"/>
        <w:jc w:val="center"/>
        <w:rPr>
          <w:b/>
          <w:sz w:val="21"/>
          <w:szCs w:val="21"/>
        </w:rPr>
      </w:pPr>
    </w:p>
    <w:p>
      <w:pPr>
        <w:spacing w:line="400" w:lineRule="exact"/>
        <w:jc w:val="center"/>
        <w:rPr>
          <w:b/>
          <w:sz w:val="21"/>
          <w:szCs w:val="21"/>
        </w:rPr>
      </w:pPr>
    </w:p>
    <w:p>
      <w:pPr>
        <w:spacing w:line="400" w:lineRule="exact"/>
        <w:jc w:val="center"/>
        <w:rPr>
          <w:b/>
          <w:sz w:val="21"/>
          <w:szCs w:val="21"/>
        </w:rPr>
      </w:pPr>
    </w:p>
    <w:p>
      <w:pPr>
        <w:spacing w:line="400" w:lineRule="exact"/>
        <w:jc w:val="center"/>
        <w:rPr>
          <w:b/>
          <w:sz w:val="32"/>
          <w:szCs w:val="32"/>
        </w:rPr>
      </w:pPr>
    </w:p>
    <w:p>
      <w:pPr>
        <w:spacing w:line="400" w:lineRule="exact"/>
        <w:rPr>
          <w:rFonts w:ascii="黑体" w:eastAsia="黑体"/>
          <w:bCs/>
          <w:sz w:val="28"/>
        </w:rPr>
      </w:pPr>
    </w:p>
    <w:p>
      <w:pPr>
        <w:rPr>
          <w:rFonts w:ascii="黑体" w:eastAsia="黑体"/>
          <w:sz w:val="28"/>
        </w:rPr>
      </w:pPr>
    </w:p>
    <w:p>
      <w:pPr>
        <w:pStyle w:val="14"/>
        <w:rPr>
          <w:rFonts w:eastAsia="宋体"/>
          <w:sz w:val="20"/>
        </w:rPr>
      </w:pPr>
    </w:p>
    <w:p>
      <w:pPr>
        <w:spacing w:line="400" w:lineRule="exact"/>
        <w:rPr>
          <w:rFonts w:ascii="黑体" w:eastAsia="黑体"/>
          <w:bCs/>
          <w:sz w:val="28"/>
        </w:rPr>
      </w:pPr>
    </w:p>
    <w:p>
      <w:pPr>
        <w:pStyle w:val="14"/>
        <w:rPr>
          <w:rFonts w:ascii="黑体" w:eastAsia="黑体"/>
          <w:bCs/>
          <w:sz w:val="28"/>
        </w:rPr>
      </w:pPr>
    </w:p>
    <w:p>
      <w:pPr>
        <w:pStyle w:val="14"/>
        <w:rPr>
          <w:rFonts w:ascii="黑体" w:eastAsia="黑体"/>
          <w:bCs/>
          <w:sz w:val="28"/>
        </w:rPr>
      </w:pPr>
    </w:p>
    <w:p>
      <w:pPr>
        <w:spacing w:line="400" w:lineRule="exact"/>
      </w:pPr>
      <w:r>
        <w:rPr>
          <w:rFonts w:hint="eastAsia" w:ascii="黑体" w:eastAsia="黑体"/>
          <w:bCs/>
          <w:sz w:val="28"/>
        </w:rPr>
        <w:t>格式8</w:t>
      </w:r>
    </w:p>
    <w:p>
      <w:pPr>
        <w:pStyle w:val="4"/>
        <w:adjustRightInd w:val="0"/>
        <w:snapToGrid w:val="0"/>
        <w:spacing w:before="120" w:beforeLines="50" w:after="120" w:afterLines="50" w:line="360" w:lineRule="auto"/>
        <w:jc w:val="center"/>
        <w:rPr>
          <w:b w:val="0"/>
        </w:rPr>
      </w:pPr>
      <w:bookmarkStart w:id="1181" w:name="_Toc275865614"/>
      <w:bookmarkStart w:id="1182" w:name="_Toc453957434"/>
      <w:r>
        <w:rPr>
          <w:rFonts w:hint="eastAsia"/>
          <w:b w:val="0"/>
        </w:rPr>
        <w:t>投标服务方案</w:t>
      </w:r>
      <w:bookmarkEnd w:id="1181"/>
      <w:bookmarkEnd w:id="1182"/>
    </w:p>
    <w:p>
      <w:pPr>
        <w:spacing w:before="120" w:beforeLines="50" w:after="120" w:afterLines="50" w:line="360" w:lineRule="auto"/>
        <w:rPr>
          <w:rFonts w:ascii="宋体" w:hAnsi="宋体"/>
          <w:b/>
          <w:sz w:val="21"/>
          <w:szCs w:val="21"/>
        </w:rPr>
      </w:pPr>
      <w:r>
        <w:rPr>
          <w:rFonts w:hint="eastAsia" w:ascii="宋体" w:hAnsi="宋体"/>
          <w:b/>
          <w:color w:val="000000"/>
          <w:sz w:val="21"/>
          <w:szCs w:val="21"/>
        </w:rPr>
        <w:t>主要内容</w:t>
      </w:r>
      <w:r>
        <w:rPr>
          <w:rFonts w:hint="eastAsia" w:ascii="宋体" w:hAnsi="宋体"/>
          <w:b/>
          <w:sz w:val="21"/>
          <w:szCs w:val="21"/>
        </w:rPr>
        <w:t>应包括但不限于以下内容（格式自定）：</w:t>
      </w:r>
    </w:p>
    <w:p>
      <w:pPr>
        <w:numPr>
          <w:ilvl w:val="0"/>
          <w:numId w:val="13"/>
        </w:numPr>
        <w:spacing w:before="120" w:beforeLines="50" w:after="120" w:afterLines="50" w:line="360" w:lineRule="auto"/>
        <w:rPr>
          <w:color w:val="FF0000"/>
        </w:rPr>
      </w:pPr>
      <w:r>
        <w:rPr>
          <w:rFonts w:hint="eastAsia" w:ascii="微软雅黑" w:hAnsi="微软雅黑" w:cs="微软雅黑"/>
          <w:b/>
          <w:bCs/>
          <w:color w:val="FF0000"/>
          <w:sz w:val="21"/>
          <w:szCs w:val="21"/>
        </w:rPr>
        <w:t>项目需求理解程度；（详见  页）</w:t>
      </w:r>
    </w:p>
    <w:p>
      <w:pPr>
        <w:numPr>
          <w:ilvl w:val="0"/>
          <w:numId w:val="13"/>
        </w:numPr>
        <w:spacing w:before="120" w:beforeLines="50" w:after="120" w:afterLines="50" w:line="360" w:lineRule="auto"/>
        <w:rPr>
          <w:color w:val="FF0000"/>
        </w:rPr>
      </w:pPr>
      <w:r>
        <w:rPr>
          <w:rFonts w:hint="eastAsia" w:ascii="微软雅黑" w:hAnsi="微软雅黑" w:cs="微软雅黑"/>
          <w:b/>
          <w:bCs/>
          <w:color w:val="FF0000"/>
          <w:sz w:val="21"/>
          <w:szCs w:val="21"/>
        </w:rPr>
        <w:t>总体框架设计；（详见  页）</w:t>
      </w:r>
    </w:p>
    <w:p>
      <w:pPr>
        <w:numPr>
          <w:ilvl w:val="0"/>
          <w:numId w:val="13"/>
        </w:numPr>
        <w:spacing w:before="120" w:beforeLines="50" w:after="120" w:afterLines="50" w:line="360" w:lineRule="auto"/>
        <w:rPr>
          <w:rFonts w:ascii="微软雅黑" w:hAnsi="微软雅黑" w:cs="微软雅黑"/>
          <w:b/>
          <w:bCs/>
          <w:color w:val="FF0000"/>
          <w:sz w:val="21"/>
          <w:szCs w:val="21"/>
        </w:rPr>
      </w:pPr>
      <w:r>
        <w:rPr>
          <w:rFonts w:hint="eastAsia" w:ascii="微软雅黑" w:hAnsi="微软雅黑" w:cs="微软雅黑"/>
          <w:b/>
          <w:bCs/>
          <w:color w:val="FF0000"/>
          <w:sz w:val="21"/>
          <w:szCs w:val="21"/>
        </w:rPr>
        <w:t>平台建设方案；（详见  页）</w:t>
      </w:r>
    </w:p>
    <w:p>
      <w:pPr>
        <w:numPr>
          <w:ilvl w:val="0"/>
          <w:numId w:val="13"/>
        </w:numPr>
        <w:spacing w:before="120" w:beforeLines="50" w:after="120" w:afterLines="50" w:line="360" w:lineRule="auto"/>
        <w:rPr>
          <w:rFonts w:ascii="微软雅黑" w:hAnsi="微软雅黑" w:cs="微软雅黑"/>
          <w:b/>
          <w:bCs/>
          <w:color w:val="FF0000"/>
          <w:sz w:val="21"/>
          <w:szCs w:val="21"/>
        </w:rPr>
      </w:pPr>
      <w:r>
        <w:rPr>
          <w:rFonts w:hint="eastAsia" w:ascii="微软雅黑" w:hAnsi="微软雅黑" w:cs="微软雅黑"/>
          <w:b/>
          <w:bCs/>
          <w:color w:val="FF0000"/>
          <w:sz w:val="21"/>
          <w:szCs w:val="21"/>
        </w:rPr>
        <w:t>组织实施方案；（详见  页）</w:t>
      </w:r>
    </w:p>
    <w:p>
      <w:pPr>
        <w:numPr>
          <w:ilvl w:val="0"/>
          <w:numId w:val="13"/>
        </w:numPr>
        <w:spacing w:before="120" w:beforeLines="50" w:after="120" w:afterLines="50" w:line="360" w:lineRule="auto"/>
        <w:rPr>
          <w:rFonts w:ascii="微软雅黑" w:hAnsi="微软雅黑" w:cs="微软雅黑"/>
          <w:b/>
          <w:bCs/>
          <w:color w:val="FF0000"/>
          <w:sz w:val="21"/>
          <w:szCs w:val="21"/>
        </w:rPr>
      </w:pPr>
      <w:r>
        <w:rPr>
          <w:rFonts w:hint="eastAsia" w:ascii="微软雅黑" w:hAnsi="微软雅黑" w:cs="微软雅黑"/>
          <w:b/>
          <w:bCs/>
          <w:color w:val="FF0000"/>
          <w:sz w:val="21"/>
          <w:szCs w:val="21"/>
        </w:rPr>
        <w:t>技术保障及售后服务；（详见  页）</w:t>
      </w:r>
    </w:p>
    <w:p>
      <w:pPr>
        <w:spacing w:before="120" w:beforeLines="50" w:after="120" w:afterLines="50" w:line="360" w:lineRule="auto"/>
        <w:rPr>
          <w:rFonts w:ascii="微软雅黑" w:hAnsi="微软雅黑" w:cs="微软雅黑"/>
          <w:b/>
          <w:bCs/>
          <w:color w:val="000000"/>
          <w:sz w:val="20"/>
          <w:szCs w:val="20"/>
        </w:rPr>
      </w:pPr>
    </w:p>
    <w:p>
      <w:pPr>
        <w:spacing w:before="120" w:beforeLines="50" w:after="120" w:afterLines="50" w:line="360" w:lineRule="auto"/>
        <w:rPr>
          <w:rFonts w:ascii="宋体" w:hAnsi="宋体"/>
          <w:b/>
          <w:sz w:val="21"/>
          <w:szCs w:val="21"/>
        </w:rPr>
      </w:pPr>
    </w:p>
    <w:p>
      <w:pPr>
        <w:spacing w:line="500" w:lineRule="exact"/>
        <w:rPr>
          <w:spacing w:val="4"/>
          <w:sz w:val="21"/>
          <w:szCs w:val="21"/>
        </w:rPr>
      </w:pPr>
    </w:p>
    <w:p>
      <w:pPr>
        <w:spacing w:line="400" w:lineRule="exact"/>
        <w:rPr>
          <w:rFonts w:ascii="宋体" w:hAnsi="宋体"/>
          <w:sz w:val="21"/>
          <w:szCs w:val="21"/>
        </w:rPr>
      </w:pPr>
    </w:p>
    <w:p>
      <w:pPr>
        <w:spacing w:line="500" w:lineRule="exact"/>
        <w:rPr>
          <w:rFonts w:ascii="宋体" w:hAnsi="宋体"/>
          <w:color w:val="000000"/>
          <w:sz w:val="21"/>
          <w:szCs w:val="21"/>
          <w:u w:val="single"/>
        </w:rPr>
      </w:pPr>
      <w:r>
        <w:rPr>
          <w:rFonts w:hint="eastAsia"/>
          <w:spacing w:val="4"/>
          <w:sz w:val="21"/>
          <w:szCs w:val="21"/>
        </w:rPr>
        <w:t>投标人名称（盖公章）：</w:t>
      </w:r>
      <w:r>
        <w:rPr>
          <w:spacing w:val="4"/>
          <w:sz w:val="21"/>
          <w:szCs w:val="21"/>
          <w:u w:val="single"/>
        </w:rPr>
        <w:t xml:space="preserve">                             </w:t>
      </w:r>
    </w:p>
    <w:p>
      <w:pPr>
        <w:rPr>
          <w:spacing w:val="4"/>
          <w:sz w:val="21"/>
          <w:szCs w:val="21"/>
        </w:rPr>
      </w:pPr>
    </w:p>
    <w:p>
      <w:pPr>
        <w:spacing w:line="520" w:lineRule="exact"/>
        <w:rPr>
          <w:spacing w:val="4"/>
          <w:sz w:val="21"/>
          <w:szCs w:val="21"/>
        </w:rPr>
      </w:pPr>
      <w:r>
        <w:rPr>
          <w:rFonts w:hint="eastAsia" w:ascii="宋体"/>
          <w:sz w:val="21"/>
          <w:szCs w:val="21"/>
        </w:rPr>
        <w:t>法定代表人或</w:t>
      </w:r>
      <w:r>
        <w:rPr>
          <w:rFonts w:hint="eastAsia" w:ascii="宋体" w:hAnsi="宋体"/>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u w:val="single"/>
        </w:rPr>
        <w:t xml:space="preserve">         </w:t>
      </w:r>
    </w:p>
    <w:p>
      <w:pPr>
        <w:spacing w:line="400" w:lineRule="exact"/>
        <w:rPr>
          <w:rFonts w:ascii="宋体" w:hAnsi="宋体"/>
          <w:sz w:val="21"/>
          <w:szCs w:val="21"/>
        </w:rPr>
      </w:pPr>
    </w:p>
    <w:p>
      <w:pPr>
        <w:spacing w:line="440" w:lineRule="exact"/>
        <w:rPr>
          <w:rFonts w:ascii="黑体" w:eastAsia="黑体"/>
          <w:bCs/>
        </w:rPr>
      </w:pPr>
      <w:r>
        <w:rPr>
          <w:rFonts w:hint="eastAsia" w:ascii="黑体" w:eastAsia="黑体"/>
          <w:bCs/>
          <w:sz w:val="28"/>
        </w:rPr>
        <w:br w:type="page"/>
      </w:r>
      <w:bookmarkStart w:id="1183" w:name="_Toc50703730"/>
      <w:bookmarkStart w:id="1184" w:name="_Toc50691037"/>
      <w:bookmarkStart w:id="1185" w:name="_Toc43264518"/>
      <w:r>
        <w:rPr>
          <w:rFonts w:hint="eastAsia" w:ascii="黑体" w:eastAsia="黑体"/>
          <w:bCs/>
          <w:sz w:val="28"/>
        </w:rPr>
        <w:t>格式9</w:t>
      </w:r>
    </w:p>
    <w:p>
      <w:pPr>
        <w:pStyle w:val="4"/>
        <w:adjustRightInd w:val="0"/>
        <w:snapToGrid w:val="0"/>
        <w:spacing w:before="120" w:beforeLines="50" w:after="120" w:afterLines="50" w:line="360" w:lineRule="auto"/>
        <w:jc w:val="center"/>
        <w:rPr>
          <w:b w:val="0"/>
        </w:rPr>
      </w:pPr>
      <w:bookmarkStart w:id="1186" w:name="_Toc275865616"/>
      <w:bookmarkStart w:id="1187" w:name="_Toc173553182"/>
      <w:bookmarkStart w:id="1188" w:name="_Toc453957435"/>
      <w:r>
        <w:rPr>
          <w:rFonts w:hint="eastAsia"/>
          <w:b w:val="0"/>
        </w:rPr>
        <w:t>投标人基本情况表</w:t>
      </w:r>
      <w:bookmarkEnd w:id="1186"/>
      <w:bookmarkEnd w:id="1187"/>
      <w:bookmarkEnd w:id="1188"/>
    </w:p>
    <w:p>
      <w:pPr>
        <w:widowControl w:val="0"/>
        <w:numPr>
          <w:ilvl w:val="0"/>
          <w:numId w:val="14"/>
        </w:numPr>
        <w:autoSpaceDN w:val="0"/>
        <w:adjustRightInd/>
        <w:snapToGrid/>
        <w:spacing w:after="0" w:line="360" w:lineRule="auto"/>
        <w:jc w:val="both"/>
        <w:rPr>
          <w:rFonts w:ascii="宋体" w:hAnsi="宋体" w:cs="Arial"/>
          <w:sz w:val="21"/>
          <w:szCs w:val="21"/>
        </w:rPr>
      </w:pPr>
      <w:r>
        <w:rPr>
          <w:rFonts w:hint="eastAsia" w:ascii="宋体" w:hAnsi="宋体" w:cs="Arial"/>
          <w:sz w:val="21"/>
          <w:szCs w:val="21"/>
        </w:rPr>
        <w:t>公司基本情况</w:t>
      </w:r>
    </w:p>
    <w:p>
      <w:pPr>
        <w:widowControl w:val="0"/>
        <w:numPr>
          <w:ilvl w:val="1"/>
          <w:numId w:val="14"/>
        </w:numPr>
        <w:tabs>
          <w:tab w:val="left" w:pos="420"/>
        </w:tabs>
        <w:autoSpaceDN w:val="0"/>
        <w:adjustRightInd/>
        <w:snapToGrid/>
        <w:spacing w:after="0" w:line="360" w:lineRule="auto"/>
        <w:ind w:left="420"/>
        <w:jc w:val="both"/>
        <w:rPr>
          <w:rFonts w:ascii="宋体" w:hAnsi="宋体" w:cs="Arial"/>
          <w:sz w:val="21"/>
          <w:szCs w:val="21"/>
        </w:rPr>
      </w:pPr>
      <w:r>
        <w:rPr>
          <w:rFonts w:hint="eastAsia" w:ascii="宋体" w:hAnsi="宋体" w:cs="Arial"/>
          <w:sz w:val="21"/>
          <w:szCs w:val="21"/>
        </w:rPr>
        <w:t>公司名称：</w:t>
      </w:r>
      <w:r>
        <w:rPr>
          <w:rFonts w:hint="eastAsia" w:ascii="宋体" w:hAnsi="宋体" w:cs="Arial"/>
          <w:sz w:val="21"/>
          <w:szCs w:val="21"/>
          <w:u w:val="single"/>
        </w:rPr>
        <w:t xml:space="preserve">                              </w:t>
      </w:r>
      <w:r>
        <w:rPr>
          <w:rFonts w:hint="eastAsia" w:ascii="宋体" w:hAnsi="宋体" w:cs="Arial"/>
          <w:sz w:val="21"/>
          <w:szCs w:val="21"/>
        </w:rPr>
        <w:t xml:space="preserve">  电话号码：</w:t>
      </w:r>
      <w:r>
        <w:rPr>
          <w:rFonts w:hint="eastAsia" w:ascii="宋体" w:hAnsi="宋体" w:cs="Arial"/>
          <w:sz w:val="21"/>
          <w:szCs w:val="21"/>
          <w:u w:val="single"/>
        </w:rPr>
        <w:t xml:space="preserve">                            </w:t>
      </w:r>
    </w:p>
    <w:p>
      <w:pPr>
        <w:widowControl w:val="0"/>
        <w:numPr>
          <w:ilvl w:val="1"/>
          <w:numId w:val="14"/>
        </w:numPr>
        <w:tabs>
          <w:tab w:val="left" w:pos="420"/>
        </w:tabs>
        <w:autoSpaceDN w:val="0"/>
        <w:adjustRightInd/>
        <w:snapToGrid/>
        <w:spacing w:after="0" w:line="360" w:lineRule="auto"/>
        <w:ind w:left="420"/>
        <w:jc w:val="both"/>
        <w:rPr>
          <w:rFonts w:ascii="宋体" w:hAnsi="宋体" w:cs="Arial"/>
          <w:sz w:val="21"/>
          <w:szCs w:val="21"/>
        </w:rPr>
      </w:pPr>
      <w:r>
        <w:rPr>
          <w:rFonts w:hint="eastAsia" w:ascii="宋体" w:hAnsi="宋体" w:cs="Arial"/>
          <w:sz w:val="21"/>
          <w:szCs w:val="21"/>
        </w:rPr>
        <w:t>地    址：</w:t>
      </w:r>
      <w:r>
        <w:rPr>
          <w:rFonts w:hint="eastAsia" w:ascii="宋体" w:hAnsi="宋体" w:cs="Arial"/>
          <w:sz w:val="21"/>
          <w:szCs w:val="21"/>
          <w:u w:val="single"/>
        </w:rPr>
        <w:t xml:space="preserve">                              </w:t>
      </w:r>
      <w:r>
        <w:rPr>
          <w:rFonts w:hint="eastAsia" w:ascii="宋体" w:hAnsi="宋体" w:cs="Arial"/>
          <w:sz w:val="21"/>
          <w:szCs w:val="21"/>
        </w:rPr>
        <w:t xml:space="preserve">  传    真：</w:t>
      </w:r>
      <w:r>
        <w:rPr>
          <w:rFonts w:hint="eastAsia" w:ascii="宋体" w:hAnsi="宋体" w:cs="Arial"/>
          <w:sz w:val="21"/>
          <w:szCs w:val="21"/>
          <w:u w:val="single"/>
        </w:rPr>
        <w:t xml:space="preserve">                            </w:t>
      </w:r>
      <w:r>
        <w:rPr>
          <w:rFonts w:hint="eastAsia" w:ascii="宋体" w:hAnsi="宋体" w:cs="Arial"/>
          <w:sz w:val="21"/>
          <w:szCs w:val="21"/>
        </w:rPr>
        <w:t xml:space="preserve"> </w:t>
      </w:r>
    </w:p>
    <w:p>
      <w:pPr>
        <w:widowControl w:val="0"/>
        <w:numPr>
          <w:ilvl w:val="1"/>
          <w:numId w:val="14"/>
        </w:numPr>
        <w:tabs>
          <w:tab w:val="left" w:pos="420"/>
        </w:tabs>
        <w:autoSpaceDN w:val="0"/>
        <w:adjustRightInd/>
        <w:snapToGrid/>
        <w:spacing w:after="0" w:line="360" w:lineRule="auto"/>
        <w:ind w:left="420"/>
        <w:jc w:val="both"/>
        <w:rPr>
          <w:rFonts w:ascii="宋体" w:hAnsi="宋体" w:cs="Arial"/>
          <w:sz w:val="21"/>
          <w:szCs w:val="21"/>
          <w:u w:val="single"/>
        </w:rPr>
      </w:pPr>
      <w:r>
        <w:rPr>
          <w:rFonts w:hint="eastAsia" w:ascii="宋体" w:hAnsi="宋体" w:cs="Arial"/>
          <w:sz w:val="21"/>
          <w:szCs w:val="21"/>
        </w:rPr>
        <w:t>注册资金：</w:t>
      </w:r>
      <w:r>
        <w:rPr>
          <w:rFonts w:hint="eastAsia" w:ascii="宋体" w:hAnsi="宋体" w:cs="Arial"/>
          <w:sz w:val="21"/>
          <w:szCs w:val="21"/>
          <w:u w:val="single"/>
        </w:rPr>
        <w:t xml:space="preserve">                              </w:t>
      </w:r>
      <w:r>
        <w:rPr>
          <w:rFonts w:hint="eastAsia" w:ascii="宋体" w:hAnsi="宋体" w:cs="Arial"/>
          <w:sz w:val="21"/>
          <w:szCs w:val="21"/>
        </w:rPr>
        <w:t xml:space="preserve">  经济性质：</w:t>
      </w:r>
      <w:r>
        <w:rPr>
          <w:rFonts w:hint="eastAsia" w:ascii="宋体" w:hAnsi="宋体" w:cs="Arial"/>
          <w:sz w:val="21"/>
          <w:szCs w:val="21"/>
          <w:u w:val="single"/>
        </w:rPr>
        <w:t xml:space="preserve">                            </w:t>
      </w:r>
    </w:p>
    <w:p>
      <w:pPr>
        <w:widowControl w:val="0"/>
        <w:numPr>
          <w:ilvl w:val="1"/>
          <w:numId w:val="14"/>
        </w:numPr>
        <w:tabs>
          <w:tab w:val="left" w:pos="420"/>
        </w:tabs>
        <w:autoSpaceDN w:val="0"/>
        <w:adjustRightInd/>
        <w:snapToGrid/>
        <w:spacing w:after="0" w:line="360" w:lineRule="auto"/>
        <w:ind w:left="420"/>
        <w:jc w:val="both"/>
        <w:rPr>
          <w:rFonts w:ascii="宋体" w:hAnsi="宋体" w:cs="Arial"/>
          <w:sz w:val="21"/>
          <w:szCs w:val="21"/>
        </w:rPr>
      </w:pPr>
      <w:r>
        <w:rPr>
          <w:rFonts w:hint="eastAsia" w:ascii="宋体" w:hAnsi="宋体" w:cs="Arial"/>
          <w:sz w:val="21"/>
          <w:szCs w:val="21"/>
        </w:rPr>
        <w:t xml:space="preserve">公司开户银行名称及账号：     </w:t>
      </w:r>
    </w:p>
    <w:p>
      <w:pPr>
        <w:widowControl w:val="0"/>
        <w:numPr>
          <w:ilvl w:val="1"/>
          <w:numId w:val="14"/>
        </w:numPr>
        <w:tabs>
          <w:tab w:val="left" w:pos="420"/>
        </w:tabs>
        <w:autoSpaceDN w:val="0"/>
        <w:adjustRightInd/>
        <w:snapToGrid/>
        <w:spacing w:after="0" w:line="360" w:lineRule="auto"/>
        <w:ind w:left="420"/>
        <w:jc w:val="both"/>
        <w:rPr>
          <w:rFonts w:ascii="宋体" w:hAnsi="宋体" w:cs="Arial"/>
          <w:sz w:val="21"/>
          <w:szCs w:val="21"/>
        </w:rPr>
      </w:pPr>
      <w:r>
        <w:rPr>
          <w:rFonts w:hint="eastAsia" w:ascii="宋体" w:hAnsi="宋体" w:cs="Arial"/>
          <w:sz w:val="21"/>
          <w:szCs w:val="21"/>
        </w:rPr>
        <w:t xml:space="preserve">营业注册执照号：   </w:t>
      </w:r>
    </w:p>
    <w:p>
      <w:pPr>
        <w:widowControl w:val="0"/>
        <w:numPr>
          <w:ilvl w:val="1"/>
          <w:numId w:val="14"/>
        </w:numPr>
        <w:tabs>
          <w:tab w:val="left" w:pos="420"/>
        </w:tabs>
        <w:autoSpaceDN w:val="0"/>
        <w:adjustRightInd/>
        <w:snapToGrid/>
        <w:spacing w:after="0" w:line="360" w:lineRule="auto"/>
        <w:ind w:left="420"/>
        <w:jc w:val="both"/>
        <w:rPr>
          <w:rFonts w:ascii="宋体" w:hAnsi="宋体" w:cs="Arial"/>
          <w:sz w:val="21"/>
          <w:szCs w:val="21"/>
        </w:rPr>
      </w:pPr>
      <w:r>
        <w:rPr>
          <w:rFonts w:hint="eastAsia" w:ascii="宋体" w:hAnsi="宋体" w:cs="Arial"/>
          <w:sz w:val="21"/>
          <w:szCs w:val="21"/>
        </w:rPr>
        <w:t>公司简介</w:t>
      </w:r>
    </w:p>
    <w:p>
      <w:pPr>
        <w:spacing w:line="360" w:lineRule="auto"/>
        <w:ind w:left="360"/>
        <w:rPr>
          <w:rFonts w:ascii="宋体" w:hAnsi="宋体"/>
          <w:sz w:val="21"/>
          <w:szCs w:val="21"/>
        </w:rPr>
      </w:pPr>
      <w:r>
        <w:rPr>
          <w:rFonts w:hint="eastAsia" w:ascii="宋体" w:hAnsi="宋体"/>
          <w:sz w:val="21"/>
          <w:szCs w:val="21"/>
        </w:rPr>
        <w:t>文字描述：</w:t>
      </w:r>
      <w:r>
        <w:rPr>
          <w:rFonts w:hint="eastAsia" w:ascii="宋体" w:hAnsi="宋体"/>
          <w:bCs/>
          <w:sz w:val="21"/>
          <w:szCs w:val="21"/>
          <w:lang w:val="en-GB"/>
        </w:rPr>
        <w:t>发展历程、经营规模及服务理念</w:t>
      </w:r>
      <w:r>
        <w:rPr>
          <w:rFonts w:hint="eastAsia" w:ascii="宋体" w:hAnsi="宋体"/>
          <w:sz w:val="21"/>
          <w:szCs w:val="21"/>
        </w:rPr>
        <w:t>、技术力量、财务状况、管理水平等方面进行阐述。</w:t>
      </w:r>
    </w:p>
    <w:p>
      <w:pPr>
        <w:widowControl w:val="0"/>
        <w:numPr>
          <w:ilvl w:val="0"/>
          <w:numId w:val="14"/>
        </w:numPr>
        <w:autoSpaceDN w:val="0"/>
        <w:adjustRightInd/>
        <w:snapToGrid/>
        <w:spacing w:after="0" w:line="360" w:lineRule="auto"/>
        <w:jc w:val="both"/>
        <w:rPr>
          <w:rFonts w:ascii="宋体" w:hAnsi="宋体" w:cs="Arial"/>
          <w:sz w:val="21"/>
          <w:szCs w:val="21"/>
        </w:rPr>
      </w:pPr>
      <w:r>
        <w:rPr>
          <w:rFonts w:hint="eastAsia" w:ascii="宋体" w:hAnsi="宋体" w:cs="Arial"/>
          <w:sz w:val="21"/>
          <w:szCs w:val="21"/>
        </w:rPr>
        <w:t>投标人获得国家有关部门颁发的资质：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463" w:type="dxa"/>
            <w:tcBorders>
              <w:top w:val="single" w:color="auto" w:sz="12" w:space="0"/>
              <w:left w:val="single" w:color="auto" w:sz="12" w:space="0"/>
              <w:bottom w:val="single" w:color="auto" w:sz="4" w:space="0"/>
              <w:right w:val="single" w:color="auto" w:sz="4" w:space="0"/>
            </w:tcBorders>
          </w:tcPr>
          <w:p>
            <w:pPr>
              <w:spacing w:line="360" w:lineRule="auto"/>
              <w:jc w:val="center"/>
              <w:rPr>
                <w:rFonts w:ascii="宋体" w:hAnsi="宋体" w:cs="Arial"/>
                <w:sz w:val="21"/>
                <w:szCs w:val="21"/>
              </w:rPr>
            </w:pPr>
            <w:r>
              <w:rPr>
                <w:rFonts w:hint="eastAsia" w:ascii="宋体" w:hAnsi="宋体" w:cs="Arial"/>
                <w:sz w:val="21"/>
                <w:szCs w:val="21"/>
              </w:rPr>
              <w:t xml:space="preserve">  证书名称</w:t>
            </w:r>
          </w:p>
        </w:tc>
        <w:tc>
          <w:tcPr>
            <w:tcW w:w="2463" w:type="dxa"/>
            <w:tcBorders>
              <w:top w:val="single" w:color="auto" w:sz="12" w:space="0"/>
              <w:left w:val="single" w:color="auto" w:sz="4" w:space="0"/>
              <w:bottom w:val="single" w:color="auto" w:sz="4" w:space="0"/>
              <w:right w:val="single" w:color="auto" w:sz="4" w:space="0"/>
            </w:tcBorders>
          </w:tcPr>
          <w:p>
            <w:pPr>
              <w:spacing w:line="360" w:lineRule="auto"/>
              <w:jc w:val="center"/>
              <w:rPr>
                <w:rFonts w:ascii="宋体" w:hAnsi="宋体" w:cs="Arial"/>
                <w:sz w:val="21"/>
                <w:szCs w:val="21"/>
              </w:rPr>
            </w:pPr>
            <w:r>
              <w:rPr>
                <w:rFonts w:hint="eastAsia" w:ascii="宋体" w:hAnsi="宋体" w:cs="Arial"/>
                <w:sz w:val="21"/>
                <w:szCs w:val="21"/>
              </w:rPr>
              <w:t>发证单位</w:t>
            </w:r>
          </w:p>
        </w:tc>
        <w:tc>
          <w:tcPr>
            <w:tcW w:w="2464" w:type="dxa"/>
            <w:tcBorders>
              <w:top w:val="single" w:color="auto" w:sz="12" w:space="0"/>
              <w:left w:val="single" w:color="auto" w:sz="4" w:space="0"/>
              <w:bottom w:val="single" w:color="auto" w:sz="4" w:space="0"/>
              <w:right w:val="single" w:color="auto" w:sz="4" w:space="0"/>
            </w:tcBorders>
          </w:tcPr>
          <w:p>
            <w:pPr>
              <w:spacing w:line="360" w:lineRule="auto"/>
              <w:jc w:val="center"/>
              <w:rPr>
                <w:rFonts w:ascii="宋体" w:hAnsi="宋体" w:cs="Arial"/>
                <w:sz w:val="21"/>
                <w:szCs w:val="21"/>
              </w:rPr>
            </w:pPr>
            <w:r>
              <w:rPr>
                <w:rFonts w:hint="eastAsia" w:ascii="宋体" w:hAnsi="宋体" w:cs="Arial"/>
                <w:sz w:val="21"/>
                <w:szCs w:val="21"/>
              </w:rPr>
              <w:t>证书等级</w:t>
            </w:r>
          </w:p>
        </w:tc>
        <w:tc>
          <w:tcPr>
            <w:tcW w:w="2464" w:type="dxa"/>
            <w:tcBorders>
              <w:top w:val="single" w:color="auto" w:sz="12" w:space="0"/>
              <w:left w:val="single" w:color="auto" w:sz="4" w:space="0"/>
              <w:bottom w:val="single" w:color="auto" w:sz="4" w:space="0"/>
              <w:right w:val="single" w:color="auto" w:sz="12" w:space="0"/>
            </w:tcBorders>
          </w:tcPr>
          <w:p>
            <w:pPr>
              <w:spacing w:line="360" w:lineRule="auto"/>
              <w:jc w:val="center"/>
              <w:rPr>
                <w:rFonts w:ascii="宋体" w:hAnsi="宋体" w:cs="Arial"/>
                <w:sz w:val="21"/>
                <w:szCs w:val="21"/>
              </w:rPr>
            </w:pPr>
            <w:r>
              <w:rPr>
                <w:rFonts w:hint="eastAsia" w:ascii="宋体" w:hAnsi="宋体" w:cs="Arial"/>
                <w:sz w:val="21"/>
                <w:szCs w:val="21"/>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Borders>
              <w:top w:val="single" w:color="auto" w:sz="4" w:space="0"/>
              <w:left w:val="single" w:color="auto" w:sz="12" w:space="0"/>
              <w:bottom w:val="single" w:color="auto" w:sz="4" w:space="0"/>
              <w:right w:val="single" w:color="auto" w:sz="4" w:space="0"/>
            </w:tcBorders>
          </w:tcPr>
          <w:p>
            <w:pPr>
              <w:spacing w:line="360" w:lineRule="auto"/>
              <w:jc w:val="center"/>
              <w:rPr>
                <w:rFonts w:ascii="宋体" w:hAnsi="宋体" w:cs="Arial"/>
                <w:sz w:val="21"/>
                <w:szCs w:val="21"/>
              </w:rPr>
            </w:pPr>
          </w:p>
        </w:tc>
        <w:tc>
          <w:tcPr>
            <w:tcW w:w="246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Arial"/>
                <w:sz w:val="21"/>
                <w:szCs w:val="21"/>
              </w:rPr>
            </w:pPr>
          </w:p>
        </w:tc>
        <w:tc>
          <w:tcPr>
            <w:tcW w:w="246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Arial"/>
                <w:sz w:val="21"/>
                <w:szCs w:val="21"/>
              </w:rPr>
            </w:pPr>
          </w:p>
        </w:tc>
        <w:tc>
          <w:tcPr>
            <w:tcW w:w="2464" w:type="dxa"/>
            <w:tcBorders>
              <w:top w:val="single" w:color="auto" w:sz="4" w:space="0"/>
              <w:left w:val="single" w:color="auto" w:sz="4" w:space="0"/>
              <w:bottom w:val="single" w:color="auto" w:sz="4" w:space="0"/>
              <w:right w:val="single" w:color="auto" w:sz="12" w:space="0"/>
            </w:tcBorders>
          </w:tcPr>
          <w:p>
            <w:pPr>
              <w:spacing w:line="360" w:lineRule="auto"/>
              <w:jc w:val="center"/>
              <w:rPr>
                <w:rFonts w:ascii="宋体" w:hAnsi="宋体"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Borders>
              <w:top w:val="single" w:color="auto" w:sz="4" w:space="0"/>
              <w:left w:val="single" w:color="auto" w:sz="12" w:space="0"/>
              <w:bottom w:val="single" w:color="auto" w:sz="12" w:space="0"/>
              <w:right w:val="single" w:color="auto" w:sz="4" w:space="0"/>
            </w:tcBorders>
          </w:tcPr>
          <w:p>
            <w:pPr>
              <w:spacing w:line="360" w:lineRule="auto"/>
              <w:jc w:val="center"/>
              <w:rPr>
                <w:rFonts w:ascii="宋体" w:hAnsi="宋体" w:cs="Arial"/>
                <w:sz w:val="21"/>
                <w:szCs w:val="21"/>
              </w:rPr>
            </w:pPr>
          </w:p>
        </w:tc>
        <w:tc>
          <w:tcPr>
            <w:tcW w:w="2463" w:type="dxa"/>
            <w:tcBorders>
              <w:top w:val="single" w:color="auto" w:sz="4" w:space="0"/>
              <w:left w:val="single" w:color="auto" w:sz="4" w:space="0"/>
              <w:bottom w:val="single" w:color="auto" w:sz="12" w:space="0"/>
              <w:right w:val="single" w:color="auto" w:sz="4" w:space="0"/>
            </w:tcBorders>
          </w:tcPr>
          <w:p>
            <w:pPr>
              <w:spacing w:line="360" w:lineRule="auto"/>
              <w:jc w:val="center"/>
              <w:rPr>
                <w:rFonts w:ascii="宋体" w:hAnsi="宋体" w:cs="Arial"/>
                <w:sz w:val="21"/>
                <w:szCs w:val="21"/>
              </w:rPr>
            </w:pPr>
          </w:p>
        </w:tc>
        <w:tc>
          <w:tcPr>
            <w:tcW w:w="2464" w:type="dxa"/>
            <w:tcBorders>
              <w:top w:val="single" w:color="auto" w:sz="4" w:space="0"/>
              <w:left w:val="single" w:color="auto" w:sz="4" w:space="0"/>
              <w:bottom w:val="single" w:color="auto" w:sz="12" w:space="0"/>
              <w:right w:val="single" w:color="auto" w:sz="4" w:space="0"/>
            </w:tcBorders>
          </w:tcPr>
          <w:p>
            <w:pPr>
              <w:spacing w:line="360" w:lineRule="auto"/>
              <w:jc w:val="center"/>
              <w:rPr>
                <w:rFonts w:ascii="宋体" w:hAnsi="宋体" w:cs="Arial"/>
                <w:sz w:val="21"/>
                <w:szCs w:val="21"/>
              </w:rPr>
            </w:pPr>
          </w:p>
        </w:tc>
        <w:tc>
          <w:tcPr>
            <w:tcW w:w="2464" w:type="dxa"/>
            <w:tcBorders>
              <w:top w:val="single" w:color="auto" w:sz="4" w:space="0"/>
              <w:left w:val="single" w:color="auto" w:sz="4" w:space="0"/>
              <w:bottom w:val="single" w:color="auto" w:sz="12" w:space="0"/>
              <w:right w:val="single" w:color="auto" w:sz="12" w:space="0"/>
            </w:tcBorders>
          </w:tcPr>
          <w:p>
            <w:pPr>
              <w:spacing w:line="360" w:lineRule="auto"/>
              <w:jc w:val="center"/>
              <w:rPr>
                <w:rFonts w:ascii="宋体" w:hAnsi="宋体" w:cs="Arial"/>
                <w:sz w:val="21"/>
                <w:szCs w:val="21"/>
              </w:rPr>
            </w:pPr>
          </w:p>
        </w:tc>
      </w:tr>
    </w:tbl>
    <w:p>
      <w:pPr>
        <w:spacing w:line="360" w:lineRule="auto"/>
        <w:rPr>
          <w:rFonts w:ascii="宋体" w:hAnsi="宋体" w:cs="Arial"/>
          <w:sz w:val="21"/>
          <w:szCs w:val="21"/>
        </w:rPr>
      </w:pPr>
      <w:r>
        <w:rPr>
          <w:rFonts w:hint="eastAsia" w:ascii="宋体" w:hAnsi="宋体" w:cs="Arial"/>
          <w:sz w:val="21"/>
          <w:szCs w:val="21"/>
        </w:rPr>
        <w:t xml:space="preserve">                                                                                                </w:t>
      </w:r>
    </w:p>
    <w:p>
      <w:pPr>
        <w:spacing w:line="360" w:lineRule="auto"/>
        <w:rPr>
          <w:rFonts w:ascii="宋体" w:hAnsi="宋体" w:cs="Arial"/>
          <w:sz w:val="21"/>
          <w:szCs w:val="21"/>
        </w:rPr>
      </w:pPr>
      <w:r>
        <w:rPr>
          <w:rFonts w:hint="eastAsia" w:ascii="宋体" w:hAnsi="宋体" w:cs="Arial"/>
          <w:sz w:val="21"/>
          <w:szCs w:val="21"/>
        </w:rPr>
        <w:t xml:space="preserve">   我/我们声明以上所述是正确无误的，您有权进行您认为必要的所有调查。</w:t>
      </w:r>
    </w:p>
    <w:p>
      <w:pPr>
        <w:spacing w:line="500" w:lineRule="exact"/>
        <w:ind w:firstLine="420" w:firstLineChars="200"/>
        <w:rPr>
          <w:rFonts w:ascii="宋体" w:hAnsi="宋体" w:cs="Arial"/>
          <w:sz w:val="21"/>
          <w:szCs w:val="21"/>
        </w:rPr>
      </w:pPr>
      <w:bookmarkStart w:id="1189" w:name="_Toc43264525"/>
    </w:p>
    <w:p>
      <w:pPr>
        <w:spacing w:line="500" w:lineRule="exact"/>
        <w:rPr>
          <w:rFonts w:ascii="宋体" w:hAnsi="宋体"/>
          <w:color w:val="000000"/>
          <w:sz w:val="21"/>
          <w:szCs w:val="21"/>
          <w:u w:val="single"/>
        </w:rPr>
      </w:pPr>
      <w:r>
        <w:rPr>
          <w:rFonts w:hint="eastAsia"/>
          <w:spacing w:val="4"/>
          <w:sz w:val="21"/>
          <w:szCs w:val="21"/>
        </w:rPr>
        <w:t>投标人名称（盖公章）：</w:t>
      </w:r>
      <w:r>
        <w:rPr>
          <w:spacing w:val="4"/>
          <w:sz w:val="21"/>
          <w:szCs w:val="21"/>
          <w:u w:val="single"/>
        </w:rPr>
        <w:t xml:space="preserve">                             </w:t>
      </w:r>
    </w:p>
    <w:p>
      <w:pPr>
        <w:rPr>
          <w:spacing w:val="4"/>
          <w:sz w:val="21"/>
          <w:szCs w:val="21"/>
        </w:rPr>
      </w:pPr>
    </w:p>
    <w:p>
      <w:pPr>
        <w:spacing w:line="520" w:lineRule="exact"/>
        <w:rPr>
          <w:spacing w:val="4"/>
          <w:sz w:val="21"/>
          <w:szCs w:val="21"/>
        </w:rPr>
      </w:pPr>
      <w:r>
        <w:rPr>
          <w:rFonts w:hint="eastAsia" w:ascii="宋体"/>
          <w:sz w:val="21"/>
          <w:szCs w:val="21"/>
        </w:rPr>
        <w:t>法定代表人或</w:t>
      </w:r>
      <w:r>
        <w:rPr>
          <w:rFonts w:hint="eastAsia" w:ascii="宋体" w:hAnsi="宋体"/>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u w:val="single"/>
        </w:rPr>
        <w:t xml:space="preserve">         </w:t>
      </w:r>
    </w:p>
    <w:p>
      <w:pPr>
        <w:adjustRightInd/>
        <w:snapToGrid/>
        <w:spacing w:after="0" w:line="360" w:lineRule="auto"/>
        <w:rPr>
          <w:rFonts w:ascii="黑体" w:eastAsia="黑体"/>
          <w:b/>
          <w:bCs/>
          <w:sz w:val="28"/>
        </w:rPr>
        <w:sectPr>
          <w:pgSz w:w="11906" w:h="16838"/>
          <w:pgMar w:top="720" w:right="720" w:bottom="720" w:left="720" w:header="657" w:footer="481" w:gutter="0"/>
          <w:cols w:space="720" w:num="1"/>
        </w:sectPr>
      </w:pPr>
    </w:p>
    <w:bookmarkEnd w:id="1183"/>
    <w:bookmarkEnd w:id="1184"/>
    <w:bookmarkEnd w:id="1189"/>
    <w:p>
      <w:pPr>
        <w:spacing w:line="440" w:lineRule="exact"/>
        <w:rPr>
          <w:rFonts w:ascii="黑体" w:hAnsi="黑体" w:eastAsia="黑体" w:cs="黑体"/>
          <w:sz w:val="28"/>
          <w:szCs w:val="28"/>
        </w:rPr>
      </w:pPr>
      <w:bookmarkStart w:id="1190" w:name="_Toc259022219"/>
      <w:r>
        <w:rPr>
          <w:rFonts w:hint="eastAsia" w:ascii="黑体" w:hAnsi="黑体" w:eastAsia="黑体" w:cs="黑体"/>
          <w:sz w:val="28"/>
          <w:szCs w:val="28"/>
        </w:rPr>
        <w:t>格式10</w:t>
      </w:r>
    </w:p>
    <w:p>
      <w:pPr>
        <w:spacing w:line="440" w:lineRule="exact"/>
        <w:ind w:left="-2" w:leftChars="-1"/>
        <w:rPr>
          <w:spacing w:val="4"/>
        </w:rPr>
      </w:pPr>
    </w:p>
    <w:p>
      <w:pPr>
        <w:pStyle w:val="4"/>
        <w:adjustRightInd w:val="0"/>
        <w:snapToGrid w:val="0"/>
        <w:spacing w:before="156" w:beforeLines="50" w:after="156" w:afterLines="50" w:line="360" w:lineRule="auto"/>
        <w:jc w:val="center"/>
        <w:rPr>
          <w:b w:val="0"/>
        </w:rPr>
      </w:pPr>
      <w:bookmarkStart w:id="1191" w:name="_Toc453957439"/>
      <w:bookmarkStart w:id="1192" w:name="_Toc275865621"/>
      <w:r>
        <w:rPr>
          <w:rFonts w:hint="eastAsia"/>
          <w:b w:val="0"/>
        </w:rPr>
        <w:t>用户需求响应一览表</w:t>
      </w:r>
      <w:bookmarkEnd w:id="1190"/>
      <w:bookmarkEnd w:id="1191"/>
      <w:bookmarkEnd w:id="1192"/>
    </w:p>
    <w:p>
      <w:pPr>
        <w:spacing w:line="360" w:lineRule="auto"/>
        <w:ind w:left="945" w:hanging="945" w:hangingChars="450"/>
        <w:rPr>
          <w:rFonts w:ascii="宋体" w:hAnsi="宋体"/>
          <w:sz w:val="21"/>
          <w:szCs w:val="21"/>
        </w:rPr>
      </w:pPr>
      <w:r>
        <w:rPr>
          <w:rFonts w:hint="eastAsia" w:ascii="宋体" w:hAnsi="宋体"/>
          <w:sz w:val="21"/>
          <w:szCs w:val="21"/>
        </w:rPr>
        <w:t>说明：投标人必须对应招标文件的</w:t>
      </w:r>
      <w:r>
        <w:rPr>
          <w:rFonts w:hint="eastAsia"/>
          <w:sz w:val="21"/>
          <w:szCs w:val="21"/>
        </w:rPr>
        <w:t>用户需求书</w:t>
      </w:r>
      <w:r>
        <w:rPr>
          <w:rFonts w:hint="eastAsia" w:ascii="宋体" w:hAnsi="宋体"/>
          <w:sz w:val="21"/>
          <w:szCs w:val="21"/>
        </w:rPr>
        <w:t>条款逐条应答并按要求填写下表。</w:t>
      </w:r>
    </w:p>
    <w:p>
      <w:pPr>
        <w:wordWrap w:val="0"/>
        <w:spacing w:line="360" w:lineRule="auto"/>
        <w:rPr>
          <w:rFonts w:ascii="宋体" w:hAnsi="宋体"/>
          <w:sz w:val="21"/>
          <w:szCs w:val="21"/>
        </w:rPr>
      </w:pPr>
      <w:r>
        <w:rPr>
          <w:rFonts w:hint="eastAsia" w:ascii="宋体" w:hAnsi="宋体"/>
          <w:sz w:val="21"/>
          <w:szCs w:val="21"/>
        </w:rPr>
        <w:t>投标人名称：                                            项目编号：GZBC22FG06002</w:t>
      </w:r>
    </w:p>
    <w:tbl>
      <w:tblPr>
        <w:tblStyle w:val="45"/>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8"/>
        <w:gridCol w:w="2311"/>
        <w:gridCol w:w="2603"/>
        <w:gridCol w:w="29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2" w:hRule="atLeast"/>
          <w:jc w:val="center"/>
        </w:trPr>
        <w:tc>
          <w:tcPr>
            <w:tcW w:w="380" w:type="pct"/>
            <w:tcBorders>
              <w:top w:val="single" w:color="auto" w:sz="12" w:space="0"/>
              <w:left w:val="single" w:color="auto" w:sz="12" w:space="0"/>
              <w:bottom w:val="single" w:color="auto" w:sz="6" w:space="0"/>
              <w:right w:val="single" w:color="auto" w:sz="6" w:space="0"/>
            </w:tcBorders>
            <w:shd w:val="clear" w:color="auto" w:fill="EEECE1"/>
            <w:vAlign w:val="center"/>
          </w:tcPr>
          <w:p>
            <w:pPr>
              <w:spacing w:line="400" w:lineRule="exact"/>
              <w:jc w:val="center"/>
              <w:rPr>
                <w:rFonts w:ascii="微软雅黑" w:hAnsi="微软雅黑" w:cs="微软雅黑"/>
                <w:b/>
                <w:bCs/>
                <w:sz w:val="20"/>
                <w:szCs w:val="20"/>
              </w:rPr>
            </w:pPr>
            <w:r>
              <w:rPr>
                <w:rFonts w:hint="eastAsia" w:ascii="微软雅黑" w:hAnsi="微软雅黑" w:cs="微软雅黑"/>
                <w:b/>
                <w:bCs/>
                <w:sz w:val="20"/>
                <w:szCs w:val="20"/>
              </w:rPr>
              <w:t>序号</w:t>
            </w:r>
          </w:p>
        </w:tc>
        <w:tc>
          <w:tcPr>
            <w:tcW w:w="1356" w:type="pct"/>
            <w:tcBorders>
              <w:top w:val="single" w:color="auto" w:sz="12"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b/>
                <w:bCs/>
                <w:sz w:val="20"/>
                <w:szCs w:val="20"/>
              </w:rPr>
            </w:pPr>
            <w:r>
              <w:rPr>
                <w:rFonts w:hint="eastAsia" w:ascii="微软雅黑" w:hAnsi="微软雅黑" w:cs="微软雅黑"/>
                <w:b/>
                <w:bCs/>
                <w:sz w:val="20"/>
                <w:szCs w:val="20"/>
              </w:rPr>
              <w:t>原条款描述</w:t>
            </w:r>
          </w:p>
        </w:tc>
        <w:tc>
          <w:tcPr>
            <w:tcW w:w="1527" w:type="pct"/>
            <w:tcBorders>
              <w:top w:val="single" w:color="auto" w:sz="12" w:space="0"/>
              <w:left w:val="single" w:color="auto" w:sz="6" w:space="0"/>
              <w:bottom w:val="single" w:color="auto" w:sz="6" w:space="0"/>
              <w:right w:val="single" w:color="auto" w:sz="6" w:space="0"/>
            </w:tcBorders>
            <w:shd w:val="clear" w:color="auto" w:fill="EEECE1"/>
            <w:vAlign w:val="center"/>
          </w:tcPr>
          <w:p>
            <w:pPr>
              <w:jc w:val="center"/>
              <w:rPr>
                <w:rFonts w:ascii="微软雅黑" w:hAnsi="微软雅黑" w:cs="微软雅黑"/>
                <w:b/>
                <w:bCs/>
                <w:sz w:val="20"/>
                <w:szCs w:val="20"/>
              </w:rPr>
            </w:pPr>
            <w:r>
              <w:rPr>
                <w:rFonts w:hint="eastAsia" w:ascii="微软雅黑" w:hAnsi="微软雅黑" w:cs="微软雅黑"/>
                <w:b/>
                <w:bCs/>
                <w:sz w:val="20"/>
                <w:szCs w:val="20"/>
              </w:rPr>
              <w:t>投标人响应描述</w:t>
            </w:r>
          </w:p>
        </w:tc>
        <w:tc>
          <w:tcPr>
            <w:tcW w:w="1735" w:type="pct"/>
            <w:tcBorders>
              <w:top w:val="single" w:color="auto" w:sz="12" w:space="0"/>
              <w:left w:val="single" w:color="auto" w:sz="6" w:space="0"/>
              <w:bottom w:val="single" w:color="auto" w:sz="6" w:space="0"/>
              <w:right w:val="single" w:color="auto" w:sz="12" w:space="0"/>
            </w:tcBorders>
            <w:shd w:val="clear" w:color="auto" w:fill="EEECE1"/>
            <w:vAlign w:val="center"/>
          </w:tcPr>
          <w:p>
            <w:pPr>
              <w:jc w:val="center"/>
              <w:rPr>
                <w:rFonts w:ascii="微软雅黑" w:hAnsi="微软雅黑" w:cs="微软雅黑"/>
                <w:b/>
                <w:bCs/>
                <w:sz w:val="20"/>
                <w:szCs w:val="20"/>
              </w:rPr>
            </w:pPr>
            <w:r>
              <w:rPr>
                <w:rFonts w:hint="eastAsia" w:ascii="微软雅黑" w:hAnsi="微软雅黑" w:cs="微软雅黑"/>
                <w:b/>
                <w:bCs/>
                <w:sz w:val="20"/>
                <w:szCs w:val="20"/>
              </w:rPr>
              <w:t>偏离情况说明</w:t>
            </w:r>
          </w:p>
          <w:p>
            <w:pPr>
              <w:jc w:val="center"/>
              <w:rPr>
                <w:rFonts w:ascii="微软雅黑" w:hAnsi="微软雅黑" w:cs="微软雅黑"/>
                <w:b/>
                <w:bCs/>
                <w:sz w:val="20"/>
                <w:szCs w:val="20"/>
              </w:rPr>
            </w:pPr>
            <w:r>
              <w:rPr>
                <w:rFonts w:hint="eastAsia" w:ascii="微软雅黑" w:hAnsi="微软雅黑" w:cs="微软雅黑"/>
                <w:b/>
                <w:bCs/>
                <w:sz w:val="20"/>
                <w:szCs w:val="20"/>
              </w:rPr>
              <w:t>（正偏离/完全响应/负偏离）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80" w:type="pct"/>
            <w:tcBorders>
              <w:top w:val="single" w:color="auto" w:sz="6" w:space="0"/>
              <w:left w:val="single" w:color="auto" w:sz="12" w:space="0"/>
              <w:bottom w:val="single" w:color="auto" w:sz="6" w:space="0"/>
              <w:right w:val="single" w:color="auto" w:sz="6" w:space="0"/>
            </w:tcBorders>
            <w:vAlign w:val="center"/>
          </w:tcPr>
          <w:p>
            <w:pPr>
              <w:widowControl w:val="0"/>
              <w:numPr>
                <w:ilvl w:val="0"/>
                <w:numId w:val="15"/>
              </w:numPr>
              <w:autoSpaceDN w:val="0"/>
              <w:adjustRightInd/>
              <w:snapToGrid/>
              <w:spacing w:after="0" w:line="400" w:lineRule="exact"/>
              <w:jc w:val="center"/>
              <w:rPr>
                <w:rFonts w:ascii="微软雅黑" w:hAnsi="微软雅黑" w:cs="微软雅黑"/>
                <w:b/>
                <w:bCs/>
                <w:sz w:val="20"/>
                <w:szCs w:val="20"/>
              </w:rPr>
            </w:pPr>
          </w:p>
        </w:tc>
        <w:tc>
          <w:tcPr>
            <w:tcW w:w="1356" w:type="pct"/>
            <w:tcBorders>
              <w:top w:val="single" w:color="auto" w:sz="6" w:space="0"/>
              <w:left w:val="single" w:color="auto" w:sz="6" w:space="0"/>
              <w:bottom w:val="single" w:color="auto" w:sz="6" w:space="0"/>
              <w:right w:val="single" w:color="auto" w:sz="6" w:space="0"/>
            </w:tcBorders>
            <w:vAlign w:val="center"/>
          </w:tcPr>
          <w:p>
            <w:pPr>
              <w:wordWrap w:val="0"/>
              <w:spacing w:line="360" w:lineRule="auto"/>
              <w:rPr>
                <w:rFonts w:ascii="微软雅黑" w:hAnsi="微软雅黑" w:cs="微软雅黑"/>
                <w:b/>
                <w:bCs/>
                <w:sz w:val="20"/>
                <w:szCs w:val="20"/>
              </w:rPr>
            </w:pPr>
          </w:p>
        </w:tc>
        <w:tc>
          <w:tcPr>
            <w:tcW w:w="1527" w:type="pct"/>
            <w:tcBorders>
              <w:top w:val="single" w:color="auto" w:sz="6" w:space="0"/>
              <w:left w:val="single" w:color="auto" w:sz="6" w:space="0"/>
              <w:bottom w:val="single" w:color="auto" w:sz="6" w:space="0"/>
              <w:right w:val="single" w:color="auto" w:sz="6" w:space="0"/>
            </w:tcBorders>
            <w:vAlign w:val="center"/>
          </w:tcPr>
          <w:p>
            <w:pPr>
              <w:wordWrap w:val="0"/>
              <w:spacing w:line="400" w:lineRule="exact"/>
              <w:jc w:val="center"/>
              <w:rPr>
                <w:rFonts w:ascii="微软雅黑" w:hAnsi="微软雅黑" w:cs="微软雅黑"/>
                <w:b/>
                <w:bCs/>
                <w:sz w:val="20"/>
                <w:szCs w:val="20"/>
              </w:rPr>
            </w:pPr>
          </w:p>
        </w:tc>
        <w:tc>
          <w:tcPr>
            <w:tcW w:w="1735" w:type="pct"/>
            <w:tcBorders>
              <w:top w:val="single" w:color="auto" w:sz="6" w:space="0"/>
              <w:left w:val="single" w:color="auto" w:sz="6" w:space="0"/>
              <w:bottom w:val="single" w:color="auto" w:sz="6" w:space="0"/>
              <w:right w:val="single" w:color="auto" w:sz="12" w:space="0"/>
            </w:tcBorders>
            <w:vAlign w:val="center"/>
          </w:tcPr>
          <w:p>
            <w:pPr>
              <w:wordWrap w:val="0"/>
              <w:spacing w:line="400" w:lineRule="exact"/>
              <w:jc w:val="center"/>
              <w:rPr>
                <w:rFonts w:ascii="微软雅黑" w:hAnsi="微软雅黑" w:cs="微软雅黑"/>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80" w:type="pct"/>
            <w:tcBorders>
              <w:top w:val="single" w:color="auto" w:sz="6" w:space="0"/>
              <w:left w:val="single" w:color="auto" w:sz="12" w:space="0"/>
              <w:bottom w:val="single" w:color="auto" w:sz="6" w:space="0"/>
              <w:right w:val="single" w:color="auto" w:sz="6" w:space="0"/>
            </w:tcBorders>
            <w:vAlign w:val="center"/>
          </w:tcPr>
          <w:p>
            <w:pPr>
              <w:widowControl w:val="0"/>
              <w:numPr>
                <w:ilvl w:val="0"/>
                <w:numId w:val="15"/>
              </w:numPr>
              <w:autoSpaceDN w:val="0"/>
              <w:adjustRightInd/>
              <w:snapToGrid/>
              <w:spacing w:after="0" w:line="400" w:lineRule="exact"/>
              <w:jc w:val="center"/>
              <w:rPr>
                <w:rFonts w:ascii="微软雅黑" w:hAnsi="微软雅黑" w:cs="微软雅黑"/>
                <w:b/>
                <w:bCs/>
                <w:sz w:val="20"/>
                <w:szCs w:val="20"/>
              </w:rPr>
            </w:pPr>
          </w:p>
        </w:tc>
        <w:tc>
          <w:tcPr>
            <w:tcW w:w="1356" w:type="pct"/>
            <w:tcBorders>
              <w:top w:val="single" w:color="auto" w:sz="6" w:space="0"/>
              <w:left w:val="single" w:color="auto" w:sz="6" w:space="0"/>
              <w:bottom w:val="single" w:color="auto" w:sz="6" w:space="0"/>
              <w:right w:val="single" w:color="auto" w:sz="6" w:space="0"/>
            </w:tcBorders>
            <w:vAlign w:val="center"/>
          </w:tcPr>
          <w:p>
            <w:pPr>
              <w:wordWrap w:val="0"/>
              <w:spacing w:line="360" w:lineRule="auto"/>
              <w:rPr>
                <w:rFonts w:ascii="微软雅黑" w:hAnsi="微软雅黑" w:cs="微软雅黑"/>
                <w:b/>
                <w:bCs/>
                <w:sz w:val="20"/>
                <w:szCs w:val="20"/>
                <w:lang w:val="zh-TW" w:eastAsia="zh-TW"/>
              </w:rPr>
            </w:pPr>
          </w:p>
        </w:tc>
        <w:tc>
          <w:tcPr>
            <w:tcW w:w="1527" w:type="pct"/>
            <w:tcBorders>
              <w:top w:val="single" w:color="auto" w:sz="6" w:space="0"/>
              <w:left w:val="single" w:color="auto" w:sz="6" w:space="0"/>
              <w:bottom w:val="single" w:color="auto" w:sz="6" w:space="0"/>
              <w:right w:val="single" w:color="auto" w:sz="6" w:space="0"/>
            </w:tcBorders>
            <w:vAlign w:val="center"/>
          </w:tcPr>
          <w:p>
            <w:pPr>
              <w:wordWrap w:val="0"/>
              <w:spacing w:line="400" w:lineRule="exact"/>
              <w:jc w:val="center"/>
              <w:rPr>
                <w:rFonts w:ascii="微软雅黑" w:hAnsi="微软雅黑" w:cs="微软雅黑"/>
                <w:b/>
                <w:bCs/>
                <w:sz w:val="20"/>
                <w:szCs w:val="20"/>
              </w:rPr>
            </w:pPr>
          </w:p>
        </w:tc>
        <w:tc>
          <w:tcPr>
            <w:tcW w:w="1735" w:type="pct"/>
            <w:tcBorders>
              <w:top w:val="single" w:color="auto" w:sz="6" w:space="0"/>
              <w:left w:val="single" w:color="auto" w:sz="6" w:space="0"/>
              <w:bottom w:val="single" w:color="auto" w:sz="6" w:space="0"/>
              <w:right w:val="single" w:color="auto" w:sz="12" w:space="0"/>
            </w:tcBorders>
            <w:vAlign w:val="center"/>
          </w:tcPr>
          <w:p>
            <w:pPr>
              <w:wordWrap w:val="0"/>
              <w:spacing w:line="400" w:lineRule="exact"/>
              <w:jc w:val="center"/>
              <w:rPr>
                <w:rFonts w:ascii="微软雅黑" w:hAnsi="微软雅黑" w:cs="微软雅黑"/>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80" w:type="pct"/>
            <w:tcBorders>
              <w:top w:val="single" w:color="auto" w:sz="6" w:space="0"/>
              <w:left w:val="single" w:color="auto" w:sz="12" w:space="0"/>
              <w:bottom w:val="single" w:color="auto" w:sz="6" w:space="0"/>
              <w:right w:val="single" w:color="auto" w:sz="6" w:space="0"/>
            </w:tcBorders>
            <w:vAlign w:val="center"/>
          </w:tcPr>
          <w:p>
            <w:pPr>
              <w:widowControl w:val="0"/>
              <w:numPr>
                <w:ilvl w:val="0"/>
                <w:numId w:val="15"/>
              </w:numPr>
              <w:autoSpaceDN w:val="0"/>
              <w:adjustRightInd/>
              <w:snapToGrid/>
              <w:spacing w:after="0" w:line="400" w:lineRule="exact"/>
              <w:jc w:val="center"/>
              <w:rPr>
                <w:rFonts w:ascii="微软雅黑" w:hAnsi="微软雅黑" w:cs="微软雅黑"/>
                <w:b/>
                <w:bCs/>
                <w:sz w:val="20"/>
                <w:szCs w:val="20"/>
              </w:rPr>
            </w:pPr>
          </w:p>
        </w:tc>
        <w:tc>
          <w:tcPr>
            <w:tcW w:w="1356" w:type="pct"/>
            <w:tcBorders>
              <w:top w:val="single" w:color="auto" w:sz="6" w:space="0"/>
              <w:left w:val="single" w:color="auto" w:sz="6" w:space="0"/>
              <w:bottom w:val="single" w:color="auto" w:sz="6" w:space="0"/>
              <w:right w:val="single" w:color="auto" w:sz="6" w:space="0"/>
            </w:tcBorders>
            <w:vAlign w:val="center"/>
          </w:tcPr>
          <w:p>
            <w:pPr>
              <w:wordWrap w:val="0"/>
              <w:spacing w:line="360" w:lineRule="auto"/>
              <w:rPr>
                <w:rFonts w:ascii="微软雅黑" w:hAnsi="微软雅黑" w:cs="微软雅黑"/>
                <w:sz w:val="20"/>
                <w:szCs w:val="20"/>
                <w:lang w:val="zh-CN"/>
              </w:rPr>
            </w:pPr>
          </w:p>
        </w:tc>
        <w:tc>
          <w:tcPr>
            <w:tcW w:w="1527" w:type="pct"/>
            <w:tcBorders>
              <w:top w:val="single" w:color="auto" w:sz="6" w:space="0"/>
              <w:left w:val="single" w:color="auto" w:sz="6" w:space="0"/>
              <w:bottom w:val="single" w:color="auto" w:sz="6" w:space="0"/>
              <w:right w:val="single" w:color="auto" w:sz="6" w:space="0"/>
            </w:tcBorders>
            <w:vAlign w:val="center"/>
          </w:tcPr>
          <w:p>
            <w:pPr>
              <w:wordWrap w:val="0"/>
              <w:spacing w:line="400" w:lineRule="exact"/>
              <w:jc w:val="center"/>
              <w:rPr>
                <w:rFonts w:ascii="微软雅黑" w:hAnsi="微软雅黑" w:cs="微软雅黑"/>
                <w:b/>
                <w:bCs/>
                <w:sz w:val="20"/>
                <w:szCs w:val="20"/>
              </w:rPr>
            </w:pPr>
          </w:p>
        </w:tc>
        <w:tc>
          <w:tcPr>
            <w:tcW w:w="1735" w:type="pct"/>
            <w:tcBorders>
              <w:top w:val="single" w:color="auto" w:sz="6" w:space="0"/>
              <w:left w:val="single" w:color="auto" w:sz="6" w:space="0"/>
              <w:bottom w:val="single" w:color="auto" w:sz="6" w:space="0"/>
              <w:right w:val="single" w:color="auto" w:sz="12" w:space="0"/>
            </w:tcBorders>
            <w:vAlign w:val="center"/>
          </w:tcPr>
          <w:p>
            <w:pPr>
              <w:wordWrap w:val="0"/>
              <w:spacing w:line="400" w:lineRule="exact"/>
              <w:jc w:val="center"/>
              <w:rPr>
                <w:rFonts w:ascii="微软雅黑" w:hAnsi="微软雅黑" w:cs="微软雅黑"/>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80" w:type="pct"/>
            <w:tcBorders>
              <w:top w:val="single" w:color="auto" w:sz="6" w:space="0"/>
              <w:left w:val="single" w:color="auto" w:sz="12" w:space="0"/>
              <w:bottom w:val="single" w:color="auto" w:sz="6" w:space="0"/>
              <w:right w:val="single" w:color="auto" w:sz="6" w:space="0"/>
            </w:tcBorders>
            <w:vAlign w:val="center"/>
          </w:tcPr>
          <w:p>
            <w:pPr>
              <w:widowControl w:val="0"/>
              <w:numPr>
                <w:ilvl w:val="0"/>
                <w:numId w:val="15"/>
              </w:numPr>
              <w:autoSpaceDN w:val="0"/>
              <w:adjustRightInd/>
              <w:snapToGrid/>
              <w:spacing w:after="0" w:line="400" w:lineRule="exact"/>
              <w:jc w:val="center"/>
              <w:rPr>
                <w:rFonts w:ascii="微软雅黑" w:hAnsi="微软雅黑" w:cs="微软雅黑"/>
                <w:b/>
                <w:bCs/>
                <w:sz w:val="20"/>
                <w:szCs w:val="20"/>
              </w:rPr>
            </w:pPr>
          </w:p>
        </w:tc>
        <w:tc>
          <w:tcPr>
            <w:tcW w:w="1356" w:type="pct"/>
            <w:tcBorders>
              <w:top w:val="single" w:color="auto" w:sz="6" w:space="0"/>
              <w:left w:val="single" w:color="auto" w:sz="6" w:space="0"/>
              <w:bottom w:val="single" w:color="auto" w:sz="6" w:space="0"/>
              <w:right w:val="single" w:color="auto" w:sz="6" w:space="0"/>
            </w:tcBorders>
            <w:vAlign w:val="center"/>
          </w:tcPr>
          <w:p>
            <w:pPr>
              <w:wordWrap w:val="0"/>
              <w:spacing w:line="360" w:lineRule="auto"/>
              <w:rPr>
                <w:rFonts w:ascii="微软雅黑" w:hAnsi="微软雅黑" w:cs="微软雅黑"/>
                <w:b/>
                <w:bCs/>
                <w:sz w:val="20"/>
                <w:szCs w:val="20"/>
              </w:rPr>
            </w:pPr>
          </w:p>
        </w:tc>
        <w:tc>
          <w:tcPr>
            <w:tcW w:w="1527" w:type="pct"/>
            <w:tcBorders>
              <w:top w:val="single" w:color="auto" w:sz="6" w:space="0"/>
              <w:left w:val="single" w:color="auto" w:sz="6" w:space="0"/>
              <w:bottom w:val="single" w:color="auto" w:sz="6" w:space="0"/>
              <w:right w:val="single" w:color="auto" w:sz="6" w:space="0"/>
            </w:tcBorders>
            <w:vAlign w:val="center"/>
          </w:tcPr>
          <w:p>
            <w:pPr>
              <w:wordWrap w:val="0"/>
              <w:spacing w:line="400" w:lineRule="exact"/>
              <w:jc w:val="center"/>
              <w:rPr>
                <w:rFonts w:ascii="微软雅黑" w:hAnsi="微软雅黑" w:cs="微软雅黑"/>
                <w:b/>
                <w:bCs/>
                <w:sz w:val="20"/>
                <w:szCs w:val="20"/>
              </w:rPr>
            </w:pPr>
          </w:p>
        </w:tc>
        <w:tc>
          <w:tcPr>
            <w:tcW w:w="1735" w:type="pct"/>
            <w:tcBorders>
              <w:top w:val="single" w:color="auto" w:sz="6" w:space="0"/>
              <w:left w:val="single" w:color="auto" w:sz="6" w:space="0"/>
              <w:bottom w:val="single" w:color="auto" w:sz="6" w:space="0"/>
              <w:right w:val="single" w:color="auto" w:sz="12" w:space="0"/>
            </w:tcBorders>
            <w:vAlign w:val="center"/>
          </w:tcPr>
          <w:p>
            <w:pPr>
              <w:wordWrap w:val="0"/>
              <w:spacing w:line="400" w:lineRule="exact"/>
              <w:jc w:val="center"/>
              <w:rPr>
                <w:rFonts w:ascii="微软雅黑" w:hAnsi="微软雅黑" w:cs="微软雅黑"/>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80" w:type="pct"/>
            <w:tcBorders>
              <w:top w:val="single" w:color="auto" w:sz="6" w:space="0"/>
              <w:left w:val="single" w:color="auto" w:sz="12" w:space="0"/>
              <w:bottom w:val="single" w:color="auto" w:sz="6" w:space="0"/>
              <w:right w:val="single" w:color="auto" w:sz="6" w:space="0"/>
            </w:tcBorders>
            <w:vAlign w:val="center"/>
          </w:tcPr>
          <w:p>
            <w:pPr>
              <w:widowControl w:val="0"/>
              <w:numPr>
                <w:ilvl w:val="0"/>
                <w:numId w:val="15"/>
              </w:numPr>
              <w:autoSpaceDN w:val="0"/>
              <w:adjustRightInd/>
              <w:snapToGrid/>
              <w:spacing w:after="0" w:line="400" w:lineRule="exact"/>
              <w:jc w:val="center"/>
              <w:rPr>
                <w:rFonts w:ascii="微软雅黑" w:hAnsi="微软雅黑" w:cs="微软雅黑"/>
                <w:b/>
                <w:bCs/>
                <w:sz w:val="20"/>
                <w:szCs w:val="20"/>
              </w:rPr>
            </w:pPr>
          </w:p>
        </w:tc>
        <w:tc>
          <w:tcPr>
            <w:tcW w:w="1356" w:type="pct"/>
            <w:tcBorders>
              <w:top w:val="single" w:color="auto" w:sz="6" w:space="0"/>
              <w:left w:val="single" w:color="auto" w:sz="6" w:space="0"/>
              <w:bottom w:val="single" w:color="auto" w:sz="6" w:space="0"/>
              <w:right w:val="single" w:color="auto" w:sz="6" w:space="0"/>
            </w:tcBorders>
            <w:vAlign w:val="center"/>
          </w:tcPr>
          <w:p>
            <w:pPr>
              <w:wordWrap w:val="0"/>
              <w:spacing w:line="360" w:lineRule="auto"/>
              <w:rPr>
                <w:rFonts w:ascii="微软雅黑" w:hAnsi="微软雅黑" w:cs="微软雅黑"/>
                <w:b/>
                <w:bCs/>
                <w:sz w:val="20"/>
                <w:szCs w:val="20"/>
              </w:rPr>
            </w:pPr>
          </w:p>
        </w:tc>
        <w:tc>
          <w:tcPr>
            <w:tcW w:w="1527" w:type="pct"/>
            <w:tcBorders>
              <w:top w:val="single" w:color="auto" w:sz="6" w:space="0"/>
              <w:left w:val="single" w:color="auto" w:sz="6" w:space="0"/>
              <w:bottom w:val="single" w:color="auto" w:sz="6" w:space="0"/>
              <w:right w:val="single" w:color="auto" w:sz="6" w:space="0"/>
            </w:tcBorders>
            <w:vAlign w:val="center"/>
          </w:tcPr>
          <w:p>
            <w:pPr>
              <w:wordWrap w:val="0"/>
              <w:spacing w:line="400" w:lineRule="exact"/>
              <w:jc w:val="center"/>
              <w:rPr>
                <w:rFonts w:ascii="微软雅黑" w:hAnsi="微软雅黑" w:cs="微软雅黑"/>
                <w:b/>
                <w:bCs/>
                <w:sz w:val="20"/>
                <w:szCs w:val="20"/>
              </w:rPr>
            </w:pPr>
          </w:p>
        </w:tc>
        <w:tc>
          <w:tcPr>
            <w:tcW w:w="1735" w:type="pct"/>
            <w:tcBorders>
              <w:top w:val="single" w:color="auto" w:sz="6" w:space="0"/>
              <w:left w:val="single" w:color="auto" w:sz="6" w:space="0"/>
              <w:bottom w:val="single" w:color="auto" w:sz="6" w:space="0"/>
              <w:right w:val="single" w:color="auto" w:sz="12" w:space="0"/>
            </w:tcBorders>
            <w:vAlign w:val="center"/>
          </w:tcPr>
          <w:p>
            <w:pPr>
              <w:wordWrap w:val="0"/>
              <w:spacing w:line="400" w:lineRule="exact"/>
              <w:jc w:val="center"/>
              <w:rPr>
                <w:rFonts w:ascii="微软雅黑" w:hAnsi="微软雅黑" w:cs="微软雅黑"/>
                <w:b/>
                <w:bCs/>
                <w:sz w:val="20"/>
                <w:szCs w:val="20"/>
              </w:rPr>
            </w:pPr>
          </w:p>
        </w:tc>
      </w:tr>
    </w:tbl>
    <w:p>
      <w:pPr>
        <w:spacing w:line="500" w:lineRule="exact"/>
        <w:rPr>
          <w:rFonts w:ascii="宋体" w:hAnsi="宋体"/>
          <w:color w:val="000000"/>
          <w:sz w:val="21"/>
          <w:szCs w:val="21"/>
          <w:u w:val="single"/>
        </w:rPr>
      </w:pPr>
      <w:r>
        <w:rPr>
          <w:rFonts w:hint="eastAsia"/>
          <w:spacing w:val="4"/>
          <w:sz w:val="21"/>
          <w:szCs w:val="21"/>
        </w:rPr>
        <w:t>投标人名称（盖公章）：</w:t>
      </w:r>
      <w:r>
        <w:rPr>
          <w:spacing w:val="4"/>
          <w:sz w:val="21"/>
          <w:szCs w:val="21"/>
          <w:u w:val="single"/>
        </w:rPr>
        <w:t xml:space="preserve">                             </w:t>
      </w:r>
    </w:p>
    <w:p>
      <w:pPr>
        <w:rPr>
          <w:spacing w:val="4"/>
          <w:sz w:val="21"/>
          <w:szCs w:val="21"/>
        </w:rPr>
      </w:pPr>
    </w:p>
    <w:p>
      <w:pPr>
        <w:spacing w:line="520" w:lineRule="exact"/>
        <w:rPr>
          <w:spacing w:val="4"/>
          <w:sz w:val="21"/>
          <w:szCs w:val="21"/>
          <w:u w:val="single"/>
        </w:rPr>
      </w:pPr>
      <w:r>
        <w:rPr>
          <w:rFonts w:hint="eastAsia" w:ascii="宋体"/>
          <w:sz w:val="21"/>
          <w:szCs w:val="21"/>
        </w:rPr>
        <w:t>法定代表人或</w:t>
      </w:r>
      <w:r>
        <w:rPr>
          <w:rFonts w:hint="eastAsia" w:ascii="宋体" w:hAnsi="宋体"/>
          <w:sz w:val="21"/>
          <w:szCs w:val="21"/>
        </w:rPr>
        <w:t>投标人授权代表（签名或盖章）：</w:t>
      </w:r>
      <w:r>
        <w:rPr>
          <w:spacing w:val="4"/>
          <w:sz w:val="21"/>
          <w:szCs w:val="21"/>
          <w:u w:val="single"/>
        </w:rPr>
        <w:t xml:space="preserve">             </w:t>
      </w:r>
      <w:r>
        <w:rPr>
          <w:spacing w:val="4"/>
          <w:sz w:val="21"/>
          <w:szCs w:val="21"/>
        </w:rPr>
        <w:t xml:space="preserve"> </w:t>
      </w:r>
      <w:r>
        <w:rPr>
          <w:rFonts w:hint="eastAsia"/>
          <w:spacing w:val="4"/>
          <w:sz w:val="21"/>
          <w:szCs w:val="21"/>
        </w:rPr>
        <w:t>职务：</w:t>
      </w:r>
      <w:r>
        <w:rPr>
          <w:spacing w:val="4"/>
          <w:sz w:val="21"/>
          <w:szCs w:val="21"/>
          <w:u w:val="single"/>
        </w:rPr>
        <w:t xml:space="preserve">        </w:t>
      </w:r>
      <w:r>
        <w:rPr>
          <w:spacing w:val="4"/>
          <w:sz w:val="21"/>
          <w:szCs w:val="21"/>
        </w:rPr>
        <w:t xml:space="preserve"> </w:t>
      </w:r>
      <w:r>
        <w:rPr>
          <w:rFonts w:hint="eastAsia"/>
          <w:spacing w:val="4"/>
          <w:sz w:val="21"/>
          <w:szCs w:val="21"/>
        </w:rPr>
        <w:t>日期：</w:t>
      </w:r>
      <w:r>
        <w:rPr>
          <w:spacing w:val="4"/>
          <w:sz w:val="21"/>
          <w:szCs w:val="21"/>
          <w:u w:val="single"/>
        </w:rPr>
        <w:t xml:space="preserve">         </w:t>
      </w:r>
    </w:p>
    <w:bookmarkEnd w:id="1185"/>
    <w:p>
      <w:pPr>
        <w:spacing w:line="360" w:lineRule="auto"/>
        <w:rPr>
          <w:rFonts w:ascii="黑体" w:hAnsi="黑体" w:eastAsia="黑体" w:cs="黑体"/>
          <w:sz w:val="28"/>
          <w:szCs w:val="28"/>
        </w:rPr>
      </w:pPr>
      <w:bookmarkStart w:id="1193" w:name="_Toc275865624"/>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spacing w:line="360" w:lineRule="auto"/>
        <w:rPr>
          <w:rFonts w:ascii="黑体" w:hAnsi="黑体" w:eastAsia="黑体" w:cs="黑体"/>
          <w:sz w:val="28"/>
          <w:szCs w:val="28"/>
        </w:rPr>
      </w:pPr>
    </w:p>
    <w:p>
      <w:pPr>
        <w:pStyle w:val="19"/>
      </w:pPr>
    </w:p>
    <w:p>
      <w:pPr>
        <w:spacing w:line="360" w:lineRule="auto"/>
        <w:rPr>
          <w:rFonts w:ascii="宋体" w:hAnsi="宋体"/>
          <w:b/>
          <w:color w:val="FF0000"/>
          <w:sz w:val="36"/>
          <w:szCs w:val="36"/>
        </w:rPr>
      </w:pPr>
      <w:r>
        <w:rPr>
          <w:rFonts w:hint="eastAsia" w:ascii="黑体" w:hAnsi="黑体" w:eastAsia="黑体" w:cs="黑体"/>
          <w:sz w:val="28"/>
          <w:szCs w:val="28"/>
        </w:rPr>
        <w:t>格式11</w:t>
      </w:r>
    </w:p>
    <w:p>
      <w:pPr>
        <w:pStyle w:val="4"/>
        <w:adjustRightInd w:val="0"/>
        <w:snapToGrid w:val="0"/>
        <w:spacing w:before="156" w:beforeLines="50" w:after="156" w:afterLines="50" w:line="360" w:lineRule="auto"/>
        <w:jc w:val="center"/>
        <w:rPr>
          <w:b w:val="0"/>
        </w:rPr>
      </w:pPr>
      <w:bookmarkStart w:id="1194" w:name="_Toc453957441"/>
      <w:r>
        <w:rPr>
          <w:rFonts w:hint="eastAsia"/>
          <w:b w:val="0"/>
        </w:rPr>
        <w:t>招标代理服务费承诺书</w:t>
      </w:r>
      <w:bookmarkEnd w:id="1193"/>
      <w:bookmarkEnd w:id="1194"/>
    </w:p>
    <w:p>
      <w:pPr>
        <w:spacing w:line="360" w:lineRule="auto"/>
        <w:ind w:left="315"/>
        <w:rPr>
          <w:rFonts w:ascii="宋体" w:hAnsi="宋体"/>
          <w:b/>
          <w:sz w:val="21"/>
          <w:szCs w:val="21"/>
        </w:rPr>
      </w:pPr>
      <w:r>
        <w:rPr>
          <w:rFonts w:hint="eastAsia" w:ascii="宋体" w:hAnsi="宋体"/>
          <w:b/>
          <w:sz w:val="21"/>
          <w:szCs w:val="21"/>
        </w:rPr>
        <w:t>广州宝诚招标代理咨询有限公司:</w:t>
      </w:r>
    </w:p>
    <w:p>
      <w:pPr>
        <w:spacing w:line="360" w:lineRule="auto"/>
        <w:ind w:left="330" w:leftChars="150" w:firstLine="420" w:firstLineChars="200"/>
        <w:rPr>
          <w:rFonts w:ascii="宋体" w:cs="宋体"/>
          <w:sz w:val="21"/>
          <w:szCs w:val="21"/>
        </w:rPr>
      </w:pPr>
      <w:r>
        <w:rPr>
          <w:rFonts w:hint="eastAsia" w:ascii="宋体" w:hAnsi="宋体"/>
          <w:sz w:val="21"/>
          <w:szCs w:val="21"/>
        </w:rPr>
        <w:t>本公司</w:t>
      </w:r>
      <w:r>
        <w:rPr>
          <w:rFonts w:hint="eastAsia" w:ascii="宋体" w:hAnsi="宋体"/>
          <w:sz w:val="21"/>
          <w:szCs w:val="21"/>
          <w:u w:val="single"/>
        </w:rPr>
        <w:t xml:space="preserve">       (投标人名称)        </w:t>
      </w:r>
      <w:r>
        <w:rPr>
          <w:rFonts w:hint="eastAsia" w:ascii="宋体" w:hAnsi="宋体"/>
          <w:sz w:val="21"/>
          <w:szCs w:val="21"/>
        </w:rPr>
        <w:t>在参加在贵公司举行的</w:t>
      </w:r>
      <w:r>
        <w:rPr>
          <w:rFonts w:hint="eastAsia" w:ascii="微软雅黑" w:hAnsi="微软雅黑" w:cs="微软雅黑"/>
          <w:bCs/>
          <w:sz w:val="21"/>
          <w:szCs w:val="21"/>
        </w:rPr>
        <w:t>正和消保中心数字化平台建设服务采购项目</w:t>
      </w:r>
      <w:r>
        <w:rPr>
          <w:rFonts w:hint="eastAsia" w:ascii="宋体" w:hAnsi="宋体"/>
          <w:sz w:val="21"/>
          <w:szCs w:val="21"/>
        </w:rPr>
        <w:t>(</w:t>
      </w:r>
      <w:r>
        <w:rPr>
          <w:rFonts w:hint="eastAsia"/>
          <w:sz w:val="21"/>
          <w:szCs w:val="21"/>
        </w:rPr>
        <w:t>项目编号</w:t>
      </w:r>
      <w:r>
        <w:rPr>
          <w:rFonts w:hint="eastAsia"/>
          <w:color w:val="FF0000"/>
          <w:sz w:val="21"/>
          <w:szCs w:val="21"/>
        </w:rPr>
        <w:t>：</w:t>
      </w:r>
      <w:r>
        <w:rPr>
          <w:color w:val="FF0000"/>
          <w:sz w:val="21"/>
          <w:szCs w:val="21"/>
        </w:rPr>
        <w:t>GZBC22FG06002</w:t>
      </w:r>
      <w:r>
        <w:rPr>
          <w:rFonts w:hint="eastAsia" w:ascii="宋体" w:hAnsi="宋体"/>
          <w:color w:val="FF0000"/>
          <w:sz w:val="21"/>
          <w:szCs w:val="21"/>
        </w:rPr>
        <w:t>)</w:t>
      </w:r>
      <w:r>
        <w:rPr>
          <w:rFonts w:hint="eastAsia" w:ascii="宋体" w:hAnsi="宋体"/>
          <w:sz w:val="21"/>
          <w:szCs w:val="21"/>
        </w:rPr>
        <w:t>的招标中如获中标，</w:t>
      </w:r>
      <w:r>
        <w:rPr>
          <w:rFonts w:hint="eastAsia" w:ascii="宋体" w:cs="宋体"/>
          <w:sz w:val="21"/>
          <w:szCs w:val="21"/>
        </w:rPr>
        <w:t>我公司保证按照招标文件规定缴纳"招标代理服务费"后，凭领取人身份证复印件并加盖公章领取《中标通知书》。如采用电汇或银行转账，须同时递交招标代理服务费缴费凭证复印件并加盖公章。</w:t>
      </w:r>
    </w:p>
    <w:p>
      <w:pPr>
        <w:spacing w:line="360" w:lineRule="auto"/>
        <w:ind w:left="330" w:leftChars="150" w:firstLine="420" w:firstLineChars="200"/>
        <w:rPr>
          <w:rFonts w:ascii="宋体" w:hAnsi="宋体"/>
          <w:sz w:val="21"/>
          <w:szCs w:val="21"/>
        </w:rPr>
      </w:pPr>
      <w:r>
        <w:rPr>
          <w:rFonts w:hint="eastAsia" w:ascii="宋体" w:hAnsi="宋体"/>
          <w:sz w:val="21"/>
          <w:szCs w:val="21"/>
        </w:rPr>
        <w:t>如我方违反上款承诺，愿凭贵公司开出的相关通知，同意广州宝诚招标代理咨询有限公司办理支付手续，扣除我司项目款，并愿承担全部由此引起的法律责任。</w:t>
      </w:r>
    </w:p>
    <w:p>
      <w:pPr>
        <w:spacing w:line="360" w:lineRule="auto"/>
        <w:ind w:left="330" w:leftChars="150" w:firstLine="420" w:firstLineChars="200"/>
        <w:rPr>
          <w:rFonts w:ascii="宋体" w:hAnsi="宋体"/>
          <w:sz w:val="21"/>
          <w:szCs w:val="21"/>
        </w:rPr>
      </w:pPr>
      <w:r>
        <w:rPr>
          <w:rFonts w:hint="eastAsia" w:ascii="宋体" w:hAnsi="宋体"/>
          <w:sz w:val="21"/>
          <w:szCs w:val="21"/>
        </w:rPr>
        <w:t>特此承诺!</w:t>
      </w:r>
    </w:p>
    <w:p>
      <w:pPr>
        <w:spacing w:line="520" w:lineRule="exact"/>
        <w:ind w:left="315"/>
        <w:rPr>
          <w:rFonts w:ascii="宋体" w:hAnsi="宋体"/>
          <w:sz w:val="21"/>
          <w:szCs w:val="21"/>
        </w:rPr>
      </w:pPr>
      <w:r>
        <w:rPr>
          <w:rFonts w:hint="eastAsia" w:ascii="宋体" w:hAnsi="宋体"/>
          <w:sz w:val="21"/>
          <w:szCs w:val="21"/>
        </w:rPr>
        <w:t>投标人名称(盖公章):</w:t>
      </w:r>
    </w:p>
    <w:p>
      <w:pPr>
        <w:spacing w:line="520" w:lineRule="exact"/>
        <w:ind w:left="315"/>
        <w:rPr>
          <w:rFonts w:ascii="宋体" w:hAnsi="宋体"/>
          <w:sz w:val="21"/>
          <w:szCs w:val="21"/>
        </w:rPr>
      </w:pPr>
      <w:r>
        <w:rPr>
          <w:rFonts w:hint="eastAsia" w:ascii="宋体" w:hAnsi="宋体"/>
          <w:sz w:val="21"/>
          <w:szCs w:val="21"/>
        </w:rPr>
        <w:t>投标人地址:</w:t>
      </w:r>
    </w:p>
    <w:p>
      <w:pPr>
        <w:spacing w:line="520" w:lineRule="exact"/>
        <w:ind w:left="315"/>
        <w:rPr>
          <w:rFonts w:ascii="宋体" w:hAnsi="宋体"/>
          <w:sz w:val="21"/>
          <w:szCs w:val="21"/>
        </w:rPr>
      </w:pPr>
      <w:r>
        <w:rPr>
          <w:rFonts w:hint="eastAsia" w:ascii="宋体" w:hAnsi="宋体"/>
          <w:sz w:val="21"/>
          <w:szCs w:val="21"/>
        </w:rPr>
        <w:t>电话:</w:t>
      </w:r>
    </w:p>
    <w:p>
      <w:pPr>
        <w:spacing w:line="520" w:lineRule="exact"/>
        <w:ind w:left="315"/>
        <w:rPr>
          <w:rFonts w:ascii="宋体" w:hAnsi="宋体"/>
          <w:sz w:val="21"/>
          <w:szCs w:val="21"/>
        </w:rPr>
      </w:pPr>
      <w:r>
        <w:rPr>
          <w:rFonts w:hint="eastAsia" w:ascii="宋体" w:hAnsi="宋体"/>
          <w:sz w:val="21"/>
          <w:szCs w:val="21"/>
        </w:rPr>
        <w:t>传真:</w:t>
      </w:r>
    </w:p>
    <w:p>
      <w:pPr>
        <w:spacing w:line="520" w:lineRule="exact"/>
        <w:ind w:left="315"/>
        <w:rPr>
          <w:rFonts w:ascii="宋体" w:hAnsi="宋体"/>
          <w:sz w:val="21"/>
          <w:szCs w:val="21"/>
        </w:rPr>
      </w:pPr>
      <w:r>
        <w:rPr>
          <w:rFonts w:hint="eastAsia" w:ascii="宋体"/>
          <w:sz w:val="21"/>
          <w:szCs w:val="21"/>
        </w:rPr>
        <w:t>法定代表人或</w:t>
      </w:r>
      <w:r>
        <w:rPr>
          <w:rFonts w:hint="eastAsia" w:ascii="宋体" w:hAnsi="宋体"/>
          <w:sz w:val="21"/>
          <w:szCs w:val="21"/>
        </w:rPr>
        <w:t>投标人授权代表（签名或盖章）：</w:t>
      </w:r>
    </w:p>
    <w:p>
      <w:pPr>
        <w:spacing w:line="520" w:lineRule="exact"/>
        <w:ind w:left="315"/>
        <w:rPr>
          <w:rFonts w:ascii="宋体" w:hAnsi="宋体"/>
          <w:sz w:val="21"/>
          <w:szCs w:val="21"/>
        </w:rPr>
      </w:pPr>
      <w:r>
        <w:rPr>
          <w:rFonts w:hint="eastAsia" w:ascii="宋体" w:hAnsi="宋体"/>
          <w:sz w:val="21"/>
          <w:szCs w:val="21"/>
        </w:rPr>
        <w:t>签署日期:</w:t>
      </w:r>
    </w:p>
    <w:p>
      <w:pPr>
        <w:spacing w:line="220" w:lineRule="atLeast"/>
        <w:jc w:val="center"/>
        <w:rPr>
          <w:rFonts w:ascii="黑体" w:hAnsi="黑体" w:eastAsia="黑体" w:cs="黑体"/>
          <w:sz w:val="32"/>
          <w:szCs w:val="32"/>
        </w:rPr>
      </w:pPr>
      <w:r>
        <w:rPr>
          <w:rFonts w:hint="eastAsia" w:ascii="宋体" w:hAnsi="宋体"/>
          <w:sz w:val="21"/>
          <w:szCs w:val="21"/>
        </w:rPr>
        <w:br w:type="page"/>
      </w:r>
      <w:bookmarkStart w:id="1195" w:name="_Toc453957380"/>
      <w:bookmarkStart w:id="1196" w:name="_Toc453956620"/>
      <w:r>
        <w:rPr>
          <w:rFonts w:hint="eastAsia" w:ascii="黑体" w:hAnsi="黑体" w:eastAsia="黑体" w:cs="黑体"/>
          <w:sz w:val="32"/>
          <w:szCs w:val="32"/>
        </w:rPr>
        <w:t>第六章 投标人须知</w:t>
      </w:r>
      <w:bookmarkEnd w:id="1195"/>
      <w:bookmarkEnd w:id="1196"/>
    </w:p>
    <w:p>
      <w:pPr>
        <w:spacing w:before="312" w:beforeLines="100" w:after="312" w:afterLines="100" w:line="360" w:lineRule="auto"/>
        <w:jc w:val="both"/>
        <w:outlineLvl w:val="0"/>
        <w:rPr>
          <w:b/>
        </w:rPr>
      </w:pPr>
      <w:bookmarkStart w:id="1197" w:name="_Toc14296"/>
      <w:bookmarkStart w:id="1198" w:name="_Toc453956621"/>
      <w:bookmarkStart w:id="1199" w:name="_Toc453957381"/>
      <w:r>
        <w:rPr>
          <w:rFonts w:hint="eastAsia" w:ascii="宋体" w:hAnsi="宋体" w:cs="楷体_GB2312"/>
          <w:b/>
          <w:sz w:val="28"/>
          <w:szCs w:val="28"/>
          <w:lang w:eastAsia="zh-TW"/>
        </w:rPr>
        <w:t>一、说明</w:t>
      </w:r>
      <w:bookmarkEnd w:id="1197"/>
      <w:bookmarkEnd w:id="1198"/>
      <w:bookmarkEnd w:id="1199"/>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00" w:name="_Toc28065"/>
      <w:bookmarkStart w:id="1201" w:name="_Toc453957382"/>
      <w:bookmarkStart w:id="1202" w:name="_Toc453956622"/>
      <w:r>
        <w:rPr>
          <w:rFonts w:hint="eastAsia" w:ascii="微软雅黑" w:hAnsi="微软雅黑" w:cs="微软雅黑"/>
          <w:b/>
          <w:bCs/>
          <w:sz w:val="20"/>
          <w:szCs w:val="20"/>
        </w:rPr>
        <w:t>适用范围</w:t>
      </w:r>
      <w:bookmarkEnd w:id="1200"/>
      <w:bookmarkEnd w:id="1201"/>
      <w:bookmarkEnd w:id="1202"/>
    </w:p>
    <w:p>
      <w:pPr>
        <w:widowControl w:val="0"/>
        <w:numPr>
          <w:ilvl w:val="1"/>
          <w:numId w:val="17"/>
        </w:numPr>
        <w:autoSpaceDE w:val="0"/>
        <w:autoSpaceDN w:val="0"/>
        <w:spacing w:after="0" w:line="360" w:lineRule="auto"/>
        <w:rPr>
          <w:rFonts w:ascii="微软雅黑" w:hAnsi="微软雅黑" w:cs="微软雅黑"/>
          <w:b/>
          <w:bCs/>
          <w:sz w:val="20"/>
          <w:szCs w:val="20"/>
        </w:rPr>
      </w:pPr>
      <w:r>
        <w:rPr>
          <w:rFonts w:hint="eastAsia" w:ascii="微软雅黑" w:hAnsi="微软雅黑" w:cs="微软雅黑"/>
          <w:sz w:val="20"/>
          <w:szCs w:val="20"/>
        </w:rPr>
        <w:t>本招标文件适用于本投标邀请中所述项目的采购招标。</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03" w:name="_Toc12611"/>
      <w:bookmarkStart w:id="1204" w:name="_Toc453956623"/>
      <w:bookmarkStart w:id="1205" w:name="_Toc453957383"/>
      <w:r>
        <w:rPr>
          <w:rFonts w:hint="eastAsia" w:ascii="微软雅黑" w:hAnsi="微软雅黑" w:cs="微软雅黑"/>
          <w:b/>
          <w:bCs/>
          <w:sz w:val="20"/>
          <w:szCs w:val="20"/>
        </w:rPr>
        <w:t>监管部门及招标采购单位</w:t>
      </w:r>
      <w:bookmarkEnd w:id="1203"/>
      <w:bookmarkEnd w:id="1204"/>
      <w:bookmarkEnd w:id="1205"/>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监管部门指同级或上级主管部门。</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招标采购单位指采购人及采购代理机构。</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采购人指依法进行本次采购的国家机关、事业单位和团体组织。</w:t>
      </w:r>
      <w:r>
        <w:rPr>
          <w:rFonts w:hint="eastAsia" w:ascii="微软雅黑" w:hAnsi="微软雅黑" w:cs="微软雅黑"/>
          <w:b/>
          <w:sz w:val="20"/>
          <w:szCs w:val="20"/>
          <w:lang w:eastAsia="zh-TW"/>
        </w:rPr>
        <w:t>本招标文件投标资料表中所述的采购人已拥有一笔</w:t>
      </w:r>
      <w:r>
        <w:rPr>
          <w:rFonts w:hint="eastAsia" w:ascii="微软雅黑" w:hAnsi="微软雅黑" w:cs="微软雅黑"/>
          <w:b/>
          <w:sz w:val="20"/>
          <w:szCs w:val="20"/>
        </w:rPr>
        <w:t>资金来源已落实</w:t>
      </w:r>
      <w:r>
        <w:rPr>
          <w:rFonts w:hint="eastAsia" w:ascii="微软雅黑" w:hAnsi="微软雅黑" w:cs="微软雅黑"/>
          <w:b/>
          <w:sz w:val="20"/>
          <w:szCs w:val="20"/>
          <w:lang w:eastAsia="zh-TW"/>
        </w:rPr>
        <w:t>。</w:t>
      </w:r>
      <w:r>
        <w:rPr>
          <w:rFonts w:hint="eastAsia" w:ascii="微软雅黑" w:hAnsi="微软雅黑" w:cs="微软雅黑"/>
          <w:sz w:val="20"/>
          <w:szCs w:val="20"/>
          <w:lang w:eastAsia="zh-TW"/>
        </w:rPr>
        <w:t>采购人计划将一部分</w:t>
      </w:r>
      <w:r>
        <w:rPr>
          <w:rFonts w:hint="eastAsia" w:ascii="微软雅黑" w:hAnsi="微软雅黑" w:cs="微软雅黑"/>
          <w:sz w:val="20"/>
          <w:szCs w:val="20"/>
        </w:rPr>
        <w:t>或全部</w:t>
      </w:r>
      <w:r>
        <w:rPr>
          <w:rFonts w:hint="eastAsia" w:ascii="微软雅黑" w:hAnsi="微软雅黑" w:cs="微软雅黑"/>
          <w:sz w:val="20"/>
          <w:szCs w:val="20"/>
          <w:lang w:eastAsia="zh-TW"/>
        </w:rPr>
        <w:t>资金用于支付本次</w:t>
      </w:r>
      <w:r>
        <w:rPr>
          <w:rFonts w:hint="eastAsia" w:ascii="微软雅黑" w:hAnsi="微软雅黑" w:cs="微软雅黑"/>
          <w:sz w:val="20"/>
          <w:szCs w:val="20"/>
        </w:rPr>
        <w:t>采购</w:t>
      </w:r>
      <w:r>
        <w:rPr>
          <w:rFonts w:hint="eastAsia" w:ascii="微软雅黑" w:hAnsi="微软雅黑" w:cs="微软雅黑"/>
          <w:sz w:val="20"/>
          <w:szCs w:val="20"/>
          <w:lang w:eastAsia="zh-TW"/>
        </w:rPr>
        <w:t>后所签订合同项下的款项</w:t>
      </w:r>
      <w:r>
        <w:rPr>
          <w:rFonts w:hint="eastAsia" w:ascii="微软雅黑" w:hAnsi="微软雅黑" w:cs="微软雅黑"/>
          <w:sz w:val="20"/>
          <w:szCs w:val="20"/>
        </w:rPr>
        <w:t>。</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采购代理机构指依照中华人民共和国财政部令2010年第61号《政府采购代理机构资格认定办法》</w:t>
      </w:r>
      <w:r>
        <w:rPr>
          <w:rFonts w:hint="eastAsia" w:ascii="微软雅黑" w:hAnsi="微软雅黑" w:cs="微软雅黑"/>
          <w:sz w:val="20"/>
          <w:szCs w:val="20"/>
          <w:lang w:eastAsia="zh-TW"/>
        </w:rPr>
        <w:t>取得财政部门认定资格的专业服务机构</w:t>
      </w:r>
      <w:r>
        <w:rPr>
          <w:rFonts w:hint="eastAsia" w:ascii="微软雅黑" w:hAnsi="微软雅黑" w:cs="微软雅黑"/>
          <w:sz w:val="20"/>
          <w:szCs w:val="20"/>
        </w:rPr>
        <w:t>。</w:t>
      </w:r>
      <w:r>
        <w:rPr>
          <w:rFonts w:hint="eastAsia" w:ascii="微软雅黑" w:hAnsi="微软雅黑" w:cs="微软雅黑"/>
          <w:sz w:val="20"/>
          <w:szCs w:val="20"/>
          <w:lang w:eastAsia="zh-TW"/>
        </w:rPr>
        <w:t>本次</w:t>
      </w:r>
      <w:r>
        <w:rPr>
          <w:rFonts w:hint="eastAsia" w:ascii="微软雅黑" w:hAnsi="微软雅黑" w:cs="微软雅黑"/>
          <w:sz w:val="20"/>
          <w:szCs w:val="20"/>
        </w:rPr>
        <w:t>采购</w:t>
      </w:r>
      <w:r>
        <w:rPr>
          <w:rFonts w:hint="eastAsia" w:ascii="微软雅黑" w:hAnsi="微软雅黑" w:cs="微软雅黑"/>
          <w:sz w:val="20"/>
          <w:szCs w:val="20"/>
          <w:lang w:eastAsia="zh-TW"/>
        </w:rPr>
        <w:t>的代理机构名称、地址、电话和传真见</w:t>
      </w:r>
      <w:r>
        <w:rPr>
          <w:rFonts w:hint="eastAsia" w:ascii="微软雅黑" w:hAnsi="微软雅黑" w:cs="微软雅黑"/>
          <w:b/>
          <w:sz w:val="20"/>
          <w:szCs w:val="20"/>
          <w:lang w:eastAsia="zh-TW"/>
        </w:rPr>
        <w:t>投标资料表</w:t>
      </w:r>
      <w:r>
        <w:rPr>
          <w:rFonts w:hint="eastAsia" w:ascii="微软雅黑" w:hAnsi="微软雅黑" w:cs="微软雅黑"/>
          <w:sz w:val="20"/>
          <w:szCs w:val="20"/>
          <w:lang w:eastAsia="zh-TW"/>
        </w:rPr>
        <w:t>。</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06" w:name="_Toc294000365"/>
      <w:bookmarkEnd w:id="1206"/>
      <w:bookmarkStart w:id="1207" w:name="_Toc293507602"/>
      <w:bookmarkEnd w:id="1207"/>
      <w:bookmarkStart w:id="1208" w:name="_Toc293506658"/>
      <w:bookmarkEnd w:id="1208"/>
      <w:bookmarkStart w:id="1209" w:name="_Toc293506718"/>
      <w:bookmarkEnd w:id="1209"/>
      <w:bookmarkStart w:id="1210" w:name="_Toc293507801"/>
      <w:bookmarkEnd w:id="1210"/>
      <w:bookmarkStart w:id="1211" w:name="_Toc293507695"/>
      <w:bookmarkEnd w:id="1211"/>
      <w:bookmarkStart w:id="1212" w:name="_Toc453957384"/>
      <w:bookmarkStart w:id="1213" w:name="_Toc14106"/>
      <w:bookmarkStart w:id="1214" w:name="_Toc453956624"/>
      <w:r>
        <w:rPr>
          <w:rFonts w:hint="eastAsia" w:ascii="微软雅黑" w:hAnsi="微软雅黑" w:cs="微软雅黑"/>
          <w:b/>
          <w:bCs/>
          <w:sz w:val="20"/>
          <w:szCs w:val="20"/>
        </w:rPr>
        <w:t>合格的投标人</w:t>
      </w:r>
      <w:bookmarkEnd w:id="1212"/>
      <w:bookmarkEnd w:id="1213"/>
      <w:bookmarkEnd w:id="1214"/>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投标人是响应招标并且符合招标文件规定资格条件和参加投标竞争的法人、其他组织或者自然人。</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合格的投标人</w:t>
      </w:r>
    </w:p>
    <w:p>
      <w:pPr>
        <w:widowControl w:val="0"/>
        <w:numPr>
          <w:ilvl w:val="2"/>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具有独立承担民事责任的能力；</w:t>
      </w:r>
    </w:p>
    <w:p>
      <w:pPr>
        <w:widowControl w:val="0"/>
        <w:numPr>
          <w:ilvl w:val="2"/>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具有良好的商业信誉和健全的财务会计制度；</w:t>
      </w:r>
    </w:p>
    <w:p>
      <w:pPr>
        <w:widowControl w:val="0"/>
        <w:numPr>
          <w:ilvl w:val="2"/>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具有履行合同所必需的设备和专业技术能力；</w:t>
      </w:r>
    </w:p>
    <w:p>
      <w:pPr>
        <w:widowControl w:val="0"/>
        <w:numPr>
          <w:ilvl w:val="2"/>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有依法缴纳税收和社会保障资金的良好记录；</w:t>
      </w:r>
    </w:p>
    <w:p>
      <w:pPr>
        <w:widowControl w:val="0"/>
        <w:numPr>
          <w:ilvl w:val="2"/>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参加采购活动前三年内，在经营活动中没有重大违法记录；</w:t>
      </w:r>
    </w:p>
    <w:p>
      <w:pPr>
        <w:widowControl w:val="0"/>
        <w:numPr>
          <w:ilvl w:val="2"/>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法律、行政法规规定的其他条件；</w:t>
      </w:r>
    </w:p>
    <w:p>
      <w:pPr>
        <w:widowControl w:val="0"/>
        <w:numPr>
          <w:ilvl w:val="2"/>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只有在法律上和财务上独立、合法运作并独立于采购人和采购代理机构的供货商才能参加投标；</w:t>
      </w:r>
    </w:p>
    <w:p>
      <w:pPr>
        <w:widowControl w:val="0"/>
        <w:numPr>
          <w:ilvl w:val="2"/>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符合投标邀请“合格投标人资格要求”的特殊条款。</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不得参与本采购项目中同一包组竞争的投标人</w:t>
      </w:r>
    </w:p>
    <w:p>
      <w:pPr>
        <w:spacing w:line="360" w:lineRule="auto"/>
        <w:ind w:left="572" w:leftChars="260"/>
        <w:rPr>
          <w:rFonts w:ascii="微软雅黑" w:hAnsi="微软雅黑" w:cs="微软雅黑"/>
          <w:sz w:val="20"/>
          <w:szCs w:val="20"/>
        </w:rPr>
      </w:pPr>
      <w:r>
        <w:rPr>
          <w:rFonts w:hint="eastAsia" w:ascii="微软雅黑" w:hAnsi="微软雅黑" w:cs="微软雅黑"/>
          <w:sz w:val="20"/>
          <w:szCs w:val="20"/>
        </w:rPr>
        <w:t>除联合体外，不同的投标人之间有下列情形之一的，不接受作为参与本采购项目中同一包（组）竞争的投标人：</w:t>
      </w:r>
    </w:p>
    <w:p>
      <w:pPr>
        <w:widowControl w:val="0"/>
        <w:numPr>
          <w:ilvl w:val="2"/>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彼此存在投资与被投资关系的；</w:t>
      </w:r>
    </w:p>
    <w:p>
      <w:pPr>
        <w:widowControl w:val="0"/>
        <w:numPr>
          <w:ilvl w:val="2"/>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彼此的经营者、董事会（或同类管理机构）成员属于直系亲属或配偶关系的。</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中标人是指经法定程序确定并授予合同的投标人。</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15" w:name="_Toc453956625"/>
      <w:bookmarkStart w:id="1216" w:name="_Toc29779"/>
      <w:bookmarkStart w:id="1217" w:name="_Toc453957385"/>
      <w:r>
        <w:rPr>
          <w:rFonts w:hint="eastAsia" w:ascii="微软雅黑" w:hAnsi="微软雅黑" w:cs="微软雅黑"/>
          <w:b/>
          <w:bCs/>
          <w:sz w:val="20"/>
          <w:szCs w:val="20"/>
        </w:rPr>
        <w:t>合格的工程、货物、服务</w:t>
      </w:r>
      <w:bookmarkEnd w:id="1215"/>
      <w:bookmarkEnd w:id="1216"/>
      <w:bookmarkEnd w:id="1217"/>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工程是指建设工程，包括建筑物和构筑物的新建、改建、扩建、装修、拆除等。</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合格的工程是指按国家制定的《工程施工质量验收规范》合格标准要求完成的工程。</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 xml:space="preserve">“服务”是指投标人按招标文件规定完成的全部服务内容，其中包括完成服务所需的货物，及须承担的技术支持、培训和其它伴随服务。 </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货物”是指投标人制造或组织符合招标文件要求的货物等。投标的货物必须是其合法生产、合法来源的符合国家有关标准要求的货物，并满足招标文件规定的规格、参数、质量、价格、有效期、售后服务等要求。</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投标人提供的所有服务，其质量、技术等特征必须符合国家、行业现行法律、法规的相关标准及用户需求。</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采购人有权拒绝接受任何不合格的服务，由此产生的费用及相关后果均由投标人自行承担。</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18" w:name="_Toc19869"/>
      <w:bookmarkStart w:id="1219" w:name="_Toc453957386"/>
      <w:bookmarkStart w:id="1220" w:name="_Toc453956626"/>
      <w:r>
        <w:rPr>
          <w:rFonts w:hint="eastAsia" w:ascii="微软雅黑" w:hAnsi="微软雅黑" w:cs="微软雅黑"/>
          <w:b/>
          <w:bCs/>
          <w:sz w:val="20"/>
          <w:szCs w:val="20"/>
        </w:rPr>
        <w:t>投标费用</w:t>
      </w:r>
      <w:bookmarkEnd w:id="1218"/>
      <w:bookmarkEnd w:id="1219"/>
      <w:bookmarkEnd w:id="1220"/>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投标人应承担所有与准备和参加投标有关的费用。不论投标的结果如何</w:t>
      </w:r>
      <w:r>
        <w:rPr>
          <w:rFonts w:hint="eastAsia" w:ascii="微软雅黑" w:hAnsi="微软雅黑" w:cs="微软雅黑"/>
          <w:sz w:val="20"/>
          <w:szCs w:val="20"/>
        </w:rPr>
        <w:t>，</w:t>
      </w:r>
      <w:r>
        <w:rPr>
          <w:rFonts w:hint="eastAsia" w:ascii="微软雅黑" w:hAnsi="微软雅黑" w:cs="微软雅黑"/>
          <w:sz w:val="20"/>
          <w:szCs w:val="20"/>
          <w:lang w:eastAsia="zh-TW"/>
        </w:rPr>
        <w:t>招标采购单位均无义务和责任承担这些费用。</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21" w:name="_Toc453956627"/>
      <w:bookmarkStart w:id="1222" w:name="_Toc315793364"/>
      <w:bookmarkStart w:id="1223" w:name="_Toc22345"/>
      <w:bookmarkStart w:id="1224" w:name="_Toc453957387"/>
      <w:r>
        <w:rPr>
          <w:rFonts w:hint="eastAsia" w:ascii="微软雅黑" w:hAnsi="微软雅黑" w:cs="微软雅黑"/>
          <w:b/>
          <w:bCs/>
          <w:sz w:val="20"/>
          <w:szCs w:val="20"/>
        </w:rPr>
        <w:t>采购信用担保</w:t>
      </w:r>
      <w:bookmarkEnd w:id="1221"/>
      <w:bookmarkEnd w:id="1222"/>
      <w:bookmarkEnd w:id="1223"/>
      <w:bookmarkEnd w:id="1224"/>
    </w:p>
    <w:p>
      <w:pPr>
        <w:widowControl w:val="0"/>
        <w:numPr>
          <w:ilvl w:val="1"/>
          <w:numId w:val="16"/>
        </w:numPr>
        <w:autoSpaceDE w:val="0"/>
        <w:autoSpaceDN w:val="0"/>
        <w:spacing w:after="0" w:line="360" w:lineRule="auto"/>
        <w:jc w:val="both"/>
        <w:rPr>
          <w:rFonts w:ascii="微软雅黑" w:hAnsi="微软雅黑" w:cs="微软雅黑"/>
          <w:b/>
          <w:sz w:val="20"/>
          <w:szCs w:val="20"/>
          <w:lang w:eastAsia="zh-TW"/>
        </w:rPr>
      </w:pPr>
      <w:bookmarkStart w:id="1225" w:name="_Toc453957388"/>
      <w:bookmarkStart w:id="1226" w:name="_Toc453956628"/>
      <w:r>
        <w:rPr>
          <w:rFonts w:hint="eastAsia" w:ascii="微软雅黑" w:hAnsi="微软雅黑" w:cs="微软雅黑"/>
          <w:sz w:val="20"/>
          <w:szCs w:val="20"/>
        </w:rPr>
        <w:t>履约担保：详见用户需求书、合同条款</w:t>
      </w:r>
    </w:p>
    <w:p>
      <w:pPr>
        <w:widowControl w:val="0"/>
        <w:autoSpaceDE w:val="0"/>
        <w:autoSpaceDN w:val="0"/>
        <w:spacing w:after="0" w:line="360" w:lineRule="auto"/>
        <w:ind w:left="567"/>
        <w:jc w:val="center"/>
        <w:rPr>
          <w:rFonts w:ascii="宋体" w:hAnsi="宋体" w:cs="楷体_GB2312"/>
          <w:b/>
          <w:sz w:val="28"/>
          <w:szCs w:val="28"/>
          <w:lang w:eastAsia="zh-TW"/>
        </w:rPr>
      </w:pPr>
      <w:r>
        <w:rPr>
          <w:rFonts w:hint="eastAsia" w:ascii="宋体" w:hAnsi="宋体" w:cs="楷体_GB2312"/>
          <w:b/>
          <w:sz w:val="28"/>
          <w:szCs w:val="28"/>
          <w:lang w:eastAsia="zh-TW"/>
        </w:rPr>
        <w:t>二、招标文件</w:t>
      </w:r>
      <w:bookmarkEnd w:id="1225"/>
      <w:bookmarkEnd w:id="1226"/>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27" w:name="_Toc24665"/>
      <w:bookmarkStart w:id="1228" w:name="_Toc453956629"/>
      <w:bookmarkStart w:id="1229" w:name="_Toc453957389"/>
      <w:r>
        <w:rPr>
          <w:rFonts w:hint="eastAsia" w:ascii="微软雅黑" w:hAnsi="微软雅黑" w:cs="微软雅黑"/>
          <w:b/>
          <w:bCs/>
          <w:sz w:val="20"/>
          <w:szCs w:val="20"/>
        </w:rPr>
        <w:t>招标文件的编制依据与构成</w:t>
      </w:r>
      <w:bookmarkEnd w:id="1227"/>
      <w:bookmarkEnd w:id="1228"/>
      <w:bookmarkEnd w:id="1229"/>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本招标文件的编制依据是中华人民共和国招标投标法及其配套的法规、规章、政策。</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招标文件共</w:t>
      </w:r>
      <w:r>
        <w:rPr>
          <w:rFonts w:hint="eastAsia" w:ascii="微软雅黑" w:hAnsi="微软雅黑" w:cs="微软雅黑"/>
          <w:sz w:val="20"/>
          <w:szCs w:val="20"/>
        </w:rPr>
        <w:t>七</w:t>
      </w:r>
      <w:r>
        <w:rPr>
          <w:rFonts w:hint="eastAsia" w:ascii="微软雅黑" w:hAnsi="微软雅黑" w:cs="微软雅黑"/>
          <w:sz w:val="20"/>
          <w:szCs w:val="20"/>
          <w:lang w:eastAsia="zh-TW"/>
        </w:rPr>
        <w:t>章</w:t>
      </w:r>
      <w:r>
        <w:rPr>
          <w:rFonts w:hint="eastAsia" w:ascii="微软雅黑" w:hAnsi="微软雅黑" w:cs="微软雅黑"/>
          <w:sz w:val="20"/>
          <w:szCs w:val="20"/>
        </w:rPr>
        <w:t>，</w:t>
      </w:r>
      <w:r>
        <w:rPr>
          <w:rFonts w:hint="eastAsia" w:ascii="微软雅黑" w:hAnsi="微软雅黑" w:cs="微软雅黑"/>
          <w:sz w:val="20"/>
          <w:szCs w:val="20"/>
          <w:lang w:eastAsia="zh-TW"/>
        </w:rPr>
        <w:t>分装两册。</w:t>
      </w:r>
      <w:r>
        <w:rPr>
          <w:rFonts w:hint="eastAsia" w:ascii="微软雅黑" w:hAnsi="微软雅黑" w:cs="微软雅黑"/>
          <w:sz w:val="20"/>
          <w:szCs w:val="20"/>
        </w:rPr>
        <w:t>由下列文件以及在招标过程中发出的澄清、修改和补充文件组成，</w:t>
      </w:r>
      <w:r>
        <w:rPr>
          <w:rFonts w:hint="eastAsia" w:ascii="微软雅黑" w:hAnsi="微软雅黑" w:cs="微软雅黑"/>
          <w:sz w:val="20"/>
          <w:szCs w:val="20"/>
          <w:lang w:eastAsia="zh-TW"/>
        </w:rPr>
        <w:t>各册的内容如下</w:t>
      </w:r>
      <w:r>
        <w:rPr>
          <w:rFonts w:hint="eastAsia" w:ascii="微软雅黑" w:hAnsi="微软雅黑" w:cs="微软雅黑"/>
          <w:sz w:val="20"/>
          <w:szCs w:val="20"/>
        </w:rPr>
        <w:t>：</w:t>
      </w:r>
    </w:p>
    <w:p>
      <w:pPr>
        <w:spacing w:line="360" w:lineRule="auto"/>
        <w:ind w:left="466" w:leftChars="212" w:firstLine="136" w:firstLineChars="68"/>
        <w:rPr>
          <w:rFonts w:ascii="微软雅黑" w:hAnsi="微软雅黑" w:cs="微软雅黑"/>
          <w:sz w:val="20"/>
          <w:szCs w:val="20"/>
        </w:rPr>
      </w:pPr>
      <w:r>
        <w:rPr>
          <w:rFonts w:hint="eastAsia" w:ascii="微软雅黑" w:hAnsi="微软雅黑" w:cs="微软雅黑"/>
          <w:sz w:val="20"/>
          <w:szCs w:val="20"/>
        </w:rPr>
        <w:t>第一章　投标邀请</w:t>
      </w:r>
    </w:p>
    <w:p>
      <w:pPr>
        <w:spacing w:line="360" w:lineRule="auto"/>
        <w:ind w:left="466" w:leftChars="212" w:firstLine="136" w:firstLineChars="68"/>
        <w:rPr>
          <w:rFonts w:ascii="微软雅黑" w:hAnsi="微软雅黑" w:cs="微软雅黑"/>
          <w:sz w:val="20"/>
          <w:szCs w:val="20"/>
        </w:rPr>
      </w:pPr>
      <w:r>
        <w:rPr>
          <w:rFonts w:hint="eastAsia" w:ascii="微软雅黑" w:hAnsi="微软雅黑" w:cs="微软雅黑"/>
          <w:sz w:val="20"/>
          <w:szCs w:val="20"/>
        </w:rPr>
        <w:t>第二章　投标资料表</w:t>
      </w:r>
    </w:p>
    <w:p>
      <w:pPr>
        <w:spacing w:line="360" w:lineRule="auto"/>
        <w:ind w:left="466" w:leftChars="212" w:firstLine="136" w:firstLineChars="68"/>
        <w:rPr>
          <w:rFonts w:ascii="微软雅黑" w:hAnsi="微软雅黑" w:cs="微软雅黑"/>
          <w:sz w:val="20"/>
          <w:szCs w:val="20"/>
        </w:rPr>
      </w:pPr>
      <w:r>
        <w:rPr>
          <w:rFonts w:hint="eastAsia" w:ascii="微软雅黑" w:hAnsi="微软雅黑" w:cs="微软雅黑"/>
          <w:sz w:val="20"/>
          <w:szCs w:val="20"/>
        </w:rPr>
        <w:t>第三章　用户需求书</w:t>
      </w:r>
    </w:p>
    <w:p>
      <w:pPr>
        <w:spacing w:line="360" w:lineRule="auto"/>
        <w:ind w:left="466" w:leftChars="212" w:firstLine="136" w:firstLineChars="68"/>
        <w:rPr>
          <w:rFonts w:ascii="微软雅黑" w:hAnsi="微软雅黑" w:cs="微软雅黑"/>
          <w:sz w:val="20"/>
          <w:szCs w:val="20"/>
        </w:rPr>
      </w:pPr>
      <w:r>
        <w:rPr>
          <w:rFonts w:hint="eastAsia" w:ascii="微软雅黑" w:hAnsi="微软雅黑" w:cs="微软雅黑"/>
          <w:sz w:val="20"/>
          <w:szCs w:val="20"/>
        </w:rPr>
        <w:t>第四章　评分体系和标准</w:t>
      </w:r>
    </w:p>
    <w:p>
      <w:pPr>
        <w:spacing w:line="360" w:lineRule="auto"/>
        <w:ind w:left="466" w:leftChars="212" w:firstLine="136" w:firstLineChars="68"/>
        <w:rPr>
          <w:rFonts w:ascii="微软雅黑" w:hAnsi="微软雅黑" w:cs="微软雅黑"/>
          <w:sz w:val="20"/>
          <w:szCs w:val="20"/>
        </w:rPr>
      </w:pPr>
      <w:r>
        <w:rPr>
          <w:rFonts w:hint="eastAsia" w:ascii="微软雅黑" w:hAnsi="微软雅黑" w:cs="微软雅黑"/>
          <w:sz w:val="20"/>
          <w:szCs w:val="20"/>
        </w:rPr>
        <w:t>第五章  投标文件格式</w:t>
      </w:r>
    </w:p>
    <w:p>
      <w:pPr>
        <w:spacing w:line="360" w:lineRule="auto"/>
        <w:ind w:left="466" w:leftChars="212" w:firstLine="136" w:firstLineChars="68"/>
        <w:rPr>
          <w:rFonts w:ascii="微软雅黑" w:hAnsi="微软雅黑" w:cs="微软雅黑"/>
          <w:sz w:val="20"/>
          <w:szCs w:val="20"/>
        </w:rPr>
      </w:pPr>
      <w:r>
        <w:rPr>
          <w:rFonts w:hint="eastAsia" w:ascii="微软雅黑" w:hAnsi="微软雅黑" w:cs="微软雅黑"/>
          <w:sz w:val="20"/>
          <w:szCs w:val="20"/>
        </w:rPr>
        <w:t>第六章　投标人须知</w:t>
      </w:r>
    </w:p>
    <w:p>
      <w:pPr>
        <w:spacing w:line="360" w:lineRule="auto"/>
        <w:ind w:left="466" w:leftChars="212" w:firstLine="136" w:firstLineChars="68"/>
        <w:rPr>
          <w:rFonts w:ascii="微软雅黑" w:hAnsi="微软雅黑" w:cs="微软雅黑"/>
          <w:sz w:val="20"/>
          <w:szCs w:val="20"/>
        </w:rPr>
      </w:pPr>
      <w:r>
        <w:rPr>
          <w:rFonts w:hint="eastAsia" w:ascii="微软雅黑" w:hAnsi="微软雅黑" w:cs="微软雅黑"/>
          <w:sz w:val="20"/>
          <w:szCs w:val="20"/>
        </w:rPr>
        <w:t>第七章　合同通用条款</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投标人应认真阅读、并充分理解招标文件的全部内容（包括所有的补充、修改内容重要事项</w:t>
      </w:r>
      <w:r>
        <w:rPr>
          <w:rFonts w:hint="eastAsia" w:ascii="微软雅黑" w:hAnsi="微软雅黑" w:cs="微软雅黑"/>
          <w:sz w:val="20"/>
          <w:szCs w:val="20"/>
        </w:rPr>
        <w:t>、</w:t>
      </w:r>
      <w:r>
        <w:rPr>
          <w:rFonts w:hint="eastAsia" w:ascii="微软雅黑" w:hAnsi="微软雅黑" w:cs="微软雅黑"/>
          <w:sz w:val="20"/>
          <w:szCs w:val="20"/>
          <w:lang w:eastAsia="zh-TW"/>
        </w:rPr>
        <w:t>格式</w:t>
      </w:r>
      <w:r>
        <w:rPr>
          <w:rFonts w:hint="eastAsia" w:ascii="微软雅黑" w:hAnsi="微软雅黑" w:cs="微软雅黑"/>
          <w:sz w:val="20"/>
          <w:szCs w:val="20"/>
        </w:rPr>
        <w:t>、</w:t>
      </w:r>
      <w:r>
        <w:rPr>
          <w:rFonts w:hint="eastAsia" w:ascii="微软雅黑" w:hAnsi="微软雅黑" w:cs="微软雅黑"/>
          <w:sz w:val="20"/>
          <w:szCs w:val="20"/>
          <w:lang w:eastAsia="zh-TW"/>
        </w:rPr>
        <w:t>条款和技术规范、参数及要求等）。投标人没有按照招标文件要求提交全部资料，或者投标</w:t>
      </w:r>
      <w:r>
        <w:rPr>
          <w:rFonts w:hint="eastAsia" w:ascii="微软雅黑" w:hAnsi="微软雅黑" w:cs="微软雅黑"/>
          <w:sz w:val="20"/>
          <w:szCs w:val="20"/>
        </w:rPr>
        <w:t>文件</w:t>
      </w:r>
      <w:r>
        <w:rPr>
          <w:rFonts w:hint="eastAsia" w:ascii="微软雅黑" w:hAnsi="微软雅黑" w:cs="微软雅黑"/>
          <w:sz w:val="20"/>
          <w:szCs w:val="20"/>
          <w:lang w:eastAsia="zh-TW"/>
        </w:rPr>
        <w:t>没有对招标文件在各方面都</w:t>
      </w:r>
      <w:r>
        <w:rPr>
          <w:rFonts w:hint="eastAsia" w:ascii="微软雅黑" w:hAnsi="微软雅黑" w:cs="微软雅黑"/>
          <w:sz w:val="20"/>
          <w:szCs w:val="20"/>
        </w:rPr>
        <w:t>作</w:t>
      </w:r>
      <w:r>
        <w:rPr>
          <w:rFonts w:hint="eastAsia" w:ascii="微软雅黑" w:hAnsi="微软雅黑" w:cs="微软雅黑"/>
          <w:sz w:val="20"/>
          <w:szCs w:val="20"/>
          <w:lang w:eastAsia="zh-TW"/>
        </w:rPr>
        <w:t>出实质性响应是投标人的风险，有可能导致其投标被拒绝，或被认定为无效投标或被确定为投标无效。</w:t>
      </w:r>
    </w:p>
    <w:p>
      <w:pPr>
        <w:widowControl w:val="0"/>
        <w:numPr>
          <w:ilvl w:val="1"/>
          <w:numId w:val="16"/>
        </w:numPr>
        <w:autoSpaceDE w:val="0"/>
        <w:autoSpaceDN w:val="0"/>
        <w:spacing w:after="0" w:line="360" w:lineRule="auto"/>
        <w:rPr>
          <w:rFonts w:ascii="微软雅黑" w:hAnsi="微软雅黑" w:cs="微软雅黑"/>
          <w:sz w:val="20"/>
          <w:szCs w:val="20"/>
        </w:rPr>
      </w:pPr>
      <w:r>
        <w:rPr>
          <w:rFonts w:hint="eastAsia" w:ascii="微软雅黑" w:hAnsi="微软雅黑" w:cs="微软雅黑"/>
          <w:sz w:val="20"/>
          <w:szCs w:val="20"/>
        </w:rPr>
        <w:t>本</w:t>
      </w:r>
      <w:r>
        <w:rPr>
          <w:rFonts w:hint="eastAsia" w:ascii="微软雅黑" w:hAnsi="微软雅黑" w:cs="微软雅黑"/>
          <w:sz w:val="20"/>
          <w:szCs w:val="20"/>
          <w:lang w:eastAsia="zh-TW"/>
        </w:rPr>
        <w:t>招标文件的解释权归“</w:t>
      </w:r>
      <w:r>
        <w:rPr>
          <w:rFonts w:hint="eastAsia" w:ascii="微软雅黑" w:hAnsi="微软雅黑" w:cs="微软雅黑"/>
          <w:sz w:val="20"/>
          <w:szCs w:val="20"/>
        </w:rPr>
        <w:t>广州宝诚招标代理咨询有限公司</w:t>
      </w:r>
      <w:r>
        <w:rPr>
          <w:rFonts w:hint="eastAsia" w:ascii="微软雅黑" w:hAnsi="微软雅黑" w:cs="微软雅黑"/>
          <w:sz w:val="20"/>
          <w:szCs w:val="20"/>
          <w:lang w:eastAsia="zh-TW"/>
        </w:rPr>
        <w:t>”所有。</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30" w:name="_Toc453957390"/>
      <w:bookmarkStart w:id="1231" w:name="_Toc24291"/>
      <w:bookmarkStart w:id="1232" w:name="_Toc453956630"/>
      <w:r>
        <w:rPr>
          <w:rFonts w:hint="eastAsia" w:ascii="微软雅黑" w:hAnsi="微软雅黑" w:cs="微软雅黑"/>
          <w:b/>
          <w:bCs/>
          <w:sz w:val="20"/>
          <w:szCs w:val="20"/>
        </w:rPr>
        <w:t>招标文件的澄清</w:t>
      </w:r>
      <w:bookmarkEnd w:id="1230"/>
      <w:bookmarkEnd w:id="1231"/>
      <w:bookmarkEnd w:id="1232"/>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任何要求对招标文件进行澄清的投标人，均应以书面形式在投标截止时间十五日以前通知招标采购单位</w:t>
      </w:r>
      <w:r>
        <w:rPr>
          <w:rFonts w:hint="eastAsia" w:ascii="微软雅黑" w:hAnsi="微软雅黑" w:cs="微软雅黑"/>
          <w:sz w:val="20"/>
          <w:szCs w:val="20"/>
        </w:rPr>
        <w:t>。</w:t>
      </w:r>
      <w:r>
        <w:rPr>
          <w:rFonts w:hint="eastAsia" w:ascii="微软雅黑" w:hAnsi="微软雅黑" w:cs="微软雅黑"/>
          <w:sz w:val="20"/>
          <w:szCs w:val="20"/>
          <w:lang w:eastAsia="zh-TW"/>
        </w:rPr>
        <w:t>采购代理机构将组织采购人对投标人所要求澄清的内容均以书面形式予以答复</w:t>
      </w:r>
      <w:r>
        <w:rPr>
          <w:rFonts w:hint="eastAsia" w:ascii="微软雅黑" w:hAnsi="微软雅黑" w:cs="微软雅黑"/>
          <w:sz w:val="20"/>
          <w:szCs w:val="20"/>
        </w:rPr>
        <w:t>。</w:t>
      </w:r>
      <w:r>
        <w:rPr>
          <w:rFonts w:hint="eastAsia" w:ascii="微软雅黑" w:hAnsi="微软雅黑" w:cs="微软雅黑"/>
          <w:sz w:val="20"/>
          <w:szCs w:val="20"/>
          <w:lang w:eastAsia="zh-TW"/>
        </w:rPr>
        <w:t>必要时，招标采购单位将召开答疑会，并将会议内容以书面形式发给每个购买招标文件的潜在投标人</w:t>
      </w:r>
      <w:r>
        <w:rPr>
          <w:rFonts w:hint="eastAsia" w:ascii="微软雅黑" w:hAnsi="微软雅黑" w:cs="微软雅黑"/>
          <w:sz w:val="20"/>
          <w:szCs w:val="20"/>
        </w:rPr>
        <w:t>，</w:t>
      </w:r>
      <w:r>
        <w:rPr>
          <w:rFonts w:hint="eastAsia" w:ascii="微软雅黑" w:hAnsi="微软雅黑" w:cs="微软雅黑"/>
          <w:sz w:val="20"/>
          <w:szCs w:val="20"/>
          <w:lang w:eastAsia="zh-TW"/>
        </w:rPr>
        <w:t>答复中不包括问题的来源。</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投标人在规定的时间内未对招标文件提出澄清或疑问的，招标采购单位将视其为无异议。对招标文件中描述有歧意或前后不一致的地方，评标委员会有权进行评判，但对同一条款的评判应适用于每个投标人。</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除非依本须知第8.1规定的有</w:t>
      </w:r>
      <w:r>
        <w:rPr>
          <w:rFonts w:hint="eastAsia" w:ascii="微软雅黑" w:hAnsi="微软雅黑" w:cs="微软雅黑"/>
          <w:sz w:val="20"/>
          <w:szCs w:val="20"/>
          <w:lang w:eastAsia="zh-TW"/>
        </w:rPr>
        <w:t>必要时</w:t>
      </w:r>
      <w:r>
        <w:rPr>
          <w:rFonts w:hint="eastAsia" w:ascii="微软雅黑" w:hAnsi="微软雅黑" w:cs="微软雅黑"/>
          <w:sz w:val="20"/>
          <w:szCs w:val="20"/>
        </w:rPr>
        <w:t>或</w:t>
      </w:r>
      <w:r>
        <w:rPr>
          <w:rFonts w:hint="eastAsia" w:ascii="微软雅黑" w:hAnsi="微软雅黑" w:cs="微软雅黑"/>
          <w:b/>
          <w:sz w:val="20"/>
          <w:szCs w:val="20"/>
        </w:rPr>
        <w:t>投标资料表</w:t>
      </w:r>
      <w:r>
        <w:rPr>
          <w:rFonts w:hint="eastAsia" w:ascii="微软雅黑" w:hAnsi="微软雅黑" w:cs="微软雅黑"/>
          <w:sz w:val="20"/>
          <w:szCs w:val="20"/>
        </w:rPr>
        <w:t>中另有规定，不举行项目集中答疑会或现场考察，如举行集中答疑会或现场考察的，则按以下规定：</w:t>
      </w:r>
    </w:p>
    <w:p>
      <w:pPr>
        <w:widowControl w:val="0"/>
        <w:numPr>
          <w:ilvl w:val="2"/>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在</w:t>
      </w:r>
      <w:r>
        <w:rPr>
          <w:rFonts w:hint="eastAsia" w:ascii="微软雅黑" w:hAnsi="微软雅黑" w:cs="微软雅黑"/>
          <w:b/>
          <w:sz w:val="20"/>
          <w:szCs w:val="20"/>
          <w:lang w:eastAsia="zh-TW"/>
        </w:rPr>
        <w:t>投标资料表</w:t>
      </w:r>
      <w:r>
        <w:rPr>
          <w:rFonts w:hint="eastAsia" w:ascii="微软雅黑" w:hAnsi="微软雅黑" w:cs="微软雅黑"/>
          <w:sz w:val="20"/>
          <w:szCs w:val="20"/>
        </w:rPr>
        <w:t>中规定的日期、时间和地点组织公开答疑会或现场考察；</w:t>
      </w:r>
    </w:p>
    <w:p>
      <w:pPr>
        <w:widowControl w:val="0"/>
        <w:numPr>
          <w:ilvl w:val="2"/>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rPr>
        <w:t>潜在</w:t>
      </w:r>
      <w:r>
        <w:rPr>
          <w:rFonts w:hint="eastAsia" w:ascii="微软雅黑" w:hAnsi="微软雅黑" w:cs="微软雅黑"/>
          <w:sz w:val="20"/>
          <w:szCs w:val="20"/>
          <w:lang w:eastAsia="zh-TW"/>
        </w:rPr>
        <w:t>投标人对本项目提出的疑问，需在答疑会</w:t>
      </w:r>
      <w:r>
        <w:rPr>
          <w:rFonts w:hint="eastAsia" w:ascii="微软雅黑" w:hAnsi="微软雅黑" w:cs="微软雅黑"/>
          <w:sz w:val="20"/>
          <w:szCs w:val="20"/>
        </w:rPr>
        <w:t>或现场考察</w:t>
      </w:r>
      <w:r>
        <w:rPr>
          <w:rFonts w:hint="eastAsia" w:ascii="微软雅黑" w:hAnsi="微软雅黑" w:cs="微软雅黑"/>
          <w:sz w:val="20"/>
          <w:szCs w:val="20"/>
          <w:lang w:eastAsia="zh-TW"/>
        </w:rPr>
        <w:t>召开日前至少一个工作日将问题清单以书面</w:t>
      </w:r>
      <w:r>
        <w:rPr>
          <w:rFonts w:hint="eastAsia" w:ascii="微软雅黑" w:hAnsi="微软雅黑" w:cs="微软雅黑"/>
          <w:sz w:val="20"/>
          <w:szCs w:val="20"/>
        </w:rPr>
        <w:t>形式</w:t>
      </w:r>
      <w:r>
        <w:rPr>
          <w:rFonts w:hint="eastAsia" w:ascii="微软雅黑" w:hAnsi="微软雅黑" w:cs="微软雅黑"/>
          <w:sz w:val="20"/>
          <w:szCs w:val="20"/>
          <w:lang w:eastAsia="zh-TW"/>
        </w:rPr>
        <w:t>（加盖公章）提交至代理机构，</w:t>
      </w:r>
      <w:r>
        <w:rPr>
          <w:rFonts w:hint="eastAsia" w:ascii="微软雅黑" w:hAnsi="微软雅黑" w:cs="微软雅黑"/>
          <w:sz w:val="20"/>
          <w:szCs w:val="20"/>
        </w:rPr>
        <w:t>潜在</w:t>
      </w:r>
      <w:r>
        <w:rPr>
          <w:rFonts w:hint="eastAsia" w:ascii="微软雅黑" w:hAnsi="微软雅黑" w:cs="微软雅黑"/>
          <w:sz w:val="20"/>
          <w:szCs w:val="20"/>
          <w:lang w:eastAsia="zh-TW"/>
        </w:rPr>
        <w:t>投标人代表于上述的时间和地点出席答疑会</w:t>
      </w:r>
      <w:r>
        <w:rPr>
          <w:rFonts w:hint="eastAsia" w:ascii="微软雅黑" w:hAnsi="微软雅黑" w:cs="微软雅黑"/>
          <w:sz w:val="20"/>
          <w:szCs w:val="20"/>
        </w:rPr>
        <w:t>或现场考察；</w:t>
      </w:r>
    </w:p>
    <w:p>
      <w:pPr>
        <w:widowControl w:val="0"/>
        <w:numPr>
          <w:ilvl w:val="2"/>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已购买</w:t>
      </w:r>
      <w:r>
        <w:rPr>
          <w:rFonts w:hint="eastAsia" w:ascii="微软雅黑" w:hAnsi="微软雅黑" w:cs="微软雅黑"/>
          <w:sz w:val="20"/>
          <w:szCs w:val="20"/>
        </w:rPr>
        <w:t>招标</w:t>
      </w:r>
      <w:r>
        <w:rPr>
          <w:rFonts w:hint="eastAsia" w:ascii="微软雅黑" w:hAnsi="微软雅黑" w:cs="微软雅黑"/>
          <w:sz w:val="20"/>
          <w:szCs w:val="20"/>
          <w:lang w:eastAsia="zh-TW"/>
        </w:rPr>
        <w:t>文件的投标人如不出席答疑会</w:t>
      </w:r>
      <w:r>
        <w:rPr>
          <w:rFonts w:hint="eastAsia" w:ascii="微软雅黑" w:hAnsi="微软雅黑" w:cs="微软雅黑"/>
          <w:sz w:val="20"/>
          <w:szCs w:val="20"/>
        </w:rPr>
        <w:t>或现场考察</w:t>
      </w:r>
      <w:r>
        <w:rPr>
          <w:rFonts w:hint="eastAsia" w:ascii="微软雅黑" w:hAnsi="微软雅黑" w:cs="微软雅黑"/>
          <w:sz w:val="20"/>
          <w:szCs w:val="20"/>
          <w:lang w:eastAsia="zh-TW"/>
        </w:rPr>
        <w:t>视为对招标文件所有内容无任何异议。</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33" w:name="_Toc453957391"/>
      <w:bookmarkStart w:id="1234" w:name="_Toc12872"/>
      <w:bookmarkStart w:id="1235" w:name="_Toc453956631"/>
      <w:r>
        <w:rPr>
          <w:rFonts w:hint="eastAsia" w:ascii="微软雅黑" w:hAnsi="微软雅黑" w:cs="微软雅黑"/>
          <w:b/>
          <w:bCs/>
          <w:sz w:val="20"/>
          <w:szCs w:val="20"/>
        </w:rPr>
        <w:t>招标文件的修改</w:t>
      </w:r>
      <w:bookmarkEnd w:id="1233"/>
      <w:bookmarkEnd w:id="1234"/>
      <w:bookmarkEnd w:id="1235"/>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无论出于何种原因</w:t>
      </w:r>
      <w:r>
        <w:rPr>
          <w:rFonts w:hint="eastAsia" w:ascii="微软雅黑" w:hAnsi="微软雅黑" w:cs="微软雅黑"/>
          <w:sz w:val="20"/>
          <w:szCs w:val="20"/>
        </w:rPr>
        <w:t>，</w:t>
      </w:r>
      <w:r>
        <w:rPr>
          <w:rFonts w:hint="eastAsia" w:ascii="微软雅黑" w:hAnsi="微软雅黑" w:cs="微软雅黑"/>
          <w:sz w:val="20"/>
          <w:szCs w:val="20"/>
          <w:lang w:eastAsia="zh-TW"/>
        </w:rPr>
        <w:t>招标采购单位可主动地或在解答投标人提出的疑问时对招标文件进行修改</w:t>
      </w:r>
      <w:r>
        <w:rPr>
          <w:rFonts w:hint="eastAsia" w:ascii="微软雅黑" w:hAnsi="微软雅黑" w:cs="微软雅黑"/>
          <w:sz w:val="20"/>
          <w:szCs w:val="20"/>
        </w:rPr>
        <w:t>，</w:t>
      </w:r>
      <w:r>
        <w:rPr>
          <w:rFonts w:hint="eastAsia" w:ascii="微软雅黑" w:hAnsi="微软雅黑" w:cs="微软雅黑"/>
          <w:sz w:val="20"/>
          <w:szCs w:val="20"/>
          <w:lang w:eastAsia="zh-TW"/>
        </w:rPr>
        <w:t>招标采购单位对已发出的招标文件进行必要修改的，应当在招标文件</w:t>
      </w:r>
      <w:r>
        <w:rPr>
          <w:rFonts w:hint="eastAsia" w:ascii="微软雅黑" w:hAnsi="微软雅黑" w:cs="微软雅黑"/>
          <w:b/>
          <w:sz w:val="20"/>
          <w:szCs w:val="20"/>
        </w:rPr>
        <w:t>投标资料表</w:t>
      </w:r>
      <w:r>
        <w:rPr>
          <w:rFonts w:hint="eastAsia" w:ascii="微软雅黑" w:hAnsi="微软雅黑" w:cs="微软雅黑"/>
          <w:sz w:val="20"/>
          <w:szCs w:val="20"/>
          <w:lang w:eastAsia="zh-TW"/>
        </w:rPr>
        <w:t>中所述提交投标文件截止时间十五日前，在指定的采购信息发布媒体上发布更正公告</w:t>
      </w:r>
      <w:r>
        <w:rPr>
          <w:rFonts w:hint="eastAsia" w:ascii="微软雅黑" w:hAnsi="微软雅黑" w:cs="微软雅黑"/>
          <w:sz w:val="20"/>
          <w:szCs w:val="20"/>
        </w:rPr>
        <w:t>，</w:t>
      </w:r>
      <w:r>
        <w:rPr>
          <w:rFonts w:hint="eastAsia" w:ascii="微软雅黑" w:hAnsi="微软雅黑" w:cs="微软雅黑"/>
          <w:sz w:val="20"/>
          <w:szCs w:val="20"/>
          <w:lang w:eastAsia="zh-TW"/>
        </w:rPr>
        <w:t>并通知所有招标文件收受人。</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除投标资料表中另有规定，澄清或修改时间距投标截止时间不足十五</w:t>
      </w:r>
      <w:r>
        <w:rPr>
          <w:rFonts w:hint="eastAsia" w:ascii="微软雅黑" w:hAnsi="微软雅黑" w:cs="微软雅黑"/>
          <w:sz w:val="20"/>
          <w:szCs w:val="20"/>
        </w:rPr>
        <w:t>日</w:t>
      </w:r>
      <w:r>
        <w:rPr>
          <w:rFonts w:hint="eastAsia" w:ascii="微软雅黑" w:hAnsi="微软雅黑" w:cs="微软雅黑"/>
          <w:sz w:val="20"/>
          <w:szCs w:val="20"/>
          <w:lang w:eastAsia="zh-TW"/>
        </w:rPr>
        <w:t>的</w:t>
      </w:r>
      <w:r>
        <w:rPr>
          <w:rFonts w:hint="eastAsia" w:ascii="微软雅黑" w:hAnsi="微软雅黑" w:cs="微软雅黑"/>
          <w:sz w:val="20"/>
          <w:szCs w:val="20"/>
        </w:rPr>
        <w:t>，采购</w:t>
      </w:r>
      <w:r>
        <w:rPr>
          <w:rFonts w:hint="eastAsia" w:ascii="微软雅黑" w:hAnsi="微软雅黑" w:cs="微软雅黑"/>
          <w:sz w:val="20"/>
          <w:szCs w:val="20"/>
          <w:lang w:eastAsia="zh-TW"/>
        </w:rPr>
        <w:t>人或采购代理机构在征得已获取招标文件的潜在投标人同意并书面确认后，可不改变投标截止时间。</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招标文件的修改内容是招标文件的组成部分，将以书面形式通知所有购买招标文件的潜在投标人，并对潜在投标人具有约束力。潜在投标人在收到上述通知后</w:t>
      </w:r>
      <w:r>
        <w:rPr>
          <w:rFonts w:hint="eastAsia" w:ascii="微软雅黑" w:hAnsi="微软雅黑" w:cs="微软雅黑"/>
          <w:sz w:val="20"/>
          <w:szCs w:val="20"/>
        </w:rPr>
        <w:t>，</w:t>
      </w:r>
      <w:r>
        <w:rPr>
          <w:rFonts w:hint="eastAsia" w:ascii="微软雅黑" w:hAnsi="微软雅黑" w:cs="微软雅黑"/>
          <w:sz w:val="20"/>
          <w:szCs w:val="20"/>
          <w:lang w:eastAsia="zh-TW"/>
        </w:rPr>
        <w:t>应立即以书面形式向招标采购单位确认。如在24小时之内无书面回函则视为同意修改内容，并有责任履行相应的义务。</w:t>
      </w:r>
    </w:p>
    <w:p>
      <w:pPr>
        <w:spacing w:before="312" w:beforeLines="100" w:after="312" w:afterLines="100" w:line="360" w:lineRule="auto"/>
        <w:jc w:val="center"/>
        <w:outlineLvl w:val="0"/>
        <w:rPr>
          <w:rFonts w:ascii="宋体" w:hAnsi="宋体" w:cs="楷体_GB2312"/>
          <w:b/>
          <w:sz w:val="28"/>
          <w:szCs w:val="28"/>
          <w:lang w:eastAsia="zh-TW"/>
        </w:rPr>
      </w:pPr>
      <w:bookmarkStart w:id="1236" w:name="_Toc13949"/>
      <w:bookmarkStart w:id="1237" w:name="_Toc453956632"/>
      <w:bookmarkStart w:id="1238" w:name="_Toc453957392"/>
      <w:r>
        <w:rPr>
          <w:rFonts w:hint="eastAsia" w:ascii="宋体" w:hAnsi="宋体" w:cs="楷体_GB2312"/>
          <w:b/>
          <w:sz w:val="28"/>
          <w:szCs w:val="28"/>
          <w:lang w:eastAsia="zh-TW"/>
        </w:rPr>
        <w:t>三、投标文件的编制</w:t>
      </w:r>
      <w:bookmarkEnd w:id="1236"/>
      <w:bookmarkEnd w:id="1237"/>
      <w:bookmarkEnd w:id="1238"/>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39" w:name="_Toc453957393"/>
      <w:bookmarkStart w:id="1240" w:name="_Toc453956633"/>
      <w:bookmarkStart w:id="1241" w:name="_Toc11364"/>
      <w:r>
        <w:rPr>
          <w:rFonts w:hint="eastAsia" w:ascii="微软雅黑" w:hAnsi="微软雅黑" w:cs="微软雅黑"/>
          <w:b/>
          <w:bCs/>
          <w:sz w:val="20"/>
          <w:szCs w:val="20"/>
        </w:rPr>
        <w:t>投标的语言</w:t>
      </w:r>
      <w:bookmarkEnd w:id="1239"/>
      <w:bookmarkEnd w:id="1240"/>
      <w:bookmarkEnd w:id="1241"/>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投标人提交的投标文件以及投标人与招标采购单位就有关投标的所有来往函电均应使用中文书写</w:t>
      </w:r>
      <w:r>
        <w:rPr>
          <w:rFonts w:hint="eastAsia" w:ascii="微软雅黑" w:hAnsi="微软雅黑" w:cs="微软雅黑"/>
          <w:sz w:val="20"/>
          <w:szCs w:val="20"/>
        </w:rPr>
        <w:t>。投</w:t>
      </w:r>
      <w:r>
        <w:rPr>
          <w:rFonts w:hint="eastAsia" w:ascii="微软雅黑" w:hAnsi="微软雅黑" w:cs="微软雅黑"/>
          <w:sz w:val="20"/>
          <w:szCs w:val="20"/>
          <w:lang w:eastAsia="zh-TW"/>
        </w:rPr>
        <w:t>标人提交的支持资料和</w:t>
      </w:r>
      <w:r>
        <w:rPr>
          <w:rFonts w:hint="eastAsia" w:ascii="微软雅黑" w:hAnsi="微软雅黑" w:cs="微软雅黑"/>
          <w:sz w:val="20"/>
          <w:szCs w:val="20"/>
        </w:rPr>
        <w:t>已</w:t>
      </w:r>
      <w:r>
        <w:rPr>
          <w:rFonts w:hint="eastAsia" w:ascii="微软雅黑" w:hAnsi="微软雅黑" w:cs="微软雅黑"/>
          <w:sz w:val="20"/>
          <w:szCs w:val="20"/>
          <w:lang w:eastAsia="zh-TW"/>
        </w:rPr>
        <w:t>刷的文献可以用另一种语言</w:t>
      </w:r>
      <w:r>
        <w:rPr>
          <w:rFonts w:hint="eastAsia" w:ascii="微软雅黑" w:hAnsi="微软雅黑" w:cs="微软雅黑"/>
          <w:sz w:val="20"/>
          <w:szCs w:val="20"/>
        </w:rPr>
        <w:t>，</w:t>
      </w:r>
      <w:r>
        <w:rPr>
          <w:rFonts w:hint="eastAsia" w:ascii="微软雅黑" w:hAnsi="微软雅黑" w:cs="微软雅黑"/>
          <w:sz w:val="20"/>
          <w:szCs w:val="20"/>
          <w:lang w:eastAsia="zh-TW"/>
        </w:rPr>
        <w:t>但相应内容应附有中文翻译本</w:t>
      </w:r>
      <w:r>
        <w:rPr>
          <w:rFonts w:hint="eastAsia" w:ascii="微软雅黑" w:hAnsi="微软雅黑" w:cs="微软雅黑"/>
          <w:sz w:val="20"/>
          <w:szCs w:val="20"/>
        </w:rPr>
        <w:t>，</w:t>
      </w:r>
      <w:r>
        <w:rPr>
          <w:rFonts w:hint="eastAsia" w:ascii="微软雅黑" w:hAnsi="微软雅黑" w:cs="微软雅黑"/>
          <w:sz w:val="20"/>
          <w:szCs w:val="20"/>
          <w:lang w:eastAsia="zh-TW"/>
        </w:rPr>
        <w:t>在解释投标文件的修改内容时以中文翻译本为准。对中文翻译有异议的</w:t>
      </w:r>
      <w:r>
        <w:rPr>
          <w:rFonts w:hint="eastAsia" w:ascii="微软雅黑" w:hAnsi="微软雅黑" w:cs="微软雅黑"/>
          <w:sz w:val="20"/>
          <w:szCs w:val="20"/>
        </w:rPr>
        <w:t>，</w:t>
      </w:r>
      <w:r>
        <w:rPr>
          <w:rFonts w:hint="eastAsia" w:ascii="微软雅黑" w:hAnsi="微软雅黑" w:cs="微软雅黑"/>
          <w:sz w:val="20"/>
          <w:szCs w:val="20"/>
          <w:lang w:eastAsia="zh-TW"/>
        </w:rPr>
        <w:t>以权威机构的译本为准。</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42" w:name="_Toc453956634"/>
      <w:bookmarkStart w:id="1243" w:name="_Toc2575"/>
      <w:bookmarkStart w:id="1244" w:name="_Toc453957394"/>
      <w:r>
        <w:rPr>
          <w:rFonts w:hint="eastAsia" w:ascii="微软雅黑" w:hAnsi="微软雅黑" w:cs="微软雅黑"/>
          <w:b/>
          <w:bCs/>
          <w:sz w:val="20"/>
          <w:szCs w:val="20"/>
        </w:rPr>
        <w:t>投标文件的构成</w:t>
      </w:r>
      <w:bookmarkEnd w:id="1242"/>
      <w:bookmarkEnd w:id="1243"/>
      <w:bookmarkEnd w:id="1244"/>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投标人编写的投标文件应包括初审文件、技术文件、商务文件，编排顺序参见投标文件格式。</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投标文件的构成应符合法律法规及招标文件的要求。</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45" w:name="_Toc293507813"/>
      <w:bookmarkEnd w:id="1245"/>
      <w:bookmarkStart w:id="1246" w:name="_Toc293507617"/>
      <w:bookmarkEnd w:id="1246"/>
      <w:bookmarkStart w:id="1247" w:name="_Toc293507709"/>
      <w:bookmarkEnd w:id="1247"/>
      <w:bookmarkStart w:id="1248" w:name="_Toc293506670"/>
      <w:bookmarkEnd w:id="1248"/>
      <w:bookmarkStart w:id="1249" w:name="_Toc293506731"/>
      <w:bookmarkEnd w:id="1249"/>
      <w:bookmarkStart w:id="1250" w:name="_Toc293507812"/>
      <w:bookmarkEnd w:id="1250"/>
      <w:bookmarkStart w:id="1251" w:name="_Toc293507707"/>
      <w:bookmarkEnd w:id="1251"/>
      <w:bookmarkStart w:id="1252" w:name="_Toc293507615"/>
      <w:bookmarkEnd w:id="1252"/>
      <w:bookmarkStart w:id="1253" w:name="_Toc293507708"/>
      <w:bookmarkEnd w:id="1253"/>
      <w:bookmarkStart w:id="1254" w:name="_Toc293506732"/>
      <w:bookmarkEnd w:id="1254"/>
      <w:bookmarkStart w:id="1255" w:name="_Toc293507710"/>
      <w:bookmarkEnd w:id="1255"/>
      <w:bookmarkStart w:id="1256" w:name="_Toc293506730"/>
      <w:bookmarkEnd w:id="1256"/>
      <w:bookmarkStart w:id="1257" w:name="_Toc293507815"/>
      <w:bookmarkEnd w:id="1257"/>
      <w:bookmarkStart w:id="1258" w:name="_Toc293506671"/>
      <w:bookmarkEnd w:id="1258"/>
      <w:bookmarkStart w:id="1259" w:name="_Toc293507814"/>
      <w:bookmarkEnd w:id="1259"/>
      <w:bookmarkStart w:id="1260" w:name="_Toc293507706"/>
      <w:bookmarkEnd w:id="1260"/>
      <w:bookmarkStart w:id="1261" w:name="_Toc293506733"/>
      <w:bookmarkEnd w:id="1261"/>
      <w:bookmarkStart w:id="1262" w:name="_Toc293506729"/>
      <w:bookmarkEnd w:id="1262"/>
      <w:bookmarkStart w:id="1263" w:name="_Toc294000378"/>
      <w:bookmarkEnd w:id="1263"/>
      <w:bookmarkStart w:id="1264" w:name="_Toc293507616"/>
      <w:bookmarkEnd w:id="1264"/>
      <w:bookmarkStart w:id="1265" w:name="_Toc293507816"/>
      <w:bookmarkEnd w:id="1265"/>
      <w:bookmarkStart w:id="1266" w:name="_Toc294000379"/>
      <w:bookmarkEnd w:id="1266"/>
      <w:bookmarkStart w:id="1267" w:name="_Toc293507614"/>
      <w:bookmarkEnd w:id="1267"/>
      <w:bookmarkStart w:id="1268" w:name="_Toc294000376"/>
      <w:bookmarkEnd w:id="1268"/>
      <w:bookmarkStart w:id="1269" w:name="_Toc294000380"/>
      <w:bookmarkEnd w:id="1269"/>
      <w:bookmarkStart w:id="1270" w:name="_Toc294000377"/>
      <w:bookmarkEnd w:id="1270"/>
      <w:bookmarkStart w:id="1271" w:name="_Toc293506669"/>
      <w:bookmarkEnd w:id="1271"/>
      <w:bookmarkStart w:id="1272" w:name="_Toc293506673"/>
      <w:bookmarkEnd w:id="1272"/>
      <w:bookmarkStart w:id="1273" w:name="_Toc293506672"/>
      <w:bookmarkEnd w:id="1273"/>
      <w:bookmarkStart w:id="1274" w:name="_Toc293507613"/>
      <w:bookmarkEnd w:id="1274"/>
      <w:bookmarkStart w:id="1275" w:name="_Toc7707"/>
      <w:bookmarkStart w:id="1276" w:name="_Toc453957395"/>
      <w:bookmarkStart w:id="1277" w:name="_Toc453956635"/>
      <w:r>
        <w:rPr>
          <w:rFonts w:hint="eastAsia" w:ascii="微软雅黑" w:hAnsi="微软雅黑" w:cs="微软雅黑"/>
          <w:b/>
          <w:bCs/>
          <w:sz w:val="20"/>
          <w:szCs w:val="20"/>
        </w:rPr>
        <w:t>投标文件的编写</w:t>
      </w:r>
      <w:bookmarkEnd w:id="1275"/>
      <w:bookmarkEnd w:id="1276"/>
      <w:bookmarkEnd w:id="1277"/>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投标人应完整</w:t>
      </w:r>
      <w:r>
        <w:rPr>
          <w:rFonts w:hint="eastAsia" w:ascii="微软雅黑" w:hAnsi="微软雅黑" w:cs="微软雅黑"/>
          <w:sz w:val="20"/>
          <w:szCs w:val="20"/>
        </w:rPr>
        <w:t>、真实、准确</w:t>
      </w:r>
      <w:r>
        <w:rPr>
          <w:rFonts w:hint="eastAsia" w:ascii="微软雅黑" w:hAnsi="微软雅黑" w:cs="微软雅黑"/>
          <w:sz w:val="20"/>
          <w:szCs w:val="20"/>
          <w:lang w:eastAsia="zh-TW"/>
        </w:rPr>
        <w:t>地填写招标文件中提供的投标</w:t>
      </w:r>
      <w:r>
        <w:rPr>
          <w:rFonts w:hint="eastAsia" w:ascii="微软雅黑" w:hAnsi="微软雅黑" w:cs="微软雅黑"/>
          <w:sz w:val="20"/>
          <w:szCs w:val="20"/>
        </w:rPr>
        <w:t>函</w:t>
      </w:r>
      <w:r>
        <w:rPr>
          <w:rFonts w:hint="eastAsia" w:ascii="微软雅黑" w:hAnsi="微软雅黑" w:cs="微软雅黑"/>
          <w:sz w:val="20"/>
          <w:szCs w:val="20"/>
          <w:lang w:eastAsia="zh-TW"/>
        </w:rPr>
        <w:t>、开标一览表(报价表)、</w:t>
      </w:r>
      <w:r>
        <w:rPr>
          <w:rFonts w:hint="eastAsia" w:ascii="微软雅黑" w:hAnsi="微软雅黑" w:cs="微软雅黑"/>
          <w:sz w:val="20"/>
          <w:szCs w:val="20"/>
        </w:rPr>
        <w:t>项目价格明细表</w:t>
      </w:r>
      <w:r>
        <w:rPr>
          <w:rFonts w:hint="eastAsia" w:ascii="微软雅黑" w:hAnsi="微软雅黑" w:cs="微软雅黑"/>
          <w:sz w:val="20"/>
          <w:szCs w:val="20"/>
          <w:lang w:eastAsia="zh-TW"/>
        </w:rPr>
        <w:t>（如适用）以及招标文件中规定的其它所有内容。</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投标人对招标文件中多个</w:t>
      </w:r>
      <w:r>
        <w:rPr>
          <w:rFonts w:hint="eastAsia" w:ascii="微软雅黑" w:hAnsi="微软雅黑" w:cs="微软雅黑"/>
          <w:sz w:val="20"/>
          <w:szCs w:val="20"/>
        </w:rPr>
        <w:t>包组</w:t>
      </w:r>
      <w:r>
        <w:rPr>
          <w:rFonts w:hint="eastAsia" w:ascii="微软雅黑" w:hAnsi="微软雅黑" w:cs="微软雅黑"/>
          <w:sz w:val="20"/>
          <w:szCs w:val="20"/>
          <w:lang w:eastAsia="zh-TW"/>
        </w:rPr>
        <w:t>进行投标的</w:t>
      </w:r>
      <w:r>
        <w:rPr>
          <w:rFonts w:hint="eastAsia" w:ascii="微软雅黑" w:hAnsi="微软雅黑" w:cs="微软雅黑"/>
          <w:sz w:val="20"/>
          <w:szCs w:val="20"/>
        </w:rPr>
        <w:t>，</w:t>
      </w:r>
      <w:r>
        <w:rPr>
          <w:rFonts w:hint="eastAsia" w:ascii="微软雅黑" w:hAnsi="微软雅黑" w:cs="微软雅黑"/>
          <w:sz w:val="20"/>
          <w:szCs w:val="20"/>
          <w:lang w:eastAsia="zh-TW"/>
        </w:rPr>
        <w:t>其投标文件的编制</w:t>
      </w:r>
      <w:r>
        <w:rPr>
          <w:rFonts w:hint="eastAsia" w:ascii="微软雅黑" w:hAnsi="微软雅黑" w:cs="微软雅黑"/>
          <w:sz w:val="20"/>
          <w:szCs w:val="20"/>
        </w:rPr>
        <w:t>可按</w:t>
      </w:r>
      <w:r>
        <w:rPr>
          <w:rFonts w:hint="eastAsia" w:ascii="微软雅黑" w:hAnsi="微软雅黑" w:cs="微软雅黑"/>
          <w:sz w:val="20"/>
          <w:szCs w:val="20"/>
          <w:lang w:eastAsia="zh-TW"/>
        </w:rPr>
        <w:t>每个</w:t>
      </w:r>
      <w:r>
        <w:rPr>
          <w:rFonts w:hint="eastAsia" w:ascii="微软雅黑" w:hAnsi="微软雅黑" w:cs="微软雅黑"/>
          <w:sz w:val="20"/>
          <w:szCs w:val="20"/>
        </w:rPr>
        <w:t>包组</w:t>
      </w:r>
      <w:r>
        <w:rPr>
          <w:rFonts w:hint="eastAsia" w:ascii="微软雅黑" w:hAnsi="微软雅黑" w:cs="微软雅黑"/>
          <w:sz w:val="20"/>
          <w:szCs w:val="20"/>
          <w:lang w:eastAsia="zh-TW"/>
        </w:rPr>
        <w:t>的要求分别装订和封装。投标人应当对投标文件进行装订，对未经装订的投标文件可能发生的文件散落或缺损，由此造成的后果</w:t>
      </w:r>
      <w:r>
        <w:rPr>
          <w:rFonts w:hint="eastAsia" w:ascii="微软雅黑" w:hAnsi="微软雅黑" w:cs="微软雅黑"/>
          <w:sz w:val="20"/>
          <w:szCs w:val="20"/>
        </w:rPr>
        <w:t>和</w:t>
      </w:r>
      <w:r>
        <w:rPr>
          <w:rFonts w:hint="eastAsia" w:ascii="微软雅黑" w:hAnsi="微软雅黑" w:cs="微软雅黑"/>
          <w:sz w:val="20"/>
          <w:szCs w:val="20"/>
          <w:lang w:eastAsia="zh-TW"/>
        </w:rPr>
        <w:t>责任由投标人承担</w:t>
      </w:r>
      <w:r>
        <w:rPr>
          <w:rFonts w:hint="eastAsia" w:ascii="微软雅黑" w:hAnsi="微软雅黑" w:cs="微软雅黑"/>
          <w:sz w:val="20"/>
          <w:szCs w:val="20"/>
        </w:rPr>
        <w:t>。</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投标人必须对投标文件所提供的全部资料的真实性承担法律责任，并无条件接受招标采购单位及采购监督管理部门等对其中任何资料进行核实的要求。</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如果因为投标人</w:t>
      </w:r>
      <w:r>
        <w:rPr>
          <w:rFonts w:hint="eastAsia" w:ascii="微软雅黑" w:hAnsi="微软雅黑" w:cs="微软雅黑"/>
          <w:sz w:val="20"/>
          <w:szCs w:val="20"/>
        </w:rPr>
        <w:t>的</w:t>
      </w:r>
      <w:r>
        <w:rPr>
          <w:rFonts w:hint="eastAsia" w:ascii="微软雅黑" w:hAnsi="微软雅黑" w:cs="微软雅黑"/>
          <w:sz w:val="20"/>
          <w:szCs w:val="20"/>
          <w:lang w:eastAsia="zh-TW"/>
        </w:rPr>
        <w:t>投标文件只填写和提供了本</w:t>
      </w:r>
      <w:r>
        <w:rPr>
          <w:rFonts w:hint="eastAsia" w:ascii="微软雅黑" w:hAnsi="微软雅黑" w:cs="微软雅黑"/>
          <w:sz w:val="20"/>
          <w:szCs w:val="20"/>
        </w:rPr>
        <w:t>招标</w:t>
      </w:r>
      <w:r>
        <w:rPr>
          <w:rFonts w:hint="eastAsia" w:ascii="微软雅黑" w:hAnsi="微软雅黑" w:cs="微软雅黑"/>
          <w:sz w:val="20"/>
          <w:szCs w:val="20"/>
          <w:lang w:eastAsia="zh-TW"/>
        </w:rPr>
        <w:t>文件要求的部分内容和附件，或没有提供招标文件中所要求的全部资料及数据，由此造成的后果</w:t>
      </w:r>
      <w:r>
        <w:rPr>
          <w:rFonts w:hint="eastAsia" w:ascii="微软雅黑" w:hAnsi="微软雅黑" w:cs="微软雅黑"/>
          <w:sz w:val="20"/>
          <w:szCs w:val="20"/>
        </w:rPr>
        <w:t>和</w:t>
      </w:r>
      <w:r>
        <w:rPr>
          <w:rFonts w:hint="eastAsia" w:ascii="微软雅黑" w:hAnsi="微软雅黑" w:cs="微软雅黑"/>
          <w:sz w:val="20"/>
          <w:szCs w:val="20"/>
          <w:lang w:eastAsia="zh-TW"/>
        </w:rPr>
        <w:t>责任由投标人承担</w:t>
      </w:r>
      <w:r>
        <w:rPr>
          <w:rFonts w:hint="eastAsia" w:ascii="微软雅黑" w:hAnsi="微软雅黑" w:cs="微软雅黑"/>
          <w:sz w:val="20"/>
          <w:szCs w:val="20"/>
        </w:rPr>
        <w:t>。</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78" w:name="_Toc22847"/>
      <w:bookmarkStart w:id="1279" w:name="_Toc453957396"/>
      <w:bookmarkStart w:id="1280" w:name="_Toc453956636"/>
      <w:r>
        <w:rPr>
          <w:rFonts w:hint="eastAsia" w:ascii="微软雅黑" w:hAnsi="微软雅黑" w:cs="微软雅黑"/>
          <w:b/>
          <w:bCs/>
          <w:sz w:val="20"/>
          <w:szCs w:val="20"/>
        </w:rPr>
        <w:t>投标货币</w:t>
      </w:r>
      <w:bookmarkEnd w:id="1278"/>
      <w:bookmarkEnd w:id="1279"/>
      <w:bookmarkEnd w:id="1280"/>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投标人所提供的货物均应以人民币报价。</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81" w:name="_Toc453957397"/>
      <w:bookmarkStart w:id="1282" w:name="_Toc1703"/>
      <w:bookmarkStart w:id="1283" w:name="_Toc453956637"/>
      <w:r>
        <w:rPr>
          <w:rFonts w:hint="eastAsia" w:ascii="微软雅黑" w:hAnsi="微软雅黑" w:cs="微软雅黑"/>
          <w:b/>
          <w:bCs/>
          <w:sz w:val="20"/>
          <w:szCs w:val="20"/>
        </w:rPr>
        <w:t>联合体投标</w:t>
      </w:r>
      <w:bookmarkEnd w:id="1281"/>
      <w:bookmarkEnd w:id="1282"/>
      <w:bookmarkEnd w:id="1283"/>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rPr>
        <w:t>除非</w:t>
      </w:r>
      <w:r>
        <w:rPr>
          <w:rFonts w:hint="eastAsia" w:ascii="微软雅黑" w:hAnsi="微软雅黑" w:cs="微软雅黑"/>
          <w:b/>
          <w:sz w:val="20"/>
          <w:szCs w:val="20"/>
        </w:rPr>
        <w:t>投标邀请</w:t>
      </w:r>
      <w:r>
        <w:rPr>
          <w:rFonts w:hint="eastAsia" w:ascii="微软雅黑" w:hAnsi="微软雅黑" w:cs="微软雅黑"/>
          <w:sz w:val="20"/>
          <w:szCs w:val="20"/>
        </w:rPr>
        <w:t>中另有规定，不接受联合体投标。如果投标邀请中规定允许联合体投标的，则必须满足：</w:t>
      </w:r>
    </w:p>
    <w:p>
      <w:pPr>
        <w:widowControl w:val="0"/>
        <w:numPr>
          <w:ilvl w:val="2"/>
          <w:numId w:val="16"/>
        </w:numPr>
        <w:tabs>
          <w:tab w:val="left" w:pos="851"/>
          <w:tab w:val="left" w:pos="1134"/>
        </w:tabs>
        <w:autoSpaceDE w:val="0"/>
        <w:autoSpaceDN w:val="0"/>
        <w:spacing w:after="0" w:line="360" w:lineRule="auto"/>
        <w:ind w:left="851" w:hanging="851"/>
        <w:jc w:val="both"/>
        <w:rPr>
          <w:rFonts w:ascii="微软雅黑" w:hAnsi="微软雅黑" w:cs="微软雅黑"/>
          <w:sz w:val="20"/>
          <w:szCs w:val="20"/>
        </w:rPr>
      </w:pPr>
      <w:r>
        <w:rPr>
          <w:rFonts w:hint="eastAsia" w:ascii="微软雅黑" w:hAnsi="微软雅黑" w:cs="微软雅黑"/>
          <w:sz w:val="20"/>
          <w:szCs w:val="20"/>
        </w:rPr>
        <w:t xml:space="preserve">以联合体形式参加投标的，联合体各方均必须符合本须知“合格的投标人”的一般规定，并至少有一方符合“合格的投标人”的特殊条款要求； </w:t>
      </w:r>
    </w:p>
    <w:p>
      <w:pPr>
        <w:widowControl w:val="0"/>
        <w:numPr>
          <w:ilvl w:val="2"/>
          <w:numId w:val="16"/>
        </w:numPr>
        <w:tabs>
          <w:tab w:val="left" w:pos="851"/>
          <w:tab w:val="left" w:pos="1134"/>
        </w:tabs>
        <w:autoSpaceDE w:val="0"/>
        <w:autoSpaceDN w:val="0"/>
        <w:spacing w:after="0" w:line="360" w:lineRule="auto"/>
        <w:ind w:left="851" w:hanging="851"/>
        <w:jc w:val="both"/>
        <w:rPr>
          <w:rFonts w:ascii="微软雅黑" w:hAnsi="微软雅黑" w:cs="微软雅黑"/>
          <w:sz w:val="20"/>
          <w:szCs w:val="20"/>
        </w:rPr>
      </w:pPr>
      <w:r>
        <w:rPr>
          <w:rFonts w:hint="eastAsia" w:ascii="微软雅黑" w:hAnsi="微软雅黑" w:cs="微软雅黑"/>
          <w:sz w:val="20"/>
          <w:szCs w:val="20"/>
        </w:rPr>
        <w:t>联合体投标的，必须提供各方签订的共同投标协议，明确约定各方承担的工作和相应的责任，由同一专业的单位组成的联合体，按照同一资质等级较低的单位确定资质等级。联合体各方签订共同投标协议后，不得再以自己名义单独在同一项目（或包组）中投标，也不得组成新的联合体参加同一项目（或包组）投标；</w:t>
      </w:r>
    </w:p>
    <w:p>
      <w:pPr>
        <w:widowControl w:val="0"/>
        <w:numPr>
          <w:ilvl w:val="2"/>
          <w:numId w:val="16"/>
        </w:numPr>
        <w:tabs>
          <w:tab w:val="left" w:pos="851"/>
          <w:tab w:val="left" w:pos="1134"/>
        </w:tabs>
        <w:autoSpaceDE w:val="0"/>
        <w:autoSpaceDN w:val="0"/>
        <w:spacing w:after="0" w:line="360" w:lineRule="auto"/>
        <w:ind w:left="851" w:hanging="851"/>
        <w:jc w:val="both"/>
        <w:rPr>
          <w:rFonts w:ascii="微软雅黑" w:hAnsi="微软雅黑" w:cs="微软雅黑"/>
          <w:sz w:val="20"/>
          <w:szCs w:val="20"/>
        </w:rPr>
      </w:pPr>
      <w:r>
        <w:rPr>
          <w:rFonts w:hint="eastAsia" w:ascii="微软雅黑" w:hAnsi="微软雅黑" w:cs="微软雅黑"/>
          <w:sz w:val="20"/>
          <w:szCs w:val="20"/>
        </w:rPr>
        <w:t>联合体投标的，可以由联合体中的一方或者共同提交投标保证金，以一方名义提交投标保证金的，对联合体各方均具有约束力；</w:t>
      </w:r>
    </w:p>
    <w:p>
      <w:pPr>
        <w:widowControl w:val="0"/>
        <w:numPr>
          <w:ilvl w:val="2"/>
          <w:numId w:val="16"/>
        </w:numPr>
        <w:tabs>
          <w:tab w:val="left" w:pos="851"/>
          <w:tab w:val="left" w:pos="1134"/>
        </w:tabs>
        <w:autoSpaceDE w:val="0"/>
        <w:autoSpaceDN w:val="0"/>
        <w:spacing w:after="0" w:line="360" w:lineRule="auto"/>
        <w:ind w:left="851" w:hanging="851"/>
        <w:jc w:val="both"/>
        <w:rPr>
          <w:rFonts w:ascii="微软雅黑" w:hAnsi="微软雅黑" w:cs="微软雅黑"/>
          <w:sz w:val="20"/>
          <w:szCs w:val="20"/>
        </w:rPr>
      </w:pPr>
      <w:r>
        <w:rPr>
          <w:rFonts w:hint="eastAsia" w:ascii="微软雅黑" w:hAnsi="微软雅黑" w:cs="微软雅黑"/>
          <w:sz w:val="20"/>
          <w:szCs w:val="20"/>
        </w:rPr>
        <w:t>联合体中标的，联合体各方应当共同与采购人签订合同。</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84" w:name="_Toc21475"/>
      <w:r>
        <w:rPr>
          <w:rFonts w:hint="eastAsia" w:ascii="微软雅黑" w:hAnsi="微软雅黑" w:cs="微软雅黑"/>
          <w:b/>
          <w:bCs/>
          <w:sz w:val="20"/>
          <w:szCs w:val="20"/>
        </w:rPr>
        <w:t>关于关联企业</w:t>
      </w:r>
      <w:bookmarkEnd w:id="1284"/>
    </w:p>
    <w:p>
      <w:pPr>
        <w:widowControl w:val="0"/>
        <w:numPr>
          <w:ilvl w:val="2"/>
          <w:numId w:val="16"/>
        </w:numPr>
        <w:tabs>
          <w:tab w:val="left" w:pos="851"/>
          <w:tab w:val="left" w:pos="1134"/>
        </w:tabs>
        <w:autoSpaceDE w:val="0"/>
        <w:autoSpaceDN w:val="0"/>
        <w:spacing w:after="0" w:line="360" w:lineRule="auto"/>
        <w:ind w:left="851" w:hanging="851"/>
        <w:jc w:val="both"/>
        <w:rPr>
          <w:rFonts w:ascii="微软雅黑" w:hAnsi="微软雅黑" w:cs="微软雅黑"/>
          <w:sz w:val="20"/>
          <w:szCs w:val="20"/>
        </w:rPr>
      </w:pPr>
      <w:bookmarkStart w:id="1285" w:name="_Toc134955409"/>
      <w:bookmarkStart w:id="1286" w:name="_Toc127930780"/>
      <w:r>
        <w:rPr>
          <w:rFonts w:hint="eastAsia" w:ascii="微软雅黑" w:hAnsi="微软雅黑" w:cs="微软雅黑"/>
          <w:sz w:val="20"/>
          <w:szCs w:val="20"/>
        </w:rPr>
        <w:t>除联合体外，法定代表人或单位负责人为同一个人或者存在直接控股、管理关系的不同投标人，不得同时参加同一项目或同一子项目的投标。如同时参加，则评审时将同时被拒绝。</w:t>
      </w:r>
      <w:bookmarkEnd w:id="1285"/>
      <w:bookmarkEnd w:id="1286"/>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87" w:name="_Toc22018"/>
      <w:r>
        <w:rPr>
          <w:rFonts w:hint="eastAsia" w:ascii="微软雅黑" w:hAnsi="微软雅黑" w:cs="微软雅黑"/>
          <w:b/>
          <w:bCs/>
          <w:sz w:val="20"/>
          <w:szCs w:val="20"/>
        </w:rPr>
        <w:t>关于分公司投标</w:t>
      </w:r>
      <w:bookmarkEnd w:id="1287"/>
      <w:r>
        <w:rPr>
          <w:rFonts w:hint="eastAsia" w:ascii="微软雅黑" w:hAnsi="微软雅黑" w:cs="微软雅黑"/>
          <w:b/>
          <w:bCs/>
          <w:sz w:val="20"/>
          <w:szCs w:val="20"/>
        </w:rPr>
        <w:t xml:space="preserve"> </w:t>
      </w:r>
    </w:p>
    <w:p>
      <w:pPr>
        <w:widowControl w:val="0"/>
        <w:numPr>
          <w:ilvl w:val="2"/>
          <w:numId w:val="16"/>
        </w:numPr>
        <w:tabs>
          <w:tab w:val="left" w:pos="851"/>
          <w:tab w:val="left" w:pos="1134"/>
        </w:tabs>
        <w:autoSpaceDE w:val="0"/>
        <w:autoSpaceDN w:val="0"/>
        <w:spacing w:after="0" w:line="360" w:lineRule="auto"/>
        <w:ind w:left="851" w:hanging="851"/>
        <w:jc w:val="both"/>
        <w:rPr>
          <w:rFonts w:ascii="微软雅黑" w:hAnsi="微软雅黑" w:cs="微软雅黑"/>
          <w:sz w:val="20"/>
          <w:szCs w:val="20"/>
        </w:rPr>
      </w:pPr>
      <w:bookmarkStart w:id="1288" w:name="EB389f116341dd4693875bc7987e7327f3"/>
      <w:r>
        <w:rPr>
          <w:rFonts w:hint="eastAsia" w:ascii="微软雅黑" w:hAnsi="微软雅黑" w:cs="微软雅黑"/>
          <w:sz w:val="20"/>
          <w:szCs w:val="20"/>
        </w:rPr>
        <w:t>对可接受分公司投标的项目，分公司投标的，需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bookmarkEnd w:id="1288"/>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89" w:name="_Toc5025"/>
      <w:r>
        <w:rPr>
          <w:rFonts w:hint="eastAsia" w:ascii="微软雅黑" w:hAnsi="微软雅黑" w:cs="微软雅黑"/>
          <w:b/>
          <w:bCs/>
          <w:sz w:val="20"/>
          <w:szCs w:val="20"/>
        </w:rPr>
        <w:t>关于提供前期服务的投标人</w:t>
      </w:r>
      <w:bookmarkEnd w:id="1289"/>
    </w:p>
    <w:p>
      <w:pPr>
        <w:widowControl w:val="0"/>
        <w:numPr>
          <w:ilvl w:val="2"/>
          <w:numId w:val="16"/>
        </w:numPr>
        <w:tabs>
          <w:tab w:val="left" w:pos="851"/>
          <w:tab w:val="left" w:pos="1134"/>
        </w:tabs>
        <w:autoSpaceDE w:val="0"/>
        <w:autoSpaceDN w:val="0"/>
        <w:spacing w:after="0" w:line="360" w:lineRule="auto"/>
        <w:ind w:left="851" w:hanging="851"/>
        <w:jc w:val="both"/>
        <w:rPr>
          <w:rFonts w:ascii="微软雅黑" w:hAnsi="微软雅黑" w:cs="微软雅黑"/>
          <w:sz w:val="20"/>
          <w:szCs w:val="20"/>
        </w:rPr>
      </w:pPr>
      <w:r>
        <w:rPr>
          <w:rFonts w:hint="eastAsia" w:ascii="微软雅黑" w:hAnsi="微软雅黑" w:cs="微软雅黑"/>
          <w:sz w:val="20"/>
          <w:szCs w:val="20"/>
        </w:rPr>
        <w:t>为采购项目提供整体设计、规范编制或者项目管理、监理、检测等服务的投标人，不得再参加该采购项目的其他采购活动。</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90" w:name="_Toc19073"/>
      <w:r>
        <w:rPr>
          <w:rFonts w:hint="eastAsia" w:ascii="微软雅黑" w:hAnsi="微软雅黑" w:cs="微软雅黑"/>
          <w:b/>
          <w:bCs/>
          <w:sz w:val="20"/>
          <w:szCs w:val="20"/>
        </w:rPr>
        <w:t>证明投标人合格和资格的文件</w:t>
      </w:r>
      <w:bookmarkEnd w:id="1290"/>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投标人应提交证明其有资格参加投标和中标后有能力履行合同的文件</w:t>
      </w:r>
      <w:r>
        <w:rPr>
          <w:rFonts w:hint="eastAsia" w:ascii="微软雅黑" w:hAnsi="微软雅黑" w:cs="微软雅黑"/>
          <w:sz w:val="20"/>
          <w:szCs w:val="20"/>
        </w:rPr>
        <w:t>，</w:t>
      </w:r>
      <w:r>
        <w:rPr>
          <w:rFonts w:hint="eastAsia" w:ascii="微软雅黑" w:hAnsi="微软雅黑" w:cs="微软雅黑"/>
          <w:sz w:val="20"/>
          <w:szCs w:val="20"/>
          <w:lang w:eastAsia="zh-TW"/>
        </w:rPr>
        <w:t>并作为其投标文件的一部分。如果投标人为联合体</w:t>
      </w:r>
      <w:r>
        <w:rPr>
          <w:rFonts w:hint="eastAsia" w:ascii="微软雅黑" w:hAnsi="微软雅黑" w:cs="微软雅黑"/>
          <w:sz w:val="20"/>
          <w:szCs w:val="20"/>
        </w:rPr>
        <w:t>，</w:t>
      </w:r>
      <w:r>
        <w:rPr>
          <w:rFonts w:hint="eastAsia" w:ascii="微软雅黑" w:hAnsi="微软雅黑" w:cs="微软雅黑"/>
          <w:sz w:val="20"/>
          <w:szCs w:val="20"/>
          <w:lang w:eastAsia="zh-TW"/>
        </w:rPr>
        <w:t>应提交联合体各方的资格证明文件、</w:t>
      </w:r>
      <w:r>
        <w:rPr>
          <w:rFonts w:hint="eastAsia" w:ascii="微软雅黑" w:hAnsi="微软雅黑" w:cs="微软雅黑"/>
          <w:sz w:val="20"/>
          <w:szCs w:val="20"/>
        </w:rPr>
        <w:t>共同投标协议</w:t>
      </w:r>
      <w:r>
        <w:rPr>
          <w:rFonts w:hint="eastAsia" w:ascii="微软雅黑" w:hAnsi="微软雅黑" w:cs="微软雅黑"/>
          <w:sz w:val="20"/>
          <w:szCs w:val="20"/>
          <w:lang w:eastAsia="zh-TW"/>
        </w:rPr>
        <w:t>并注明</w:t>
      </w:r>
      <w:r>
        <w:rPr>
          <w:rFonts w:hint="eastAsia" w:ascii="微软雅黑" w:hAnsi="微软雅黑" w:cs="微软雅黑"/>
          <w:sz w:val="20"/>
          <w:szCs w:val="20"/>
        </w:rPr>
        <w:t>主体方及各方拟承担的工作和责任。</w:t>
      </w:r>
      <w:r>
        <w:rPr>
          <w:rFonts w:hint="eastAsia" w:ascii="微软雅黑" w:hAnsi="微软雅黑" w:cs="微软雅黑"/>
          <w:sz w:val="20"/>
          <w:szCs w:val="20"/>
          <w:lang w:eastAsia="zh-TW"/>
        </w:rPr>
        <w:t>否则</w:t>
      </w:r>
      <w:r>
        <w:rPr>
          <w:rFonts w:hint="eastAsia" w:ascii="微软雅黑" w:hAnsi="微软雅黑" w:cs="微软雅黑"/>
          <w:sz w:val="20"/>
          <w:szCs w:val="20"/>
        </w:rPr>
        <w:t>，</w:t>
      </w:r>
      <w:r>
        <w:rPr>
          <w:rFonts w:hint="eastAsia" w:ascii="微软雅黑" w:hAnsi="微软雅黑" w:cs="微软雅黑"/>
          <w:sz w:val="20"/>
          <w:szCs w:val="20"/>
          <w:lang w:eastAsia="zh-TW"/>
        </w:rPr>
        <w:t>将导致其投标</w:t>
      </w:r>
      <w:r>
        <w:rPr>
          <w:rFonts w:hint="eastAsia" w:ascii="微软雅黑" w:hAnsi="微软雅黑" w:cs="微软雅黑"/>
          <w:sz w:val="20"/>
          <w:szCs w:val="20"/>
        </w:rPr>
        <w:t>无效。</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投标人提交的资格证明文件应证明其</w:t>
      </w:r>
      <w:r>
        <w:rPr>
          <w:rFonts w:hint="eastAsia" w:ascii="微软雅黑" w:hAnsi="微软雅黑" w:cs="微软雅黑"/>
          <w:sz w:val="20"/>
          <w:szCs w:val="20"/>
        </w:rPr>
        <w:t>满足</w:t>
      </w:r>
      <w:r>
        <w:rPr>
          <w:rFonts w:hint="eastAsia" w:ascii="微软雅黑" w:hAnsi="微软雅黑" w:cs="微软雅黑"/>
          <w:sz w:val="20"/>
          <w:szCs w:val="20"/>
          <w:lang w:eastAsia="zh-TW"/>
        </w:rPr>
        <w:t>本须知定义的合格投标人。</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91" w:name="_Toc453957399"/>
      <w:bookmarkStart w:id="1292" w:name="_Toc25494"/>
      <w:bookmarkStart w:id="1293" w:name="_Toc453956639"/>
      <w:r>
        <w:rPr>
          <w:rFonts w:hint="eastAsia" w:ascii="微软雅黑" w:hAnsi="微软雅黑" w:cs="微软雅黑"/>
          <w:b/>
          <w:bCs/>
          <w:sz w:val="20"/>
          <w:szCs w:val="20"/>
        </w:rPr>
        <w:t>证明服务的合格性和符合招标文件规定的文件</w:t>
      </w:r>
      <w:bookmarkEnd w:id="1291"/>
      <w:bookmarkEnd w:id="1292"/>
      <w:bookmarkEnd w:id="1293"/>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 xml:space="preserve">投标人应提交证明文件，证明其拟投标的服务的合格性符合招标文件规定。该证明文件作为投标文件的一部分。 </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 xml:space="preserve">证明服务与招标文件的要求相一致的文件，可以是文字资料、图纸和数据，它包括： 服务主要内容、方案、质量、标准指标等的详细说明； </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 xml:space="preserve">对照招标文件服务内容与要求，逐条说明所提供服务已对招标文件的服务内容与要求作出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 </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94" w:name="_Toc453957400"/>
      <w:bookmarkStart w:id="1295" w:name="_Toc453956640"/>
      <w:bookmarkStart w:id="1296" w:name="_Toc30826"/>
      <w:r>
        <w:rPr>
          <w:rFonts w:hint="eastAsia" w:ascii="微软雅黑" w:hAnsi="微软雅黑" w:cs="微软雅黑"/>
          <w:b/>
          <w:bCs/>
          <w:sz w:val="20"/>
          <w:szCs w:val="20"/>
        </w:rPr>
        <w:t>投标保证金</w:t>
      </w:r>
      <w:bookmarkEnd w:id="1294"/>
      <w:bookmarkEnd w:id="1295"/>
      <w:bookmarkEnd w:id="1296"/>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投标人应</w:t>
      </w:r>
      <w:r>
        <w:rPr>
          <w:rFonts w:hint="eastAsia" w:ascii="微软雅黑" w:hAnsi="微软雅黑" w:cs="微软雅黑"/>
          <w:sz w:val="20"/>
          <w:szCs w:val="20"/>
        </w:rPr>
        <w:t>按</w:t>
      </w:r>
      <w:r>
        <w:rPr>
          <w:rFonts w:hint="eastAsia" w:ascii="微软雅黑" w:hAnsi="微软雅黑" w:cs="微软雅黑"/>
          <w:b/>
          <w:sz w:val="20"/>
          <w:szCs w:val="20"/>
          <w:lang w:eastAsia="zh-TW"/>
        </w:rPr>
        <w:t>投标资料表</w:t>
      </w:r>
      <w:r>
        <w:rPr>
          <w:rFonts w:hint="eastAsia" w:ascii="微软雅黑" w:hAnsi="微软雅黑" w:cs="微软雅黑"/>
          <w:sz w:val="20"/>
          <w:szCs w:val="20"/>
          <w:lang w:eastAsia="zh-TW"/>
        </w:rPr>
        <w:t>中规定</w:t>
      </w:r>
      <w:r>
        <w:rPr>
          <w:rFonts w:hint="eastAsia" w:ascii="微软雅黑" w:hAnsi="微软雅黑" w:cs="微软雅黑"/>
          <w:sz w:val="20"/>
          <w:szCs w:val="20"/>
        </w:rPr>
        <w:t>的金</w:t>
      </w:r>
      <w:r>
        <w:rPr>
          <w:rFonts w:hint="eastAsia" w:ascii="微软雅黑" w:hAnsi="微软雅黑" w:cs="微软雅黑"/>
          <w:sz w:val="20"/>
          <w:szCs w:val="20"/>
          <w:lang w:eastAsia="zh-TW"/>
        </w:rPr>
        <w:t>额</w:t>
      </w:r>
      <w:r>
        <w:rPr>
          <w:rFonts w:hint="eastAsia" w:ascii="微软雅黑" w:hAnsi="微软雅黑" w:cs="微软雅黑"/>
          <w:sz w:val="20"/>
          <w:szCs w:val="20"/>
        </w:rPr>
        <w:t>和期限缴纳</w:t>
      </w:r>
      <w:r>
        <w:rPr>
          <w:rFonts w:hint="eastAsia" w:ascii="微软雅黑" w:hAnsi="微软雅黑" w:cs="微软雅黑"/>
          <w:sz w:val="20"/>
          <w:szCs w:val="20"/>
          <w:lang w:eastAsia="zh-TW"/>
        </w:rPr>
        <w:t>投标保证金</w:t>
      </w:r>
      <w:r>
        <w:rPr>
          <w:rFonts w:hint="eastAsia" w:ascii="微软雅黑" w:hAnsi="微软雅黑" w:cs="微软雅黑"/>
          <w:sz w:val="20"/>
          <w:szCs w:val="20"/>
        </w:rPr>
        <w:t>，</w:t>
      </w:r>
      <w:r>
        <w:rPr>
          <w:rFonts w:hint="eastAsia" w:ascii="微软雅黑" w:hAnsi="微软雅黑" w:cs="微软雅黑"/>
          <w:sz w:val="20"/>
          <w:szCs w:val="20"/>
          <w:lang w:eastAsia="zh-TW"/>
        </w:rPr>
        <w:t>并作为其投标</w:t>
      </w:r>
      <w:r>
        <w:rPr>
          <w:rFonts w:hint="eastAsia" w:ascii="微软雅黑" w:hAnsi="微软雅黑" w:cs="微软雅黑"/>
          <w:sz w:val="20"/>
          <w:szCs w:val="20"/>
        </w:rPr>
        <w:t>文件的组成</w:t>
      </w:r>
      <w:r>
        <w:rPr>
          <w:rFonts w:hint="eastAsia" w:ascii="微软雅黑" w:hAnsi="微软雅黑" w:cs="微软雅黑"/>
          <w:sz w:val="20"/>
          <w:szCs w:val="20"/>
          <w:lang w:eastAsia="zh-TW"/>
        </w:rPr>
        <w:t>部分。</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如无质疑或投诉，未中标的投标人保证金，在</w:t>
      </w:r>
      <w:r>
        <w:rPr>
          <w:rFonts w:hint="eastAsia" w:ascii="微软雅黑" w:hAnsi="微软雅黑" w:cs="微软雅黑"/>
          <w:sz w:val="20"/>
          <w:szCs w:val="20"/>
        </w:rPr>
        <w:t>中标结果公示完后</w:t>
      </w:r>
      <w:r>
        <w:rPr>
          <w:rFonts w:hint="eastAsia" w:ascii="微软雅黑" w:hAnsi="微软雅黑" w:cs="微软雅黑"/>
          <w:sz w:val="20"/>
          <w:szCs w:val="20"/>
          <w:lang w:eastAsia="zh-TW"/>
        </w:rPr>
        <w:t>五个工作日内不计利息原额退还；如有质疑或投诉，招标采购单位将在质疑和投诉处理完毕后不计利息原额退还。</w:t>
      </w:r>
    </w:p>
    <w:p>
      <w:pPr>
        <w:widowControl w:val="0"/>
        <w:numPr>
          <w:ilvl w:val="1"/>
          <w:numId w:val="16"/>
        </w:numPr>
        <w:autoSpaceDE w:val="0"/>
        <w:autoSpaceDN w:val="0"/>
        <w:spacing w:after="0" w:line="360" w:lineRule="auto"/>
        <w:jc w:val="both"/>
        <w:rPr>
          <w:rFonts w:ascii="微软雅黑" w:hAnsi="微软雅黑" w:cs="微软雅黑"/>
          <w:color w:val="000000"/>
          <w:sz w:val="20"/>
          <w:szCs w:val="20"/>
          <w:lang w:eastAsia="zh-TW"/>
        </w:rPr>
      </w:pPr>
      <w:r>
        <w:rPr>
          <w:rFonts w:hint="eastAsia" w:ascii="微软雅黑" w:hAnsi="微软雅黑" w:cs="微软雅黑"/>
          <w:sz w:val="20"/>
          <w:szCs w:val="20"/>
          <w:lang w:eastAsia="zh-TW"/>
        </w:rPr>
        <w:t>中标人的投标保证金余额，在中标人与采购人签订采购合同后五个工作日内</w:t>
      </w:r>
      <w:r>
        <w:rPr>
          <w:rFonts w:hint="eastAsia" w:ascii="微软雅黑" w:hAnsi="微软雅黑" w:cs="微软雅黑"/>
          <w:color w:val="000000"/>
          <w:sz w:val="20"/>
          <w:szCs w:val="20"/>
          <w:lang w:eastAsia="zh-TW"/>
        </w:rPr>
        <w:t>不计利息原路退还。</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下列任一情况发生时</w:t>
      </w:r>
      <w:r>
        <w:rPr>
          <w:rFonts w:hint="eastAsia" w:ascii="微软雅黑" w:hAnsi="微软雅黑" w:cs="微软雅黑"/>
          <w:sz w:val="20"/>
          <w:szCs w:val="20"/>
        </w:rPr>
        <w:t>，</w:t>
      </w:r>
      <w:r>
        <w:rPr>
          <w:rFonts w:hint="eastAsia" w:ascii="微软雅黑" w:hAnsi="微软雅黑" w:cs="微软雅黑"/>
          <w:sz w:val="20"/>
          <w:szCs w:val="20"/>
          <w:lang w:eastAsia="zh-TW"/>
        </w:rPr>
        <w:t>投标保证金将不予退还：</w:t>
      </w:r>
    </w:p>
    <w:p>
      <w:pPr>
        <w:widowControl w:val="0"/>
        <w:numPr>
          <w:ilvl w:val="2"/>
          <w:numId w:val="16"/>
        </w:numPr>
        <w:tabs>
          <w:tab w:val="left" w:pos="851"/>
          <w:tab w:val="left" w:pos="1134"/>
        </w:tabs>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投标人在招标文件中规定的投标有效期内撤回其投标</w:t>
      </w:r>
      <w:r>
        <w:rPr>
          <w:rFonts w:hint="eastAsia" w:ascii="微软雅黑" w:hAnsi="微软雅黑" w:cs="微软雅黑"/>
          <w:sz w:val="20"/>
          <w:szCs w:val="20"/>
        </w:rPr>
        <w:t>；</w:t>
      </w:r>
    </w:p>
    <w:p>
      <w:pPr>
        <w:widowControl w:val="0"/>
        <w:numPr>
          <w:ilvl w:val="2"/>
          <w:numId w:val="16"/>
        </w:numPr>
        <w:tabs>
          <w:tab w:val="left" w:pos="851"/>
          <w:tab w:val="left" w:pos="1134"/>
        </w:tabs>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中标后无正当理由放弃中标或中标人在规定期限内未能根据本须知规定签订合同</w:t>
      </w:r>
      <w:r>
        <w:rPr>
          <w:rFonts w:hint="eastAsia" w:ascii="微软雅黑" w:hAnsi="微软雅黑" w:cs="微软雅黑"/>
          <w:sz w:val="20"/>
          <w:szCs w:val="20"/>
        </w:rPr>
        <w:t>；</w:t>
      </w:r>
    </w:p>
    <w:p>
      <w:pPr>
        <w:widowControl w:val="0"/>
        <w:numPr>
          <w:ilvl w:val="2"/>
          <w:numId w:val="16"/>
        </w:numPr>
        <w:tabs>
          <w:tab w:val="left" w:pos="851"/>
          <w:tab w:val="left" w:pos="1134"/>
        </w:tabs>
        <w:autoSpaceDE w:val="0"/>
        <w:autoSpaceDN w:val="0"/>
        <w:spacing w:after="0" w:line="360" w:lineRule="auto"/>
        <w:ind w:left="851" w:hanging="851"/>
        <w:jc w:val="both"/>
        <w:rPr>
          <w:rFonts w:ascii="微软雅黑" w:hAnsi="微软雅黑" w:cs="微软雅黑"/>
          <w:sz w:val="20"/>
          <w:szCs w:val="20"/>
          <w:lang w:eastAsia="zh-TW"/>
        </w:rPr>
      </w:pPr>
      <w:r>
        <w:rPr>
          <w:rFonts w:hint="eastAsia" w:ascii="微软雅黑" w:hAnsi="微软雅黑" w:cs="微软雅黑"/>
          <w:sz w:val="20"/>
          <w:szCs w:val="20"/>
          <w:lang w:eastAsia="zh-TW"/>
        </w:rPr>
        <w:t>将中标项目转让给他人，或者在投标文件中未说明，且未经采购人同意，违反招标文件规定，将中标项目分包给他人的</w:t>
      </w:r>
      <w:r>
        <w:rPr>
          <w:rFonts w:hint="eastAsia" w:ascii="微软雅黑" w:hAnsi="微软雅黑" w:cs="微软雅黑"/>
          <w:sz w:val="20"/>
          <w:szCs w:val="20"/>
        </w:rPr>
        <w:t>；</w:t>
      </w:r>
    </w:p>
    <w:p>
      <w:pPr>
        <w:widowControl w:val="0"/>
        <w:numPr>
          <w:ilvl w:val="2"/>
          <w:numId w:val="16"/>
        </w:numPr>
        <w:tabs>
          <w:tab w:val="left" w:pos="851"/>
          <w:tab w:val="left" w:pos="1134"/>
        </w:tabs>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中标人未按本须知规定交纳招标代理服务费。</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297" w:name="_Toc294000388"/>
      <w:bookmarkEnd w:id="1297"/>
      <w:bookmarkStart w:id="1298" w:name="_Toc293506681"/>
      <w:bookmarkEnd w:id="1298"/>
      <w:bookmarkStart w:id="1299" w:name="_Toc293507824"/>
      <w:bookmarkEnd w:id="1299"/>
      <w:bookmarkStart w:id="1300" w:name="_Toc293507626"/>
      <w:bookmarkEnd w:id="1300"/>
      <w:bookmarkStart w:id="1301" w:name="_Toc293507823"/>
      <w:bookmarkEnd w:id="1301"/>
      <w:bookmarkStart w:id="1302" w:name="_Toc294000390"/>
      <w:bookmarkEnd w:id="1302"/>
      <w:bookmarkStart w:id="1303" w:name="_Toc293506741"/>
      <w:bookmarkEnd w:id="1303"/>
      <w:bookmarkStart w:id="1304" w:name="_Toc293507719"/>
      <w:bookmarkEnd w:id="1304"/>
      <w:bookmarkStart w:id="1305" w:name="_Toc293506742"/>
      <w:bookmarkEnd w:id="1305"/>
      <w:bookmarkStart w:id="1306" w:name="_Toc293507825"/>
      <w:bookmarkEnd w:id="1306"/>
      <w:bookmarkStart w:id="1307" w:name="_Toc293507717"/>
      <w:bookmarkEnd w:id="1307"/>
      <w:bookmarkStart w:id="1308" w:name="_Toc293506740"/>
      <w:bookmarkEnd w:id="1308"/>
      <w:bookmarkStart w:id="1309" w:name="_Toc293507720"/>
      <w:bookmarkEnd w:id="1309"/>
      <w:bookmarkStart w:id="1310" w:name="_Toc293507624"/>
      <w:bookmarkEnd w:id="1310"/>
      <w:bookmarkStart w:id="1311" w:name="_Toc293506743"/>
      <w:bookmarkEnd w:id="1311"/>
      <w:bookmarkStart w:id="1312" w:name="_Toc293507625"/>
      <w:bookmarkEnd w:id="1312"/>
      <w:bookmarkStart w:id="1313" w:name="_Toc294000387"/>
      <w:bookmarkEnd w:id="1313"/>
      <w:bookmarkStart w:id="1314" w:name="_Toc293507718"/>
      <w:bookmarkEnd w:id="1314"/>
      <w:bookmarkStart w:id="1315" w:name="_Toc293507627"/>
      <w:bookmarkEnd w:id="1315"/>
      <w:bookmarkStart w:id="1316" w:name="_Toc293506680"/>
      <w:bookmarkEnd w:id="1316"/>
      <w:bookmarkStart w:id="1317" w:name="_Toc294000389"/>
      <w:bookmarkEnd w:id="1317"/>
      <w:bookmarkStart w:id="1318" w:name="_Toc293506683"/>
      <w:bookmarkEnd w:id="1318"/>
      <w:bookmarkStart w:id="1319" w:name="_Toc293507826"/>
      <w:bookmarkEnd w:id="1319"/>
      <w:bookmarkStart w:id="1320" w:name="_Toc293506682"/>
      <w:bookmarkEnd w:id="1320"/>
      <w:bookmarkStart w:id="1321" w:name="_Toc3623"/>
      <w:bookmarkStart w:id="1322" w:name="_Toc453956641"/>
      <w:bookmarkStart w:id="1323" w:name="_Toc453957401"/>
      <w:r>
        <w:rPr>
          <w:rFonts w:hint="eastAsia" w:ascii="微软雅黑" w:hAnsi="微软雅黑" w:cs="微软雅黑"/>
          <w:b/>
          <w:bCs/>
          <w:sz w:val="20"/>
          <w:szCs w:val="20"/>
        </w:rPr>
        <w:t>投标有效期</w:t>
      </w:r>
      <w:bookmarkEnd w:id="1321"/>
      <w:bookmarkEnd w:id="1322"/>
      <w:bookmarkEnd w:id="1323"/>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投标应自</w:t>
      </w:r>
      <w:r>
        <w:rPr>
          <w:rFonts w:hint="eastAsia" w:ascii="微软雅黑" w:hAnsi="微软雅黑" w:cs="微软雅黑"/>
          <w:b/>
          <w:sz w:val="20"/>
          <w:szCs w:val="20"/>
          <w:lang w:eastAsia="zh-TW"/>
        </w:rPr>
        <w:t>投标资料表</w:t>
      </w:r>
      <w:r>
        <w:rPr>
          <w:rFonts w:hint="eastAsia" w:ascii="微软雅黑" w:hAnsi="微软雅黑" w:cs="微软雅黑"/>
          <w:sz w:val="20"/>
          <w:szCs w:val="20"/>
          <w:lang w:eastAsia="zh-TW"/>
        </w:rPr>
        <w:t>中规定的</w:t>
      </w:r>
      <w:r>
        <w:rPr>
          <w:rFonts w:hint="eastAsia" w:ascii="微软雅黑" w:hAnsi="微软雅黑" w:cs="微软雅黑"/>
          <w:sz w:val="20"/>
          <w:szCs w:val="20"/>
        </w:rPr>
        <w:t>投标文件递交截止时间</w:t>
      </w:r>
      <w:r>
        <w:rPr>
          <w:rFonts w:hint="eastAsia" w:ascii="微软雅黑" w:hAnsi="微软雅黑" w:cs="微软雅黑"/>
          <w:sz w:val="20"/>
          <w:szCs w:val="20"/>
          <w:lang w:eastAsia="zh-TW"/>
        </w:rPr>
        <w:t>起</w:t>
      </w:r>
      <w:r>
        <w:rPr>
          <w:rFonts w:hint="eastAsia" w:ascii="微软雅黑" w:hAnsi="微软雅黑" w:cs="微软雅黑"/>
          <w:sz w:val="20"/>
          <w:szCs w:val="20"/>
        </w:rPr>
        <w:t>，</w:t>
      </w:r>
      <w:r>
        <w:rPr>
          <w:rFonts w:hint="eastAsia" w:ascii="微软雅黑" w:hAnsi="微软雅黑" w:cs="微软雅黑"/>
          <w:sz w:val="20"/>
          <w:szCs w:val="20"/>
          <w:lang w:eastAsia="zh-TW"/>
        </w:rPr>
        <w:t>并在</w:t>
      </w:r>
      <w:r>
        <w:rPr>
          <w:rFonts w:hint="eastAsia" w:ascii="微软雅黑" w:hAnsi="微软雅黑" w:cs="微软雅黑"/>
          <w:b/>
          <w:sz w:val="20"/>
          <w:szCs w:val="20"/>
          <w:lang w:eastAsia="zh-TW"/>
        </w:rPr>
        <w:t>投标资料表</w:t>
      </w:r>
      <w:r>
        <w:rPr>
          <w:rFonts w:hint="eastAsia" w:ascii="微软雅黑" w:hAnsi="微软雅黑" w:cs="微软雅黑"/>
          <w:sz w:val="20"/>
          <w:szCs w:val="20"/>
          <w:lang w:eastAsia="zh-TW"/>
        </w:rPr>
        <w:t>中所述期限内保持有效。投标有效期不足的投标将被视为非实质性响应</w:t>
      </w:r>
      <w:r>
        <w:rPr>
          <w:rFonts w:hint="eastAsia" w:ascii="微软雅黑" w:hAnsi="微软雅黑" w:cs="微软雅黑"/>
          <w:sz w:val="20"/>
          <w:szCs w:val="20"/>
        </w:rPr>
        <w:t>，视为无效投标</w:t>
      </w:r>
      <w:r>
        <w:rPr>
          <w:rFonts w:hint="eastAsia" w:ascii="微软雅黑" w:hAnsi="微软雅黑" w:cs="微软雅黑"/>
          <w:sz w:val="20"/>
          <w:szCs w:val="20"/>
          <w:lang w:eastAsia="zh-TW"/>
        </w:rPr>
        <w:t>。</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特殊情况下</w:t>
      </w:r>
      <w:r>
        <w:rPr>
          <w:rFonts w:hint="eastAsia" w:ascii="微软雅黑" w:hAnsi="微软雅黑" w:cs="微软雅黑"/>
          <w:sz w:val="20"/>
          <w:szCs w:val="20"/>
        </w:rPr>
        <w:t>，</w:t>
      </w:r>
      <w:r>
        <w:rPr>
          <w:rFonts w:hint="eastAsia" w:ascii="微软雅黑" w:hAnsi="微软雅黑" w:cs="微软雅黑"/>
          <w:sz w:val="20"/>
          <w:szCs w:val="20"/>
          <w:lang w:eastAsia="zh-TW"/>
        </w:rPr>
        <w:t>在原投标有效期截止之前</w:t>
      </w:r>
      <w:r>
        <w:rPr>
          <w:rFonts w:hint="eastAsia" w:ascii="微软雅黑" w:hAnsi="微软雅黑" w:cs="微软雅黑"/>
          <w:sz w:val="20"/>
          <w:szCs w:val="20"/>
        </w:rPr>
        <w:t>，</w:t>
      </w:r>
      <w:r>
        <w:rPr>
          <w:rFonts w:hint="eastAsia" w:ascii="微软雅黑" w:hAnsi="微软雅黑" w:cs="微软雅黑"/>
          <w:sz w:val="20"/>
          <w:szCs w:val="20"/>
          <w:lang w:eastAsia="zh-TW"/>
        </w:rPr>
        <w:t>采购代理机构可要求投标人延长投标有效期。这种要求与答复均应以书面形式提交。投标人可拒绝采购代理机构的这种要求</w:t>
      </w:r>
      <w:r>
        <w:rPr>
          <w:rFonts w:hint="eastAsia" w:ascii="微软雅黑" w:hAnsi="微软雅黑" w:cs="微软雅黑"/>
          <w:sz w:val="20"/>
          <w:szCs w:val="20"/>
        </w:rPr>
        <w:t>，</w:t>
      </w:r>
      <w:r>
        <w:rPr>
          <w:rFonts w:hint="eastAsia" w:ascii="微软雅黑" w:hAnsi="微软雅黑" w:cs="微软雅黑"/>
          <w:sz w:val="20"/>
          <w:szCs w:val="20"/>
          <w:lang w:eastAsia="zh-TW"/>
        </w:rPr>
        <w:t>其投标保证金将不会被没收</w:t>
      </w:r>
      <w:r>
        <w:rPr>
          <w:rFonts w:hint="eastAsia" w:ascii="微软雅黑" w:hAnsi="微软雅黑" w:cs="微软雅黑"/>
          <w:sz w:val="20"/>
          <w:szCs w:val="20"/>
        </w:rPr>
        <w:t>，</w:t>
      </w:r>
      <w:r>
        <w:rPr>
          <w:rFonts w:hint="eastAsia" w:ascii="微软雅黑" w:hAnsi="微软雅黑" w:cs="微软雅黑"/>
          <w:sz w:val="20"/>
          <w:szCs w:val="20"/>
          <w:lang w:eastAsia="zh-TW"/>
        </w:rPr>
        <w:t>但其投标在原投标有效期期满后将不再有效。同意延长投标有效期的投标人将不会被要求和允许修正其投标</w:t>
      </w:r>
      <w:r>
        <w:rPr>
          <w:rFonts w:hint="eastAsia" w:ascii="微软雅黑" w:hAnsi="微软雅黑" w:cs="微软雅黑"/>
          <w:sz w:val="20"/>
          <w:szCs w:val="20"/>
        </w:rPr>
        <w:t>，</w:t>
      </w:r>
      <w:r>
        <w:rPr>
          <w:rFonts w:hint="eastAsia" w:ascii="微软雅黑" w:hAnsi="微软雅黑" w:cs="微软雅黑"/>
          <w:sz w:val="20"/>
          <w:szCs w:val="20"/>
          <w:lang w:eastAsia="zh-TW"/>
        </w:rPr>
        <w:t>而只会被要求相应地延长其投标保证金的有效期。在这种情况下</w:t>
      </w:r>
      <w:r>
        <w:rPr>
          <w:rFonts w:hint="eastAsia" w:ascii="微软雅黑" w:hAnsi="微软雅黑" w:cs="微软雅黑"/>
          <w:sz w:val="20"/>
          <w:szCs w:val="20"/>
        </w:rPr>
        <w:t>，</w:t>
      </w:r>
      <w:r>
        <w:rPr>
          <w:rFonts w:hint="eastAsia" w:ascii="微软雅黑" w:hAnsi="微软雅黑" w:cs="微软雅黑"/>
          <w:sz w:val="20"/>
          <w:szCs w:val="20"/>
          <w:lang w:eastAsia="zh-TW"/>
        </w:rPr>
        <w:t>本须知有关投标保证金的退还和没收的规定将在延长了的有效期内继续有效。</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24" w:name="_Toc453956642"/>
      <w:bookmarkStart w:id="1325" w:name="_Toc13045"/>
      <w:bookmarkStart w:id="1326" w:name="_Toc453957402"/>
      <w:r>
        <w:rPr>
          <w:rFonts w:hint="eastAsia" w:ascii="微软雅黑" w:hAnsi="微软雅黑" w:cs="微软雅黑"/>
          <w:b/>
          <w:bCs/>
          <w:sz w:val="20"/>
          <w:szCs w:val="20"/>
        </w:rPr>
        <w:t>投标文件的式样和签署</w:t>
      </w:r>
      <w:bookmarkEnd w:id="1324"/>
      <w:bookmarkEnd w:id="1325"/>
      <w:bookmarkEnd w:id="1326"/>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投标文件的式样：投标人应准备一份投标文件正本</w:t>
      </w:r>
      <w:r>
        <w:rPr>
          <w:rFonts w:hint="eastAsia" w:ascii="微软雅黑" w:hAnsi="微软雅黑" w:cs="微软雅黑"/>
          <w:sz w:val="20"/>
          <w:szCs w:val="20"/>
        </w:rPr>
        <w:t>、电子文件</w:t>
      </w:r>
      <w:r>
        <w:rPr>
          <w:rFonts w:hint="eastAsia" w:ascii="微软雅黑" w:hAnsi="微软雅黑" w:cs="微软雅黑"/>
          <w:sz w:val="20"/>
          <w:szCs w:val="20"/>
          <w:lang w:eastAsia="zh-TW"/>
        </w:rPr>
        <w:t>和</w:t>
      </w:r>
      <w:r>
        <w:rPr>
          <w:rFonts w:hint="eastAsia" w:ascii="微软雅黑" w:hAnsi="微软雅黑" w:cs="微软雅黑"/>
          <w:b/>
          <w:sz w:val="20"/>
          <w:szCs w:val="20"/>
          <w:lang w:eastAsia="zh-TW"/>
        </w:rPr>
        <w:t>投标资料表</w:t>
      </w:r>
      <w:r>
        <w:rPr>
          <w:rFonts w:hint="eastAsia" w:ascii="微软雅黑" w:hAnsi="微软雅黑" w:cs="微软雅黑"/>
          <w:sz w:val="20"/>
          <w:szCs w:val="20"/>
          <w:lang w:eastAsia="zh-TW"/>
        </w:rPr>
        <w:t>中规定数目的副本</w:t>
      </w:r>
      <w:r>
        <w:rPr>
          <w:rFonts w:hint="eastAsia" w:ascii="微软雅黑" w:hAnsi="微软雅黑" w:cs="微软雅黑"/>
          <w:sz w:val="20"/>
          <w:szCs w:val="20"/>
        </w:rPr>
        <w:t>，</w:t>
      </w:r>
      <w:r>
        <w:rPr>
          <w:rFonts w:hint="eastAsia" w:ascii="微软雅黑" w:hAnsi="微软雅黑" w:cs="微软雅黑"/>
          <w:sz w:val="20"/>
          <w:szCs w:val="20"/>
          <w:lang w:eastAsia="zh-TW"/>
        </w:rPr>
        <w:t>投标文件的副本可采用正本的复印件。每套投标文件须清楚地标明“正本”或</w:t>
      </w:r>
      <w:r>
        <w:rPr>
          <w:rFonts w:hint="eastAsia" w:ascii="微软雅黑" w:hAnsi="微软雅黑" w:cs="微软雅黑"/>
          <w:sz w:val="20"/>
          <w:szCs w:val="20"/>
        </w:rPr>
        <w:t>“副</w:t>
      </w:r>
      <w:r>
        <w:rPr>
          <w:rFonts w:hint="eastAsia" w:ascii="微软雅黑" w:hAnsi="微软雅黑" w:cs="微软雅黑"/>
          <w:sz w:val="20"/>
          <w:szCs w:val="20"/>
          <w:lang w:eastAsia="zh-TW"/>
        </w:rPr>
        <w:t>本</w:t>
      </w:r>
      <w:r>
        <w:rPr>
          <w:rFonts w:hint="eastAsia" w:ascii="微软雅黑" w:hAnsi="微软雅黑" w:cs="微软雅黑"/>
          <w:sz w:val="20"/>
          <w:szCs w:val="20"/>
        </w:rPr>
        <w:t>”</w:t>
      </w:r>
      <w:r>
        <w:rPr>
          <w:rFonts w:hint="eastAsia" w:ascii="微软雅黑" w:hAnsi="微软雅黑" w:cs="微软雅黑"/>
          <w:sz w:val="20"/>
          <w:szCs w:val="20"/>
          <w:lang w:eastAsia="zh-TW"/>
        </w:rPr>
        <w:t>。若副本与正本不符</w:t>
      </w:r>
      <w:r>
        <w:rPr>
          <w:rFonts w:hint="eastAsia" w:ascii="微软雅黑" w:hAnsi="微软雅黑" w:cs="微软雅黑"/>
          <w:sz w:val="20"/>
          <w:szCs w:val="20"/>
        </w:rPr>
        <w:t>，</w:t>
      </w:r>
      <w:r>
        <w:rPr>
          <w:rFonts w:hint="eastAsia" w:ascii="微软雅黑" w:hAnsi="微软雅黑" w:cs="微软雅黑"/>
          <w:sz w:val="20"/>
          <w:szCs w:val="20"/>
          <w:lang w:eastAsia="zh-TW"/>
        </w:rPr>
        <w:t>以正本为准。</w:t>
      </w:r>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投标文件的签署：</w:t>
      </w:r>
    </w:p>
    <w:p>
      <w:pPr>
        <w:widowControl w:val="0"/>
        <w:numPr>
          <w:ilvl w:val="2"/>
          <w:numId w:val="16"/>
        </w:numPr>
        <w:tabs>
          <w:tab w:val="left" w:pos="851"/>
        </w:tabs>
        <w:autoSpaceDE w:val="0"/>
        <w:autoSpaceDN w:val="0"/>
        <w:spacing w:after="0" w:line="360" w:lineRule="auto"/>
        <w:ind w:left="851" w:hanging="851"/>
        <w:jc w:val="both"/>
        <w:rPr>
          <w:rFonts w:ascii="微软雅黑" w:hAnsi="微软雅黑" w:cs="微软雅黑"/>
          <w:sz w:val="20"/>
          <w:szCs w:val="20"/>
        </w:rPr>
      </w:pPr>
      <w:r>
        <w:rPr>
          <w:rFonts w:hint="eastAsia" w:ascii="微软雅黑" w:hAnsi="微软雅黑" w:cs="微软雅黑"/>
          <w:sz w:val="20"/>
          <w:szCs w:val="20"/>
          <w:lang w:eastAsia="zh-TW"/>
        </w:rPr>
        <w:t>投标文件的正本需打印或用不褪色墨水书写</w:t>
      </w:r>
      <w:r>
        <w:rPr>
          <w:rFonts w:hint="eastAsia" w:ascii="微软雅黑" w:hAnsi="微软雅黑" w:cs="微软雅黑"/>
          <w:sz w:val="20"/>
          <w:szCs w:val="20"/>
        </w:rPr>
        <w:t>，招标文件要求签名的</w:t>
      </w:r>
      <w:r>
        <w:rPr>
          <w:rFonts w:hint="eastAsia" w:ascii="微软雅黑" w:hAnsi="微软雅黑" w:cs="微软雅黑"/>
          <w:sz w:val="20"/>
          <w:szCs w:val="20"/>
          <w:lang w:eastAsia="zh-TW"/>
        </w:rPr>
        <w:t>由</w:t>
      </w:r>
      <w:r>
        <w:rPr>
          <w:rFonts w:hint="eastAsia" w:ascii="微软雅黑" w:hAnsi="微软雅黑" w:cs="微软雅黑"/>
          <w:sz w:val="20"/>
          <w:szCs w:val="20"/>
        </w:rPr>
        <w:t>法定</w:t>
      </w:r>
      <w:r>
        <w:rPr>
          <w:rFonts w:hint="eastAsia" w:ascii="微软雅黑" w:hAnsi="微软雅黑" w:cs="微软雅黑"/>
          <w:sz w:val="20"/>
          <w:szCs w:val="20"/>
          <w:lang w:eastAsia="zh-TW"/>
        </w:rPr>
        <w:t>代表人或经其正式授权的代表签字</w:t>
      </w:r>
      <w:r>
        <w:rPr>
          <w:rFonts w:hint="eastAsia" w:ascii="微软雅黑" w:hAnsi="微软雅黑" w:cs="微软雅黑"/>
          <w:sz w:val="20"/>
          <w:szCs w:val="20"/>
        </w:rPr>
        <w:t>，投标文件每一页均要求加盖投标人公章，副本可以复印，与正本具有同等法律效力</w:t>
      </w:r>
      <w:r>
        <w:rPr>
          <w:rFonts w:hint="eastAsia" w:ascii="微软雅黑" w:hAnsi="微软雅黑" w:cs="微软雅黑"/>
          <w:sz w:val="20"/>
          <w:szCs w:val="20"/>
          <w:lang w:eastAsia="zh-TW"/>
        </w:rPr>
        <w:t>。授权代表须将以书面形式出具的《法定代表人授权</w:t>
      </w:r>
      <w:r>
        <w:rPr>
          <w:rFonts w:hint="eastAsia" w:ascii="微软雅黑" w:hAnsi="微软雅黑" w:cs="微软雅黑"/>
          <w:sz w:val="20"/>
          <w:szCs w:val="20"/>
        </w:rPr>
        <w:t>委托</w:t>
      </w:r>
      <w:r>
        <w:rPr>
          <w:rFonts w:hint="eastAsia" w:ascii="微软雅黑" w:hAnsi="微软雅黑" w:cs="微软雅黑"/>
          <w:sz w:val="20"/>
          <w:szCs w:val="20"/>
          <w:lang w:eastAsia="zh-TW"/>
        </w:rPr>
        <w:t>书》附在</w:t>
      </w:r>
      <w:r>
        <w:rPr>
          <w:rFonts w:hint="eastAsia" w:ascii="微软雅黑" w:hAnsi="微软雅黑" w:cs="微软雅黑"/>
          <w:sz w:val="20"/>
          <w:szCs w:val="20"/>
        </w:rPr>
        <w:t>投</w:t>
      </w:r>
      <w:r>
        <w:rPr>
          <w:rFonts w:hint="eastAsia" w:ascii="微软雅黑" w:hAnsi="微软雅黑" w:cs="微软雅黑"/>
          <w:sz w:val="20"/>
          <w:szCs w:val="20"/>
          <w:lang w:eastAsia="zh-TW"/>
        </w:rPr>
        <w:t>标文件中</w:t>
      </w:r>
      <w:r>
        <w:rPr>
          <w:rFonts w:hint="eastAsia" w:ascii="微软雅黑" w:hAnsi="微软雅黑" w:cs="微软雅黑"/>
          <w:sz w:val="20"/>
          <w:szCs w:val="20"/>
        </w:rPr>
        <w:t>；</w:t>
      </w:r>
    </w:p>
    <w:p>
      <w:pPr>
        <w:widowControl w:val="0"/>
        <w:numPr>
          <w:ilvl w:val="2"/>
          <w:numId w:val="16"/>
        </w:numPr>
        <w:tabs>
          <w:tab w:val="left" w:pos="851"/>
        </w:tabs>
        <w:autoSpaceDE w:val="0"/>
        <w:autoSpaceDN w:val="0"/>
        <w:spacing w:after="0" w:line="360" w:lineRule="auto"/>
        <w:ind w:left="851" w:hanging="851"/>
        <w:jc w:val="both"/>
        <w:rPr>
          <w:rFonts w:ascii="微软雅黑" w:hAnsi="微软雅黑" w:cs="微软雅黑"/>
          <w:sz w:val="20"/>
          <w:szCs w:val="20"/>
          <w:lang w:eastAsia="zh-TW"/>
        </w:rPr>
      </w:pPr>
      <w:r>
        <w:rPr>
          <w:rFonts w:hint="eastAsia" w:ascii="微软雅黑" w:hAnsi="微软雅黑" w:cs="微软雅黑"/>
          <w:sz w:val="20"/>
          <w:szCs w:val="20"/>
          <w:lang w:eastAsia="zh-TW"/>
        </w:rPr>
        <w:t>投标文件中的任何重要的插字、涂改和增删，必须由法定代表人或经其正式授权的代表在旁边签章或签字才有效。</w:t>
      </w:r>
    </w:p>
    <w:p>
      <w:pPr>
        <w:spacing w:before="312" w:beforeLines="100" w:after="312" w:afterLines="100" w:line="360" w:lineRule="auto"/>
        <w:jc w:val="center"/>
        <w:outlineLvl w:val="0"/>
        <w:rPr>
          <w:rFonts w:ascii="宋体" w:hAnsi="宋体" w:cs="楷体_GB2312"/>
          <w:b/>
          <w:sz w:val="28"/>
          <w:szCs w:val="28"/>
          <w:lang w:eastAsia="zh-TW"/>
        </w:rPr>
      </w:pPr>
      <w:bookmarkStart w:id="1327" w:name="_Toc453957403"/>
      <w:bookmarkStart w:id="1328" w:name="_Toc10858"/>
      <w:bookmarkStart w:id="1329" w:name="_Toc453956643"/>
      <w:r>
        <w:rPr>
          <w:rFonts w:hint="eastAsia" w:ascii="宋体" w:hAnsi="宋体" w:cs="楷体_GB2312"/>
          <w:b/>
          <w:sz w:val="28"/>
          <w:szCs w:val="28"/>
          <w:lang w:eastAsia="zh-TW"/>
        </w:rPr>
        <w:t>四、投标文件的递交</w:t>
      </w:r>
      <w:bookmarkEnd w:id="1327"/>
      <w:bookmarkEnd w:id="1328"/>
      <w:bookmarkEnd w:id="1329"/>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30" w:name="_Toc453957404"/>
      <w:bookmarkStart w:id="1331" w:name="_Toc453956644"/>
      <w:bookmarkStart w:id="1332" w:name="_Toc2715"/>
      <w:r>
        <w:rPr>
          <w:rFonts w:hint="eastAsia" w:ascii="微软雅黑" w:hAnsi="微软雅黑" w:cs="微软雅黑"/>
          <w:b/>
          <w:bCs/>
          <w:sz w:val="20"/>
          <w:szCs w:val="20"/>
        </w:rPr>
        <w:t>投标文件的密封和标记</w:t>
      </w:r>
      <w:bookmarkEnd w:id="1330"/>
      <w:bookmarkEnd w:id="1331"/>
      <w:bookmarkEnd w:id="1332"/>
    </w:p>
    <w:p>
      <w:pPr>
        <w:widowControl w:val="0"/>
        <w:numPr>
          <w:ilvl w:val="1"/>
          <w:numId w:val="16"/>
        </w:numPr>
        <w:autoSpaceDE w:val="0"/>
        <w:autoSpaceDN w:val="0"/>
        <w:spacing w:after="0" w:line="360" w:lineRule="auto"/>
        <w:jc w:val="both"/>
        <w:rPr>
          <w:rFonts w:ascii="微软雅黑" w:hAnsi="微软雅黑" w:cs="微软雅黑"/>
          <w:b/>
          <w:bCs/>
          <w:dstrike/>
          <w:sz w:val="20"/>
          <w:szCs w:val="20"/>
        </w:rPr>
      </w:pPr>
      <w:r>
        <w:rPr>
          <w:rFonts w:hint="eastAsia" w:ascii="微软雅黑" w:hAnsi="微软雅黑" w:cs="微软雅黑"/>
          <w:sz w:val="20"/>
          <w:szCs w:val="20"/>
          <w:lang w:eastAsia="zh-TW"/>
        </w:rPr>
        <w:t>为方便开标唱标</w:t>
      </w:r>
      <w:r>
        <w:rPr>
          <w:rFonts w:hint="eastAsia" w:ascii="微软雅黑" w:hAnsi="微软雅黑" w:cs="微软雅黑"/>
          <w:sz w:val="20"/>
          <w:szCs w:val="20"/>
        </w:rPr>
        <w:t>，</w:t>
      </w:r>
      <w:r>
        <w:rPr>
          <w:rFonts w:hint="eastAsia" w:ascii="微软雅黑" w:hAnsi="微软雅黑" w:cs="微软雅黑"/>
          <w:sz w:val="20"/>
          <w:szCs w:val="20"/>
          <w:lang w:eastAsia="zh-TW"/>
        </w:rPr>
        <w:t>投标人应将开标一览表(报价表)</w:t>
      </w:r>
      <w:r>
        <w:rPr>
          <w:rFonts w:hint="eastAsia" w:ascii="微软雅黑" w:hAnsi="微软雅黑" w:cs="微软雅黑"/>
          <w:sz w:val="20"/>
          <w:szCs w:val="20"/>
        </w:rPr>
        <w:t>、</w:t>
      </w:r>
      <w:r>
        <w:rPr>
          <w:rFonts w:hint="eastAsia" w:ascii="微软雅黑" w:hAnsi="微软雅黑" w:cs="微软雅黑"/>
          <w:sz w:val="20"/>
          <w:szCs w:val="20"/>
          <w:lang w:eastAsia="zh-TW"/>
        </w:rPr>
        <w:t>投标保证金</w:t>
      </w:r>
      <w:r>
        <w:rPr>
          <w:rFonts w:hint="eastAsia" w:ascii="微软雅黑" w:hAnsi="微软雅黑" w:cs="微软雅黑"/>
          <w:sz w:val="20"/>
          <w:szCs w:val="20"/>
        </w:rPr>
        <w:t>缴付凭证、</w:t>
      </w:r>
      <w:r>
        <w:rPr>
          <w:rFonts w:hint="eastAsia" w:ascii="微软雅黑" w:hAnsi="微软雅黑" w:cs="微软雅黑"/>
          <w:sz w:val="20"/>
          <w:szCs w:val="20"/>
          <w:lang w:eastAsia="zh-TW"/>
        </w:rPr>
        <w:t>法定代表人证明书或法定代表人授权委托书、电子文件和退投标保证金说明函一起密封提交，</w:t>
      </w:r>
      <w:r>
        <w:rPr>
          <w:rFonts w:hint="eastAsia" w:ascii="微软雅黑" w:hAnsi="微软雅黑" w:cs="微软雅黑"/>
          <w:sz w:val="20"/>
          <w:szCs w:val="20"/>
        </w:rPr>
        <w:t>若本项目（或包组）接受联合体投标，则联合体投标，应将各方共同签署的《联合投标协议》和《投标联合体授权主体方协议书》一并提交，</w:t>
      </w:r>
      <w:r>
        <w:rPr>
          <w:rFonts w:hint="eastAsia" w:ascii="微软雅黑" w:hAnsi="微软雅黑" w:cs="微软雅黑"/>
          <w:sz w:val="20"/>
          <w:szCs w:val="20"/>
          <w:lang w:eastAsia="zh-TW"/>
        </w:rPr>
        <w:t>并在信封上标明</w:t>
      </w:r>
      <w:r>
        <w:rPr>
          <w:rFonts w:hint="eastAsia" w:ascii="微软雅黑" w:hAnsi="微软雅黑" w:cs="微软雅黑"/>
          <w:sz w:val="20"/>
          <w:szCs w:val="20"/>
        </w:rPr>
        <w:t>“开标信封”的</w:t>
      </w:r>
      <w:r>
        <w:rPr>
          <w:rFonts w:hint="eastAsia" w:ascii="微软雅黑" w:hAnsi="微软雅黑" w:cs="微软雅黑"/>
          <w:sz w:val="20"/>
          <w:szCs w:val="20"/>
          <w:lang w:eastAsia="zh-TW"/>
        </w:rPr>
        <w:t>字样。投标人应将投标文件正本和所有的副本分开密封装在单独的信封中</w:t>
      </w:r>
      <w:r>
        <w:rPr>
          <w:rFonts w:hint="eastAsia" w:ascii="微软雅黑" w:hAnsi="微软雅黑" w:cs="微软雅黑"/>
          <w:sz w:val="20"/>
          <w:szCs w:val="20"/>
        </w:rPr>
        <w:t>，</w:t>
      </w:r>
      <w:r>
        <w:rPr>
          <w:rFonts w:hint="eastAsia" w:ascii="微软雅黑" w:hAnsi="微软雅黑" w:cs="微软雅黑"/>
          <w:sz w:val="20"/>
          <w:szCs w:val="20"/>
          <w:lang w:eastAsia="zh-TW"/>
        </w:rPr>
        <w:t>且在信封</w:t>
      </w:r>
      <w:r>
        <w:rPr>
          <w:rFonts w:hint="eastAsia" w:ascii="微软雅黑" w:hAnsi="微软雅黑" w:cs="微软雅黑"/>
          <w:sz w:val="20"/>
          <w:szCs w:val="20"/>
        </w:rPr>
        <w:t>上</w:t>
      </w:r>
      <w:r>
        <w:rPr>
          <w:rFonts w:hint="eastAsia" w:ascii="微软雅黑" w:hAnsi="微软雅黑" w:cs="微软雅黑"/>
          <w:sz w:val="20"/>
          <w:szCs w:val="20"/>
          <w:lang w:eastAsia="zh-TW"/>
        </w:rPr>
        <w:t>标明</w:t>
      </w:r>
      <w:r>
        <w:rPr>
          <w:rFonts w:hint="eastAsia" w:ascii="微软雅黑" w:hAnsi="微软雅黑" w:cs="微软雅黑"/>
          <w:sz w:val="20"/>
          <w:szCs w:val="20"/>
        </w:rPr>
        <w:t>“</w:t>
      </w:r>
      <w:r>
        <w:rPr>
          <w:rFonts w:hint="eastAsia" w:ascii="微软雅黑" w:hAnsi="微软雅黑" w:cs="微软雅黑"/>
          <w:sz w:val="20"/>
          <w:szCs w:val="20"/>
          <w:lang w:eastAsia="zh-TW"/>
        </w:rPr>
        <w:t>正本</w:t>
      </w:r>
      <w:r>
        <w:rPr>
          <w:rFonts w:hint="eastAsia" w:ascii="微软雅黑" w:hAnsi="微软雅黑" w:cs="微软雅黑"/>
          <w:sz w:val="20"/>
          <w:szCs w:val="20"/>
        </w:rPr>
        <w:t>”、“副</w:t>
      </w:r>
      <w:r>
        <w:rPr>
          <w:rFonts w:hint="eastAsia" w:ascii="微软雅黑" w:hAnsi="微软雅黑" w:cs="微软雅黑"/>
          <w:sz w:val="20"/>
          <w:szCs w:val="20"/>
          <w:lang w:eastAsia="zh-TW"/>
        </w:rPr>
        <w:t>本</w:t>
      </w:r>
      <w:r>
        <w:rPr>
          <w:rFonts w:hint="eastAsia" w:ascii="微软雅黑" w:hAnsi="微软雅黑" w:cs="微软雅黑"/>
          <w:sz w:val="20"/>
          <w:szCs w:val="20"/>
        </w:rPr>
        <w:t>”</w:t>
      </w:r>
      <w:r>
        <w:rPr>
          <w:rFonts w:hint="eastAsia" w:ascii="微软雅黑" w:hAnsi="微软雅黑" w:cs="微软雅黑"/>
          <w:sz w:val="20"/>
          <w:szCs w:val="20"/>
          <w:lang w:eastAsia="zh-TW"/>
        </w:rPr>
        <w:t>字样。</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投标文件封装：</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清楚写明投标人名称和地址。</w:t>
      </w:r>
    </w:p>
    <w:p>
      <w:pPr>
        <w:widowControl w:val="0"/>
        <w:numPr>
          <w:ilvl w:val="2"/>
          <w:numId w:val="16"/>
        </w:numPr>
        <w:tabs>
          <w:tab w:val="left" w:pos="851"/>
        </w:tabs>
        <w:autoSpaceDE w:val="0"/>
        <w:autoSpaceDN w:val="0"/>
        <w:spacing w:after="0" w:line="360" w:lineRule="auto"/>
        <w:ind w:left="851" w:hanging="851"/>
        <w:jc w:val="both"/>
        <w:rPr>
          <w:rFonts w:ascii="微软雅黑" w:hAnsi="微软雅黑" w:cs="微软雅黑"/>
          <w:sz w:val="20"/>
          <w:szCs w:val="20"/>
        </w:rPr>
      </w:pPr>
      <w:r>
        <w:rPr>
          <w:rFonts w:hint="eastAsia" w:ascii="微软雅黑" w:hAnsi="微软雅黑" w:cs="微软雅黑"/>
          <w:sz w:val="20"/>
          <w:szCs w:val="20"/>
          <w:lang w:eastAsia="zh-TW"/>
        </w:rPr>
        <w:t>注明投标邀请中指明的项目名称、项目编号、包组号（如有）和“在(招标文件中规定的开标日期和时间)之前不得启封”的字样。</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如果未按本须知</w:t>
      </w:r>
      <w:r>
        <w:rPr>
          <w:rFonts w:hint="eastAsia" w:ascii="微软雅黑" w:hAnsi="微软雅黑" w:cs="微软雅黑"/>
          <w:sz w:val="20"/>
          <w:szCs w:val="20"/>
        </w:rPr>
        <w:t>上款</w:t>
      </w:r>
      <w:r>
        <w:rPr>
          <w:rFonts w:hint="eastAsia" w:ascii="微软雅黑" w:hAnsi="微软雅黑" w:cs="微软雅黑"/>
          <w:sz w:val="20"/>
          <w:szCs w:val="20"/>
          <w:lang w:eastAsia="zh-TW"/>
        </w:rPr>
        <w:t>要求加写标记和</w:t>
      </w:r>
      <w:r>
        <w:rPr>
          <w:rFonts w:hint="eastAsia" w:ascii="微软雅黑" w:hAnsi="微软雅黑" w:cs="微软雅黑"/>
          <w:sz w:val="20"/>
          <w:szCs w:val="20"/>
        </w:rPr>
        <w:t>密封，</w:t>
      </w:r>
      <w:r>
        <w:rPr>
          <w:rFonts w:hint="eastAsia" w:ascii="微软雅黑" w:hAnsi="微软雅黑" w:cs="微软雅黑"/>
          <w:sz w:val="20"/>
          <w:szCs w:val="20"/>
          <w:lang w:eastAsia="zh-TW"/>
        </w:rPr>
        <w:t>代理机构对误投或提前启封概不负责</w:t>
      </w:r>
      <w:r>
        <w:rPr>
          <w:rFonts w:hint="eastAsia" w:ascii="微软雅黑" w:hAnsi="微软雅黑" w:cs="微软雅黑"/>
          <w:sz w:val="20"/>
          <w:szCs w:val="20"/>
        </w:rPr>
        <w:t>。</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33" w:name="_Toc453956645"/>
      <w:bookmarkStart w:id="1334" w:name="_Toc28107"/>
      <w:bookmarkStart w:id="1335" w:name="_Toc453957405"/>
      <w:r>
        <w:rPr>
          <w:rFonts w:hint="eastAsia" w:ascii="微软雅黑" w:hAnsi="微软雅黑" w:cs="微软雅黑"/>
          <w:b/>
          <w:bCs/>
          <w:sz w:val="20"/>
          <w:szCs w:val="20"/>
        </w:rPr>
        <w:t>投标截止期</w:t>
      </w:r>
      <w:bookmarkEnd w:id="1333"/>
      <w:bookmarkEnd w:id="1334"/>
      <w:bookmarkEnd w:id="1335"/>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投标人应在不迟于</w:t>
      </w:r>
      <w:r>
        <w:rPr>
          <w:rFonts w:hint="eastAsia" w:ascii="微软雅黑" w:hAnsi="微软雅黑" w:cs="微软雅黑"/>
          <w:b/>
          <w:sz w:val="20"/>
          <w:szCs w:val="20"/>
        </w:rPr>
        <w:t>投标资料表</w:t>
      </w:r>
      <w:r>
        <w:rPr>
          <w:rFonts w:hint="eastAsia" w:ascii="微软雅黑" w:hAnsi="微软雅黑" w:cs="微软雅黑"/>
          <w:sz w:val="20"/>
          <w:szCs w:val="20"/>
          <w:lang w:eastAsia="zh-TW"/>
        </w:rPr>
        <w:t>中规定的截止日期和时间将投标文件递交至采购代理机构</w:t>
      </w:r>
      <w:r>
        <w:rPr>
          <w:rFonts w:hint="eastAsia" w:ascii="微软雅黑" w:hAnsi="微软雅黑" w:cs="微软雅黑"/>
          <w:sz w:val="20"/>
          <w:szCs w:val="20"/>
        </w:rPr>
        <w:t>，</w:t>
      </w:r>
      <w:r>
        <w:rPr>
          <w:rFonts w:hint="eastAsia" w:ascii="微软雅黑" w:hAnsi="微软雅黑" w:cs="微软雅黑"/>
          <w:sz w:val="20"/>
          <w:szCs w:val="20"/>
          <w:lang w:eastAsia="zh-TW"/>
        </w:rPr>
        <w:t>递交地点应是</w:t>
      </w:r>
      <w:r>
        <w:rPr>
          <w:rFonts w:hint="eastAsia" w:ascii="微软雅黑" w:hAnsi="微软雅黑" w:cs="微软雅黑"/>
          <w:b/>
          <w:sz w:val="20"/>
          <w:szCs w:val="20"/>
          <w:lang w:eastAsia="zh-TW"/>
        </w:rPr>
        <w:t>投标资料表</w:t>
      </w:r>
      <w:r>
        <w:rPr>
          <w:rFonts w:hint="eastAsia" w:ascii="微软雅黑" w:hAnsi="微软雅黑" w:cs="微软雅黑"/>
          <w:sz w:val="20"/>
          <w:szCs w:val="20"/>
          <w:lang w:eastAsia="zh-TW"/>
        </w:rPr>
        <w:t>中指明的地址。</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为使投标人准备投标时有充分时间对招标文件的修改部分进行研究</w:t>
      </w:r>
      <w:r>
        <w:rPr>
          <w:rFonts w:hint="eastAsia" w:ascii="微软雅黑" w:hAnsi="微软雅黑" w:cs="微软雅黑"/>
          <w:sz w:val="20"/>
          <w:szCs w:val="20"/>
        </w:rPr>
        <w:t>，</w:t>
      </w:r>
      <w:r>
        <w:rPr>
          <w:rFonts w:hint="eastAsia" w:ascii="微软雅黑" w:hAnsi="微软雅黑" w:cs="微软雅黑"/>
          <w:sz w:val="20"/>
          <w:szCs w:val="20"/>
          <w:lang w:eastAsia="zh-TW"/>
        </w:rPr>
        <w:t>招标采购单位可适当推迟投标截止期，但应发布公告并书面通知所有购买招标文件的潜在投标人。在此情况下</w:t>
      </w:r>
      <w:r>
        <w:rPr>
          <w:rFonts w:hint="eastAsia" w:ascii="微软雅黑" w:hAnsi="微软雅黑" w:cs="微软雅黑"/>
          <w:sz w:val="20"/>
          <w:szCs w:val="20"/>
        </w:rPr>
        <w:t>，</w:t>
      </w:r>
      <w:r>
        <w:rPr>
          <w:rFonts w:hint="eastAsia" w:ascii="微软雅黑" w:hAnsi="微软雅黑" w:cs="微软雅黑"/>
          <w:sz w:val="20"/>
          <w:szCs w:val="20"/>
          <w:lang w:eastAsia="zh-TW"/>
        </w:rPr>
        <w:t>招标采购单位和投标人受投标截止期制约的所有权利和义务均应延长至新的截止期。</w:t>
      </w:r>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采购代理机构将拒收在招标文件规定的投标截止时间之后送达的投标文件。</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36" w:name="_Toc294000397"/>
      <w:bookmarkEnd w:id="1336"/>
      <w:bookmarkStart w:id="1337" w:name="_Toc293507634"/>
      <w:bookmarkEnd w:id="1337"/>
      <w:bookmarkStart w:id="1338" w:name="_Toc293507633"/>
      <w:bookmarkEnd w:id="1338"/>
      <w:bookmarkStart w:id="1339" w:name="_Toc293507832"/>
      <w:bookmarkEnd w:id="1339"/>
      <w:bookmarkStart w:id="1340" w:name="_Toc293507833"/>
      <w:bookmarkEnd w:id="1340"/>
      <w:bookmarkStart w:id="1341" w:name="_Toc294000398"/>
      <w:bookmarkEnd w:id="1341"/>
      <w:bookmarkStart w:id="1342" w:name="_Toc293507635"/>
      <w:bookmarkEnd w:id="1342"/>
      <w:bookmarkStart w:id="1343" w:name="_Toc293506750"/>
      <w:bookmarkEnd w:id="1343"/>
      <w:bookmarkStart w:id="1344" w:name="_Toc293506751"/>
      <w:bookmarkEnd w:id="1344"/>
      <w:bookmarkStart w:id="1345" w:name="_Toc293506749"/>
      <w:bookmarkEnd w:id="1345"/>
      <w:bookmarkStart w:id="1346" w:name="_Toc293507834"/>
      <w:bookmarkEnd w:id="1346"/>
      <w:bookmarkStart w:id="1347" w:name="_Toc293506691"/>
      <w:bookmarkEnd w:id="1347"/>
      <w:bookmarkStart w:id="1348" w:name="_Toc293507728"/>
      <w:bookmarkEnd w:id="1348"/>
      <w:bookmarkStart w:id="1349" w:name="_Toc294000396"/>
      <w:bookmarkEnd w:id="1349"/>
      <w:bookmarkStart w:id="1350" w:name="_Toc293506690"/>
      <w:bookmarkEnd w:id="1350"/>
      <w:bookmarkStart w:id="1351" w:name="_Toc293507726"/>
      <w:bookmarkEnd w:id="1351"/>
      <w:bookmarkStart w:id="1352" w:name="_Toc293507727"/>
      <w:bookmarkEnd w:id="1352"/>
      <w:bookmarkStart w:id="1353" w:name="_Toc293506689"/>
      <w:bookmarkEnd w:id="1353"/>
      <w:bookmarkStart w:id="1354" w:name="_Toc29347"/>
      <w:bookmarkStart w:id="1355" w:name="_Toc453957406"/>
      <w:bookmarkStart w:id="1356" w:name="_Toc453956646"/>
      <w:r>
        <w:rPr>
          <w:rFonts w:hint="eastAsia" w:ascii="微软雅黑" w:hAnsi="微软雅黑" w:cs="微软雅黑"/>
          <w:b/>
          <w:bCs/>
          <w:sz w:val="20"/>
          <w:szCs w:val="20"/>
        </w:rPr>
        <w:t>投标文件的修改和撤回</w:t>
      </w:r>
      <w:bookmarkEnd w:id="1354"/>
      <w:bookmarkEnd w:id="1355"/>
      <w:bookmarkEnd w:id="1356"/>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投标人在投标截止时间前，可以对所递交的投标文件进行补充、修改或者撤回，并书面通知招标采购单位。补充、修改的内容应当按招标文件要求签署、盖章，并作为投标文件的组成部分。在投标截止时间之后，投标人不得对其投标文件做任何修改和补充。</w:t>
      </w:r>
    </w:p>
    <w:p>
      <w:pPr>
        <w:spacing w:before="312" w:beforeLines="100" w:after="312" w:afterLines="100" w:line="360" w:lineRule="auto"/>
        <w:jc w:val="center"/>
        <w:outlineLvl w:val="0"/>
        <w:rPr>
          <w:rFonts w:ascii="宋体" w:hAnsi="宋体" w:cs="楷体_GB2312"/>
          <w:b/>
          <w:sz w:val="28"/>
          <w:szCs w:val="28"/>
          <w:lang w:eastAsia="zh-TW"/>
        </w:rPr>
      </w:pPr>
      <w:bookmarkStart w:id="1357" w:name="_Toc27604"/>
      <w:bookmarkStart w:id="1358" w:name="_Toc453957407"/>
      <w:bookmarkStart w:id="1359" w:name="_Toc453956647"/>
      <w:r>
        <w:rPr>
          <w:rFonts w:hint="eastAsia" w:ascii="宋体" w:hAnsi="宋体" w:cs="楷体_GB2312"/>
          <w:b/>
          <w:sz w:val="28"/>
          <w:szCs w:val="28"/>
          <w:lang w:eastAsia="zh-TW"/>
        </w:rPr>
        <w:t>五、开标与评标</w:t>
      </w:r>
      <w:bookmarkEnd w:id="1357"/>
      <w:bookmarkEnd w:id="1358"/>
      <w:bookmarkEnd w:id="1359"/>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60" w:name="_Toc453957408"/>
      <w:bookmarkStart w:id="1361" w:name="_Toc453956648"/>
      <w:bookmarkStart w:id="1362" w:name="_Toc28744"/>
      <w:r>
        <w:rPr>
          <w:rFonts w:hint="eastAsia" w:ascii="微软雅黑" w:hAnsi="微软雅黑" w:cs="微软雅黑"/>
          <w:b/>
          <w:bCs/>
          <w:sz w:val="20"/>
          <w:szCs w:val="20"/>
        </w:rPr>
        <w:t>开标</w:t>
      </w:r>
      <w:bookmarkEnd w:id="1360"/>
      <w:bookmarkEnd w:id="1361"/>
      <w:bookmarkEnd w:id="1362"/>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采购代理机构在</w:t>
      </w:r>
      <w:r>
        <w:rPr>
          <w:rFonts w:hint="eastAsia" w:ascii="微软雅黑" w:hAnsi="微软雅黑" w:cs="微软雅黑"/>
          <w:b/>
          <w:sz w:val="20"/>
          <w:szCs w:val="20"/>
          <w:lang w:eastAsia="zh-TW"/>
        </w:rPr>
        <w:t>投标邀请</w:t>
      </w:r>
      <w:r>
        <w:rPr>
          <w:rFonts w:hint="eastAsia" w:ascii="微软雅黑" w:hAnsi="微软雅黑" w:cs="微软雅黑"/>
          <w:sz w:val="20"/>
          <w:szCs w:val="20"/>
          <w:lang w:eastAsia="zh-TW"/>
        </w:rPr>
        <w:t>中规定的日期、时</w:t>
      </w:r>
      <w:r>
        <w:rPr>
          <w:rFonts w:hint="eastAsia" w:ascii="微软雅黑" w:hAnsi="微软雅黑" w:cs="微软雅黑"/>
          <w:sz w:val="20"/>
          <w:szCs w:val="20"/>
        </w:rPr>
        <w:t>间</w:t>
      </w:r>
      <w:r>
        <w:rPr>
          <w:rFonts w:hint="eastAsia" w:ascii="微软雅黑" w:hAnsi="微软雅黑" w:cs="微软雅黑"/>
          <w:sz w:val="20"/>
          <w:szCs w:val="20"/>
          <w:lang w:eastAsia="zh-TW"/>
        </w:rPr>
        <w:t>和地点组织公开开标。开标时邀请所有投标人代表参加。参加开标的代表应签名报到以证明其出席。</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开标时</w:t>
      </w:r>
      <w:r>
        <w:rPr>
          <w:rFonts w:hint="eastAsia" w:ascii="微软雅黑" w:hAnsi="微软雅黑" w:cs="微软雅黑"/>
          <w:sz w:val="20"/>
          <w:szCs w:val="20"/>
        </w:rPr>
        <w:t>，</w:t>
      </w:r>
      <w:r>
        <w:rPr>
          <w:rFonts w:hint="eastAsia" w:ascii="微软雅黑" w:hAnsi="微软雅黑" w:cs="微软雅黑"/>
          <w:sz w:val="20"/>
          <w:szCs w:val="20"/>
          <w:lang w:eastAsia="zh-TW"/>
        </w:rPr>
        <w:t>由按签到顺序递交投标文件的前三名投标人代表作为全体投标人推选的代表</w:t>
      </w:r>
      <w:r>
        <w:rPr>
          <w:rFonts w:hint="eastAsia" w:ascii="微软雅黑" w:hAnsi="微软雅黑" w:cs="微软雅黑"/>
          <w:sz w:val="20"/>
          <w:szCs w:val="20"/>
        </w:rPr>
        <w:t>就所有</w:t>
      </w:r>
      <w:r>
        <w:rPr>
          <w:rFonts w:hint="eastAsia" w:ascii="微软雅黑" w:hAnsi="微软雅黑" w:cs="微软雅黑"/>
          <w:sz w:val="20"/>
          <w:szCs w:val="20"/>
          <w:lang w:eastAsia="zh-TW"/>
        </w:rPr>
        <w:t>投标文件的密封情况</w:t>
      </w:r>
      <w:r>
        <w:rPr>
          <w:rFonts w:hint="eastAsia" w:ascii="微软雅黑" w:hAnsi="微软雅黑" w:cs="微软雅黑"/>
          <w:sz w:val="20"/>
          <w:szCs w:val="20"/>
        </w:rPr>
        <w:t>进行检查，</w:t>
      </w:r>
      <w:r>
        <w:rPr>
          <w:rFonts w:hint="eastAsia" w:ascii="微软雅黑" w:hAnsi="微软雅黑" w:cs="微软雅黑"/>
          <w:sz w:val="20"/>
          <w:szCs w:val="20"/>
          <w:lang w:eastAsia="zh-TW"/>
        </w:rPr>
        <w:t>也可以由</w:t>
      </w:r>
      <w:r>
        <w:rPr>
          <w:rFonts w:hint="eastAsia" w:ascii="微软雅黑" w:hAnsi="微软雅黑" w:cs="微软雅黑"/>
          <w:sz w:val="20"/>
          <w:szCs w:val="20"/>
        </w:rPr>
        <w:t>招标</w:t>
      </w:r>
      <w:r>
        <w:rPr>
          <w:rFonts w:hint="eastAsia" w:ascii="微软雅黑" w:hAnsi="微软雅黑" w:cs="微软雅黑"/>
          <w:sz w:val="20"/>
          <w:szCs w:val="20"/>
          <w:lang w:eastAsia="zh-TW"/>
        </w:rPr>
        <w:t>采购</w:t>
      </w:r>
      <w:r>
        <w:rPr>
          <w:rFonts w:hint="eastAsia" w:ascii="微软雅黑" w:hAnsi="微软雅黑" w:cs="微软雅黑"/>
          <w:sz w:val="20"/>
          <w:szCs w:val="20"/>
        </w:rPr>
        <w:t>单位</w:t>
      </w:r>
      <w:r>
        <w:rPr>
          <w:rFonts w:hint="eastAsia" w:ascii="微软雅黑" w:hAnsi="微软雅黑" w:cs="微软雅黑"/>
          <w:sz w:val="20"/>
          <w:szCs w:val="20"/>
          <w:lang w:eastAsia="zh-TW"/>
        </w:rPr>
        <w:t>委托的机构检查并见证，经确认无误后由招标工作人员当众拆封，宣读投标人名称、投标价格、价格折扣</w:t>
      </w:r>
      <w:r>
        <w:rPr>
          <w:rFonts w:hint="eastAsia" w:ascii="微软雅黑" w:hAnsi="微软雅黑" w:cs="微软雅黑"/>
          <w:sz w:val="20"/>
          <w:szCs w:val="20"/>
        </w:rPr>
        <w:t>（如有）</w:t>
      </w:r>
      <w:r>
        <w:rPr>
          <w:rFonts w:hint="eastAsia" w:ascii="微软雅黑" w:hAnsi="微软雅黑" w:cs="微软雅黑"/>
          <w:sz w:val="20"/>
          <w:szCs w:val="20"/>
          <w:lang w:eastAsia="zh-TW"/>
        </w:rPr>
        <w:t>、投标文件的其他主要内容和招标文件允许提供的备选投标方案</w:t>
      </w:r>
      <w:r>
        <w:rPr>
          <w:rFonts w:hint="eastAsia" w:ascii="微软雅黑" w:hAnsi="微软雅黑" w:cs="微软雅黑"/>
          <w:sz w:val="20"/>
          <w:szCs w:val="20"/>
        </w:rPr>
        <w:t>，</w:t>
      </w:r>
      <w:r>
        <w:rPr>
          <w:rFonts w:hint="eastAsia" w:ascii="微软雅黑" w:hAnsi="微软雅黑" w:cs="微软雅黑"/>
          <w:sz w:val="20"/>
          <w:szCs w:val="20"/>
          <w:lang w:eastAsia="zh-TW"/>
        </w:rPr>
        <w:t>以及采购代理机构认为合适的其他内容。</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在开标时</w:t>
      </w:r>
      <w:r>
        <w:rPr>
          <w:rFonts w:hint="eastAsia" w:ascii="微软雅黑" w:hAnsi="微软雅黑" w:cs="微软雅黑"/>
          <w:sz w:val="20"/>
          <w:szCs w:val="20"/>
        </w:rPr>
        <w:t>，未宣读的投标价格、价格折扣（如有）和招标文件允许提供的备选投标方案等实质内容，</w:t>
      </w:r>
      <w:r>
        <w:rPr>
          <w:rFonts w:hint="eastAsia" w:ascii="微软雅黑" w:hAnsi="微软雅黑" w:cs="微软雅黑"/>
          <w:sz w:val="20"/>
          <w:szCs w:val="20"/>
          <w:lang w:eastAsia="zh-TW"/>
        </w:rPr>
        <w:t>评标时不予</w:t>
      </w:r>
      <w:r>
        <w:rPr>
          <w:rFonts w:hint="eastAsia" w:ascii="微软雅黑" w:hAnsi="微软雅黑" w:cs="微软雅黑"/>
          <w:sz w:val="20"/>
          <w:szCs w:val="20"/>
        </w:rPr>
        <w:t>承认</w:t>
      </w:r>
      <w:r>
        <w:rPr>
          <w:rFonts w:hint="eastAsia" w:ascii="微软雅黑" w:hAnsi="微软雅黑" w:cs="微软雅黑"/>
          <w:sz w:val="20"/>
          <w:szCs w:val="20"/>
          <w:lang w:eastAsia="zh-TW"/>
        </w:rPr>
        <w:t>。</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采购代理机构将做开标记录</w:t>
      </w:r>
      <w:r>
        <w:rPr>
          <w:rFonts w:hint="eastAsia" w:ascii="微软雅黑" w:hAnsi="微软雅黑" w:cs="微软雅黑"/>
          <w:sz w:val="20"/>
          <w:szCs w:val="20"/>
        </w:rPr>
        <w:t>，开标记录由投标人代表和有关人员共同签字确认</w:t>
      </w:r>
      <w:r>
        <w:rPr>
          <w:rFonts w:hint="eastAsia" w:ascii="微软雅黑" w:hAnsi="微软雅黑" w:cs="微软雅黑"/>
          <w:sz w:val="20"/>
          <w:szCs w:val="20"/>
          <w:lang w:eastAsia="zh-TW"/>
        </w:rPr>
        <w:t>。</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63" w:name="_Toc453957409"/>
      <w:bookmarkStart w:id="1364" w:name="_Toc15684"/>
      <w:bookmarkStart w:id="1365" w:name="_Toc453956649"/>
      <w:r>
        <w:rPr>
          <w:rFonts w:hint="eastAsia" w:ascii="微软雅黑" w:hAnsi="微软雅黑" w:cs="微软雅黑"/>
          <w:b/>
          <w:bCs/>
          <w:sz w:val="20"/>
          <w:szCs w:val="20"/>
        </w:rPr>
        <w:t>评标委员会和评标方法</w:t>
      </w:r>
      <w:bookmarkEnd w:id="1363"/>
      <w:bookmarkEnd w:id="1364"/>
      <w:bookmarkEnd w:id="1365"/>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评标由依照采购法律、法规、规章、政策的规定，组建的评标委员会负责。评标委员会成员按采购规定由采购人代表和</w:t>
      </w:r>
      <w:r>
        <w:rPr>
          <w:rFonts w:hint="eastAsia" w:ascii="微软雅黑" w:hAnsi="微软雅黑" w:cs="微软雅黑"/>
          <w:sz w:val="20"/>
          <w:szCs w:val="20"/>
        </w:rPr>
        <w:t>有关</w:t>
      </w:r>
      <w:r>
        <w:rPr>
          <w:rFonts w:hint="eastAsia" w:ascii="微软雅黑" w:hAnsi="微软雅黑" w:cs="微软雅黑"/>
          <w:sz w:val="20"/>
          <w:szCs w:val="20"/>
          <w:lang w:eastAsia="zh-TW"/>
        </w:rPr>
        <w:t>技术、经济等方面的专家组成，采购人代表人数、专家人数构成将按照</w:t>
      </w:r>
      <w:r>
        <w:rPr>
          <w:rFonts w:hint="eastAsia" w:ascii="微软雅黑" w:hAnsi="微软雅黑" w:cs="微软雅黑"/>
          <w:b/>
          <w:sz w:val="20"/>
          <w:szCs w:val="20"/>
          <w:lang w:eastAsia="zh-TW"/>
        </w:rPr>
        <w:t>投标资料表</w:t>
      </w:r>
      <w:r>
        <w:rPr>
          <w:rFonts w:hint="eastAsia" w:ascii="微软雅黑" w:hAnsi="微软雅黑" w:cs="微软雅黑"/>
          <w:sz w:val="20"/>
          <w:szCs w:val="20"/>
          <w:lang w:eastAsia="zh-TW"/>
        </w:rPr>
        <w:t>中确定。评标委员会成员依法从专家库中随机抽取。</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评标委员会名单在</w:t>
      </w:r>
      <w:r>
        <w:rPr>
          <w:rFonts w:hint="eastAsia" w:ascii="微软雅黑" w:hAnsi="微软雅黑" w:cs="微软雅黑"/>
          <w:sz w:val="20"/>
          <w:szCs w:val="20"/>
        </w:rPr>
        <w:t>评审</w:t>
      </w:r>
      <w:r>
        <w:rPr>
          <w:rFonts w:hint="eastAsia" w:ascii="微软雅黑" w:hAnsi="微软雅黑" w:cs="微软雅黑"/>
          <w:sz w:val="20"/>
          <w:szCs w:val="20"/>
          <w:lang w:eastAsia="zh-TW"/>
        </w:rPr>
        <w:t>结果确定前严格保密。评审专家有下列情形之一的，受到邀请应主动提出回避，采购当事人也可以要求该评审专家回避：</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三年内曾在参加该采购项目</w:t>
      </w:r>
      <w:r>
        <w:rPr>
          <w:rFonts w:hint="eastAsia" w:ascii="微软雅黑" w:hAnsi="微软雅黑" w:cs="微软雅黑"/>
          <w:sz w:val="20"/>
          <w:szCs w:val="20"/>
        </w:rPr>
        <w:t>投标人</w:t>
      </w:r>
      <w:r>
        <w:rPr>
          <w:rFonts w:hint="eastAsia" w:ascii="微软雅黑" w:hAnsi="微软雅黑" w:cs="微软雅黑"/>
          <w:sz w:val="20"/>
          <w:szCs w:val="20"/>
          <w:lang w:eastAsia="zh-TW"/>
        </w:rPr>
        <w:t>中任职或担任顾问的</w:t>
      </w:r>
      <w:r>
        <w:rPr>
          <w:rFonts w:hint="eastAsia" w:ascii="微软雅黑" w:hAnsi="微软雅黑" w:cs="微软雅黑"/>
          <w:sz w:val="20"/>
          <w:szCs w:val="20"/>
        </w:rPr>
        <w:t>；</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配偶或直系亲属在参加该采购项目的</w:t>
      </w:r>
      <w:r>
        <w:rPr>
          <w:rFonts w:hint="eastAsia" w:ascii="微软雅黑" w:hAnsi="微软雅黑" w:cs="微软雅黑"/>
          <w:sz w:val="20"/>
          <w:szCs w:val="20"/>
        </w:rPr>
        <w:t>投标人</w:t>
      </w:r>
      <w:r>
        <w:rPr>
          <w:rFonts w:hint="eastAsia" w:ascii="微软雅黑" w:hAnsi="微软雅黑" w:cs="微软雅黑"/>
          <w:sz w:val="20"/>
          <w:szCs w:val="20"/>
          <w:lang w:eastAsia="zh-TW"/>
        </w:rPr>
        <w:t>中任职或担任顾问的</w:t>
      </w:r>
      <w:r>
        <w:rPr>
          <w:rFonts w:hint="eastAsia" w:ascii="微软雅黑" w:hAnsi="微软雅黑" w:cs="微软雅黑"/>
          <w:sz w:val="20"/>
          <w:szCs w:val="20"/>
        </w:rPr>
        <w:t>；</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与参加该采购项目</w:t>
      </w:r>
      <w:r>
        <w:rPr>
          <w:rFonts w:hint="eastAsia" w:ascii="微软雅黑" w:hAnsi="微软雅黑" w:cs="微软雅黑"/>
          <w:sz w:val="20"/>
          <w:szCs w:val="20"/>
        </w:rPr>
        <w:t>投标人</w:t>
      </w:r>
      <w:r>
        <w:rPr>
          <w:rFonts w:hint="eastAsia" w:ascii="微软雅黑" w:hAnsi="微软雅黑" w:cs="微软雅黑"/>
          <w:sz w:val="20"/>
          <w:szCs w:val="20"/>
          <w:lang w:eastAsia="zh-TW"/>
        </w:rPr>
        <w:t>发生过法律纠纷的</w:t>
      </w:r>
      <w:r>
        <w:rPr>
          <w:rFonts w:hint="eastAsia" w:ascii="微软雅黑" w:hAnsi="微软雅黑" w:cs="微软雅黑"/>
          <w:sz w:val="20"/>
          <w:szCs w:val="20"/>
        </w:rPr>
        <w:t>；</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评标委员会中，同一任职单位评审专家超过二名的</w:t>
      </w:r>
      <w:r>
        <w:rPr>
          <w:rFonts w:hint="eastAsia" w:ascii="微软雅黑" w:hAnsi="微软雅黑" w:cs="微软雅黑"/>
          <w:sz w:val="20"/>
          <w:szCs w:val="20"/>
        </w:rPr>
        <w:t>；</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任职单位与采购人或参与该采购项目</w:t>
      </w:r>
      <w:r>
        <w:rPr>
          <w:rFonts w:hint="eastAsia" w:ascii="微软雅黑" w:hAnsi="微软雅黑" w:cs="微软雅黑"/>
          <w:sz w:val="20"/>
          <w:szCs w:val="20"/>
        </w:rPr>
        <w:t>投标人</w:t>
      </w:r>
      <w:r>
        <w:rPr>
          <w:rFonts w:hint="eastAsia" w:ascii="微软雅黑" w:hAnsi="微软雅黑" w:cs="微软雅黑"/>
          <w:sz w:val="20"/>
          <w:szCs w:val="20"/>
          <w:lang w:eastAsia="zh-TW"/>
        </w:rPr>
        <w:t>存在行政隶属关系的</w:t>
      </w:r>
      <w:r>
        <w:rPr>
          <w:rFonts w:hint="eastAsia" w:ascii="微软雅黑" w:hAnsi="微软雅黑" w:cs="微软雅黑"/>
          <w:sz w:val="20"/>
          <w:szCs w:val="20"/>
        </w:rPr>
        <w:t>；</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参与招标文件论证的</w:t>
      </w:r>
      <w:r>
        <w:rPr>
          <w:rFonts w:hint="eastAsia" w:ascii="微软雅黑" w:hAnsi="微软雅黑" w:cs="微软雅黑"/>
          <w:sz w:val="20"/>
          <w:szCs w:val="20"/>
        </w:rPr>
        <w:t>；</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法律、法规、规章规定应当回避以及其他可能影响公正评审的。</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评标委员会和有关工作人员不得透露对投标文件的评审和比较以及与评标有关的其他情况。</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评标委员会将按照</w:t>
      </w:r>
      <w:r>
        <w:rPr>
          <w:rFonts w:hint="eastAsia" w:ascii="微软雅黑" w:hAnsi="微软雅黑" w:cs="微软雅黑"/>
          <w:b/>
          <w:sz w:val="20"/>
          <w:szCs w:val="20"/>
          <w:lang w:eastAsia="zh-TW"/>
        </w:rPr>
        <w:t>投标资料表</w:t>
      </w:r>
      <w:r>
        <w:rPr>
          <w:rFonts w:hint="eastAsia" w:ascii="微软雅黑" w:hAnsi="微软雅黑" w:cs="微软雅黑"/>
          <w:sz w:val="20"/>
          <w:szCs w:val="20"/>
          <w:lang w:eastAsia="zh-TW"/>
        </w:rPr>
        <w:t>中确定的评标方法</w:t>
      </w:r>
      <w:r>
        <w:rPr>
          <w:rFonts w:hint="eastAsia" w:ascii="微软雅黑" w:hAnsi="微软雅黑" w:cs="微软雅黑"/>
          <w:sz w:val="20"/>
          <w:szCs w:val="20"/>
        </w:rPr>
        <w:t>和</w:t>
      </w:r>
      <w:r>
        <w:rPr>
          <w:rFonts w:hint="eastAsia" w:ascii="微软雅黑" w:hAnsi="微软雅黑" w:cs="微软雅黑"/>
          <w:sz w:val="20"/>
          <w:szCs w:val="20"/>
          <w:lang w:eastAsia="zh-TW"/>
        </w:rPr>
        <w:t>本招标文件规定</w:t>
      </w:r>
      <w:r>
        <w:rPr>
          <w:rFonts w:hint="eastAsia" w:ascii="微软雅黑" w:hAnsi="微软雅黑" w:cs="微软雅黑"/>
          <w:sz w:val="20"/>
          <w:szCs w:val="20"/>
        </w:rPr>
        <w:t>的评标</w:t>
      </w:r>
      <w:r>
        <w:rPr>
          <w:rFonts w:hint="eastAsia" w:ascii="微软雅黑" w:hAnsi="微软雅黑" w:cs="微软雅黑"/>
          <w:sz w:val="20"/>
          <w:szCs w:val="20"/>
          <w:lang w:eastAsia="zh-TW"/>
        </w:rPr>
        <w:t>标准进行评标。</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66" w:name="_Toc453957410"/>
      <w:bookmarkStart w:id="1367" w:name="_Toc453956650"/>
      <w:bookmarkStart w:id="1368" w:name="_Toc2038"/>
      <w:r>
        <w:rPr>
          <w:rFonts w:hint="eastAsia" w:ascii="微软雅黑" w:hAnsi="微软雅黑" w:cs="微软雅黑"/>
          <w:b/>
          <w:bCs/>
          <w:sz w:val="20"/>
          <w:szCs w:val="20"/>
        </w:rPr>
        <w:t>投标文件的初审</w:t>
      </w:r>
      <w:bookmarkEnd w:id="1366"/>
      <w:bookmarkEnd w:id="1367"/>
      <w:bookmarkEnd w:id="1368"/>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评标委员会将</w:t>
      </w:r>
      <w:r>
        <w:rPr>
          <w:rFonts w:hint="eastAsia" w:ascii="微软雅黑" w:hAnsi="微软雅黑" w:cs="微软雅黑"/>
          <w:sz w:val="20"/>
          <w:szCs w:val="20"/>
        </w:rPr>
        <w:t>依法</w:t>
      </w:r>
      <w:r>
        <w:rPr>
          <w:rFonts w:hint="eastAsia" w:ascii="微软雅黑" w:hAnsi="微软雅黑" w:cs="微软雅黑"/>
          <w:sz w:val="20"/>
          <w:szCs w:val="20"/>
          <w:lang w:eastAsia="zh-TW"/>
        </w:rPr>
        <w:t>审查投标文件是否完整、文件签署是否合格、是否按招标文件的规定密封和标记、投标人是否</w:t>
      </w:r>
      <w:r>
        <w:rPr>
          <w:rFonts w:hint="eastAsia" w:ascii="微软雅黑" w:hAnsi="微软雅黑" w:cs="微软雅黑"/>
          <w:sz w:val="20"/>
          <w:szCs w:val="20"/>
        </w:rPr>
        <w:t>缴纳</w:t>
      </w:r>
      <w:r>
        <w:rPr>
          <w:rFonts w:hint="eastAsia" w:ascii="微软雅黑" w:hAnsi="微软雅黑" w:cs="微软雅黑"/>
          <w:sz w:val="20"/>
          <w:szCs w:val="20"/>
          <w:lang w:eastAsia="zh-TW"/>
        </w:rPr>
        <w:t>了投标保证金、有无计算</w:t>
      </w:r>
      <w:r>
        <w:rPr>
          <w:rFonts w:hint="eastAsia" w:ascii="微软雅黑" w:hAnsi="微软雅黑" w:cs="微软雅黑"/>
          <w:sz w:val="20"/>
          <w:szCs w:val="20"/>
        </w:rPr>
        <w:t>上</w:t>
      </w:r>
      <w:r>
        <w:rPr>
          <w:rFonts w:hint="eastAsia" w:ascii="微软雅黑" w:hAnsi="微软雅黑" w:cs="微软雅黑"/>
          <w:sz w:val="20"/>
          <w:szCs w:val="20"/>
          <w:lang w:eastAsia="zh-TW"/>
        </w:rPr>
        <w:t>的错误等。</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Pr>
          <w:rFonts w:hint="eastAsia" w:ascii="微软雅黑" w:hAnsi="微软雅黑" w:cs="微软雅黑"/>
          <w:sz w:val="20"/>
          <w:szCs w:val="20"/>
        </w:rPr>
        <w:t>。如果投标人不接受对其错误的更正，其投标将被视为无效投标或确定为投标无效。</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对于投标文件中不构成实质性偏差的不正规、不一致或不规则</w:t>
      </w:r>
      <w:r>
        <w:rPr>
          <w:rFonts w:hint="eastAsia" w:ascii="微软雅黑" w:hAnsi="微软雅黑" w:cs="微软雅黑"/>
          <w:sz w:val="20"/>
          <w:szCs w:val="20"/>
        </w:rPr>
        <w:t>，</w:t>
      </w:r>
      <w:r>
        <w:rPr>
          <w:rFonts w:hint="eastAsia" w:ascii="微软雅黑" w:hAnsi="微软雅黑" w:cs="微软雅黑"/>
          <w:sz w:val="20"/>
          <w:szCs w:val="20"/>
          <w:lang w:eastAsia="zh-TW"/>
        </w:rPr>
        <w:t>评标委员会可以接受</w:t>
      </w:r>
      <w:r>
        <w:rPr>
          <w:rFonts w:hint="eastAsia" w:ascii="微软雅黑" w:hAnsi="微软雅黑" w:cs="微软雅黑"/>
          <w:sz w:val="20"/>
          <w:szCs w:val="20"/>
        </w:rPr>
        <w:t>，</w:t>
      </w:r>
      <w:r>
        <w:rPr>
          <w:rFonts w:hint="eastAsia" w:ascii="微软雅黑" w:hAnsi="微软雅黑" w:cs="微软雅黑"/>
          <w:sz w:val="20"/>
          <w:szCs w:val="20"/>
          <w:lang w:eastAsia="zh-TW"/>
        </w:rPr>
        <w:t>但这种接受不能损害或影响任何投标人的相对排序。</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在详细评标之前</w:t>
      </w:r>
      <w:r>
        <w:rPr>
          <w:rFonts w:hint="eastAsia" w:ascii="微软雅黑" w:hAnsi="微软雅黑" w:cs="微软雅黑"/>
          <w:sz w:val="20"/>
          <w:szCs w:val="20"/>
        </w:rPr>
        <w:t>，</w:t>
      </w:r>
      <w:r>
        <w:rPr>
          <w:rFonts w:hint="eastAsia" w:ascii="微软雅黑" w:hAnsi="微软雅黑" w:cs="微软雅黑"/>
          <w:sz w:val="20"/>
          <w:szCs w:val="20"/>
          <w:lang w:eastAsia="zh-TW"/>
        </w:rPr>
        <w:t>评标委员会要审查每份投标文件是否实质上响应了招标文件的要求。实质上</w:t>
      </w:r>
      <w:r>
        <w:rPr>
          <w:rFonts w:hint="eastAsia" w:ascii="微软雅黑" w:hAnsi="微软雅黑" w:cs="微软雅黑"/>
          <w:sz w:val="20"/>
          <w:szCs w:val="20"/>
        </w:rPr>
        <w:t>响</w:t>
      </w:r>
      <w:r>
        <w:rPr>
          <w:rFonts w:hint="eastAsia" w:ascii="微软雅黑" w:hAnsi="微软雅黑" w:cs="微软雅黑"/>
          <w:sz w:val="20"/>
          <w:szCs w:val="20"/>
          <w:lang w:eastAsia="zh-TW"/>
        </w:rPr>
        <w:t>应的投标</w:t>
      </w:r>
      <w:r>
        <w:rPr>
          <w:rFonts w:hint="eastAsia" w:ascii="微软雅黑" w:hAnsi="微软雅黑" w:cs="微软雅黑"/>
          <w:sz w:val="20"/>
          <w:szCs w:val="20"/>
        </w:rPr>
        <w:t>文件</w:t>
      </w:r>
      <w:r>
        <w:rPr>
          <w:rFonts w:hint="eastAsia" w:ascii="微软雅黑" w:hAnsi="微软雅黑" w:cs="微软雅黑"/>
          <w:sz w:val="20"/>
          <w:szCs w:val="20"/>
          <w:lang w:eastAsia="zh-TW"/>
        </w:rPr>
        <w:t>应该是与招标文件要求的关键条款</w:t>
      </w:r>
      <w:r>
        <w:rPr>
          <w:rFonts w:hint="eastAsia" w:ascii="微软雅黑" w:hAnsi="微软雅黑" w:cs="微软雅黑"/>
          <w:sz w:val="20"/>
          <w:szCs w:val="20"/>
        </w:rPr>
        <w:t>、</w:t>
      </w:r>
      <w:r>
        <w:rPr>
          <w:rFonts w:hint="eastAsia" w:ascii="微软雅黑" w:hAnsi="微软雅黑" w:cs="微软雅黑"/>
          <w:sz w:val="20"/>
          <w:szCs w:val="20"/>
          <w:lang w:eastAsia="zh-TW"/>
        </w:rPr>
        <w:t>条件和规格相符</w:t>
      </w:r>
      <w:r>
        <w:rPr>
          <w:rFonts w:hint="eastAsia" w:ascii="微软雅黑" w:hAnsi="微软雅黑" w:cs="微软雅黑"/>
          <w:sz w:val="20"/>
          <w:szCs w:val="20"/>
        </w:rPr>
        <w:t>或优于，</w:t>
      </w:r>
      <w:r>
        <w:rPr>
          <w:rFonts w:hint="eastAsia" w:ascii="微软雅黑" w:hAnsi="微软雅黑" w:cs="微软雅黑"/>
          <w:sz w:val="20"/>
          <w:szCs w:val="20"/>
          <w:lang w:eastAsia="zh-TW"/>
        </w:rPr>
        <w:t>没有</w:t>
      </w:r>
      <w:r>
        <w:rPr>
          <w:rFonts w:hint="eastAsia" w:ascii="微软雅黑" w:hAnsi="微软雅黑" w:cs="微软雅黑"/>
          <w:sz w:val="20"/>
          <w:szCs w:val="20"/>
        </w:rPr>
        <w:t>实质</w:t>
      </w:r>
      <w:r>
        <w:rPr>
          <w:rFonts w:hint="eastAsia" w:ascii="微软雅黑" w:hAnsi="微软雅黑" w:cs="微软雅黑"/>
          <w:sz w:val="20"/>
          <w:szCs w:val="20"/>
          <w:lang w:eastAsia="zh-TW"/>
        </w:rPr>
        <w:t>偏离的投标</w:t>
      </w:r>
      <w:r>
        <w:rPr>
          <w:rFonts w:hint="eastAsia" w:ascii="微软雅黑" w:hAnsi="微软雅黑" w:cs="微软雅黑"/>
          <w:sz w:val="20"/>
          <w:szCs w:val="20"/>
        </w:rPr>
        <w:t>文件</w:t>
      </w:r>
      <w:r>
        <w:rPr>
          <w:rFonts w:hint="eastAsia" w:ascii="微软雅黑" w:hAnsi="微软雅黑" w:cs="微软雅黑"/>
          <w:sz w:val="20"/>
          <w:szCs w:val="20"/>
          <w:lang w:eastAsia="zh-TW"/>
        </w:rPr>
        <w:t>。评标委员会决定投标的响应性只根据投标</w:t>
      </w:r>
      <w:r>
        <w:rPr>
          <w:rFonts w:hint="eastAsia" w:ascii="微软雅黑" w:hAnsi="微软雅黑" w:cs="微软雅黑"/>
          <w:sz w:val="20"/>
          <w:szCs w:val="20"/>
        </w:rPr>
        <w:t>文件</w:t>
      </w:r>
      <w:r>
        <w:rPr>
          <w:rFonts w:hint="eastAsia" w:ascii="微软雅黑" w:hAnsi="微软雅黑" w:cs="微软雅黑"/>
          <w:sz w:val="20"/>
          <w:szCs w:val="20"/>
          <w:lang w:eastAsia="zh-TW"/>
        </w:rPr>
        <w:t>本身的真实无误的内容</w:t>
      </w:r>
      <w:r>
        <w:rPr>
          <w:rFonts w:hint="eastAsia" w:ascii="微软雅黑" w:hAnsi="微软雅黑" w:cs="微软雅黑"/>
          <w:sz w:val="20"/>
          <w:szCs w:val="20"/>
        </w:rPr>
        <w:t>，</w:t>
      </w:r>
      <w:r>
        <w:rPr>
          <w:rFonts w:hint="eastAsia" w:ascii="微软雅黑" w:hAnsi="微软雅黑" w:cs="微软雅黑"/>
          <w:sz w:val="20"/>
          <w:szCs w:val="20"/>
          <w:lang w:eastAsia="zh-TW"/>
        </w:rPr>
        <w:t>而不依据外部的证据</w:t>
      </w:r>
      <w:r>
        <w:rPr>
          <w:rFonts w:hint="eastAsia" w:ascii="微软雅黑" w:hAnsi="微软雅黑" w:cs="微软雅黑"/>
          <w:sz w:val="20"/>
          <w:szCs w:val="20"/>
        </w:rPr>
        <w:t>，</w:t>
      </w:r>
      <w:r>
        <w:rPr>
          <w:rFonts w:hint="eastAsia" w:ascii="微软雅黑" w:hAnsi="微软雅黑" w:cs="微软雅黑"/>
          <w:sz w:val="20"/>
          <w:szCs w:val="20"/>
          <w:lang w:eastAsia="zh-TW"/>
        </w:rPr>
        <w:t>但投标有不真实不正确的内容时除外。</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实质上没有响应招标文件要求的投标将</w:t>
      </w:r>
      <w:r>
        <w:rPr>
          <w:rFonts w:hint="eastAsia" w:ascii="微软雅黑" w:hAnsi="微软雅黑" w:cs="微软雅黑"/>
          <w:sz w:val="20"/>
          <w:szCs w:val="20"/>
        </w:rPr>
        <w:t>被视为无效投标</w:t>
      </w:r>
      <w:r>
        <w:rPr>
          <w:rFonts w:hint="eastAsia" w:ascii="微软雅黑" w:hAnsi="微软雅黑" w:cs="微软雅黑"/>
          <w:sz w:val="20"/>
          <w:szCs w:val="20"/>
          <w:lang w:eastAsia="zh-TW"/>
        </w:rPr>
        <w:t>。投标人不得通过修正或撤销不合要求的偏离或保留从而使其投标成为实质上响应的投标。</w:t>
      </w:r>
    </w:p>
    <w:p>
      <w:pPr>
        <w:widowControl w:val="0"/>
        <w:numPr>
          <w:ilvl w:val="2"/>
          <w:numId w:val="16"/>
        </w:numPr>
        <w:tabs>
          <w:tab w:val="left" w:pos="851"/>
        </w:tabs>
        <w:autoSpaceDE w:val="0"/>
        <w:autoSpaceDN w:val="0"/>
        <w:spacing w:after="0" w:line="360" w:lineRule="auto"/>
        <w:ind w:left="851" w:hanging="851"/>
        <w:jc w:val="both"/>
        <w:rPr>
          <w:rFonts w:ascii="微软雅黑" w:hAnsi="微软雅黑" w:cs="微软雅黑"/>
          <w:sz w:val="20"/>
          <w:szCs w:val="20"/>
        </w:rPr>
      </w:pPr>
      <w:r>
        <w:rPr>
          <w:rFonts w:hint="eastAsia" w:ascii="微软雅黑" w:hAnsi="微软雅黑" w:cs="微软雅黑"/>
          <w:sz w:val="20"/>
          <w:szCs w:val="20"/>
          <w:lang w:eastAsia="zh-TW"/>
        </w:rPr>
        <w:t>在资格性审查、符合性检查时，未能通过资格性、符合性审查被认定为无效投标，具体条款</w:t>
      </w:r>
      <w:r>
        <w:rPr>
          <w:rFonts w:hint="eastAsia" w:ascii="微软雅黑" w:hAnsi="微软雅黑" w:cs="微软雅黑"/>
          <w:sz w:val="20"/>
          <w:szCs w:val="20"/>
        </w:rPr>
        <w:t>详</w:t>
      </w:r>
      <w:r>
        <w:rPr>
          <w:rFonts w:hint="eastAsia" w:ascii="微软雅黑" w:hAnsi="微软雅黑" w:cs="微软雅黑"/>
          <w:sz w:val="20"/>
          <w:szCs w:val="20"/>
          <w:lang w:eastAsia="zh-TW"/>
        </w:rPr>
        <w:t>见招标文件《资格、符合性评审条款》</w:t>
      </w:r>
      <w:r>
        <w:rPr>
          <w:rFonts w:hint="eastAsia" w:ascii="微软雅黑" w:hAnsi="微软雅黑" w:cs="微软雅黑"/>
          <w:sz w:val="20"/>
          <w:szCs w:val="20"/>
        </w:rPr>
        <w:t xml:space="preserve">； </w:t>
      </w:r>
    </w:p>
    <w:p>
      <w:pPr>
        <w:widowControl w:val="0"/>
        <w:numPr>
          <w:ilvl w:val="2"/>
          <w:numId w:val="16"/>
        </w:numPr>
        <w:tabs>
          <w:tab w:val="left" w:pos="851"/>
        </w:tabs>
        <w:autoSpaceDE w:val="0"/>
        <w:autoSpaceDN w:val="0"/>
        <w:spacing w:after="0" w:line="360" w:lineRule="auto"/>
        <w:ind w:left="851" w:hanging="851"/>
        <w:jc w:val="both"/>
        <w:rPr>
          <w:rFonts w:ascii="微软雅黑" w:hAnsi="微软雅黑" w:cs="微软雅黑"/>
          <w:sz w:val="20"/>
          <w:szCs w:val="20"/>
        </w:rPr>
      </w:pPr>
      <w:r>
        <w:rPr>
          <w:rFonts w:hint="eastAsia" w:ascii="微软雅黑" w:hAnsi="微软雅黑" w:cs="微软雅黑"/>
          <w:sz w:val="20"/>
          <w:szCs w:val="20"/>
          <w:lang w:eastAsia="zh-TW"/>
        </w:rPr>
        <w:t>评标委员会对各投标人进行资格性和符合性审查过程中，对初步被认定为初审不合格或无效投标者应实行及时告知</w:t>
      </w:r>
      <w:r>
        <w:rPr>
          <w:rFonts w:hint="eastAsia" w:ascii="微软雅黑" w:hAnsi="微软雅黑" w:cs="微软雅黑"/>
          <w:sz w:val="20"/>
          <w:szCs w:val="20"/>
        </w:rPr>
        <w:t>，</w:t>
      </w:r>
      <w:r>
        <w:rPr>
          <w:rFonts w:hint="eastAsia" w:ascii="微软雅黑" w:hAnsi="微软雅黑" w:cs="微软雅黑"/>
          <w:sz w:val="20"/>
          <w:szCs w:val="20"/>
          <w:lang w:eastAsia="zh-TW"/>
        </w:rPr>
        <w:t>由评标委员会主任或采购人代表将集体意见现场及时告知投标当事人，以让其核证、澄清事实。</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69" w:name="_Toc4317"/>
      <w:bookmarkStart w:id="1370" w:name="_Toc453956651"/>
      <w:bookmarkStart w:id="1371" w:name="_Toc453957411"/>
      <w:r>
        <w:rPr>
          <w:rFonts w:hint="eastAsia" w:ascii="微软雅黑" w:hAnsi="微软雅黑" w:cs="微软雅黑"/>
          <w:b/>
          <w:bCs/>
          <w:sz w:val="20"/>
          <w:szCs w:val="20"/>
        </w:rPr>
        <w:t>投标文件的澄清</w:t>
      </w:r>
      <w:bookmarkEnd w:id="1369"/>
      <w:bookmarkEnd w:id="1370"/>
      <w:bookmarkEnd w:id="1371"/>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评标期间，对投标文件中含义不明确、同类问题表述不一致或者有明显文字和计算错误的内容，评标委员会可以书面形式（应当由评标委员会专家签字）要求投标人作出必要的澄清、说明或者纠正，但不得允许投标人对投标报价等实质性内容做任何更改。投标人的澄清、说明或者补正应当采用书面形式</w:t>
      </w:r>
      <w:r>
        <w:rPr>
          <w:rFonts w:hint="eastAsia" w:ascii="微软雅黑" w:hAnsi="微软雅黑" w:cs="微软雅黑"/>
          <w:sz w:val="20"/>
          <w:szCs w:val="20"/>
        </w:rPr>
        <w:t>，</w:t>
      </w:r>
      <w:r>
        <w:rPr>
          <w:rFonts w:hint="eastAsia" w:ascii="微软雅黑" w:hAnsi="微软雅黑" w:cs="微软雅黑"/>
          <w:sz w:val="20"/>
          <w:szCs w:val="20"/>
          <w:lang w:eastAsia="zh-TW"/>
        </w:rPr>
        <w:t>由其授权的代表签字</w:t>
      </w:r>
      <w:r>
        <w:rPr>
          <w:rFonts w:hint="eastAsia" w:ascii="微软雅黑" w:hAnsi="微软雅黑" w:cs="微软雅黑"/>
          <w:sz w:val="20"/>
          <w:szCs w:val="20"/>
        </w:rPr>
        <w:t>或盖章</w:t>
      </w:r>
      <w:r>
        <w:rPr>
          <w:rFonts w:hint="eastAsia" w:ascii="微软雅黑" w:hAnsi="微软雅黑" w:cs="微软雅黑"/>
          <w:sz w:val="20"/>
          <w:szCs w:val="20"/>
          <w:lang w:eastAsia="zh-TW"/>
        </w:rPr>
        <w:t>，但</w:t>
      </w:r>
      <w:r>
        <w:rPr>
          <w:rFonts w:hint="eastAsia" w:ascii="微软雅黑" w:hAnsi="微软雅黑" w:cs="微软雅黑"/>
          <w:sz w:val="20"/>
          <w:szCs w:val="20"/>
        </w:rPr>
        <w:t>不得超出投标文件的范围或者改变投标文件的实质性内容。</w:t>
      </w:r>
      <w:r>
        <w:rPr>
          <w:rFonts w:hint="eastAsia" w:ascii="微软雅黑" w:hAnsi="微软雅黑" w:cs="微软雅黑"/>
          <w:sz w:val="20"/>
          <w:szCs w:val="20"/>
          <w:lang w:eastAsia="zh-TW"/>
        </w:rPr>
        <w:t>有关澄清的答复均应由投标人的法定代表人或授权代表签字</w:t>
      </w:r>
      <w:r>
        <w:rPr>
          <w:rFonts w:hint="eastAsia" w:ascii="微软雅黑" w:hAnsi="微软雅黑" w:cs="微软雅黑"/>
          <w:sz w:val="20"/>
          <w:szCs w:val="20"/>
        </w:rPr>
        <w:t>或盖章</w:t>
      </w:r>
      <w:r>
        <w:rPr>
          <w:rFonts w:hint="eastAsia" w:ascii="微软雅黑" w:hAnsi="微软雅黑" w:cs="微软雅黑"/>
          <w:sz w:val="20"/>
          <w:szCs w:val="20"/>
          <w:lang w:eastAsia="zh-TW"/>
        </w:rPr>
        <w:t>的书面形式作出。</w:t>
      </w:r>
    </w:p>
    <w:p>
      <w:pPr>
        <w:widowControl w:val="0"/>
        <w:numPr>
          <w:ilvl w:val="1"/>
          <w:numId w:val="16"/>
        </w:numPr>
        <w:autoSpaceDE w:val="0"/>
        <w:autoSpaceDN w:val="0"/>
        <w:spacing w:after="0" w:line="360" w:lineRule="auto"/>
        <w:jc w:val="both"/>
        <w:rPr>
          <w:rFonts w:ascii="微软雅黑" w:hAnsi="微软雅黑" w:cs="微软雅黑"/>
          <w:sz w:val="20"/>
          <w:szCs w:val="20"/>
          <w:lang w:eastAsia="zh-TW"/>
        </w:rPr>
      </w:pPr>
      <w:r>
        <w:rPr>
          <w:rFonts w:hint="eastAsia" w:ascii="微软雅黑" w:hAnsi="微软雅黑" w:cs="微软雅黑"/>
          <w:sz w:val="20"/>
          <w:szCs w:val="20"/>
          <w:lang w:eastAsia="zh-TW"/>
        </w:rPr>
        <w:t>投标人的澄清文件是其投标文件的组成部分。</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72" w:name="_Toc453957412"/>
      <w:bookmarkStart w:id="1373" w:name="_Toc453956652"/>
      <w:bookmarkStart w:id="1374" w:name="_Toc356"/>
      <w:r>
        <w:rPr>
          <w:rFonts w:hint="eastAsia" w:ascii="微软雅黑" w:hAnsi="微软雅黑" w:cs="微软雅黑"/>
          <w:b/>
          <w:bCs/>
          <w:sz w:val="20"/>
          <w:szCs w:val="20"/>
        </w:rPr>
        <w:t>投标文件详细评价</w:t>
      </w:r>
      <w:bookmarkEnd w:id="1372"/>
      <w:bookmarkEnd w:id="1373"/>
      <w:bookmarkEnd w:id="1374"/>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rPr>
        <w:t>评</w:t>
      </w:r>
      <w:r>
        <w:rPr>
          <w:rFonts w:hint="eastAsia" w:ascii="微软雅黑" w:hAnsi="微软雅黑" w:cs="微软雅黑"/>
          <w:sz w:val="20"/>
          <w:szCs w:val="20"/>
          <w:lang w:eastAsia="zh-TW"/>
        </w:rPr>
        <w:t>标委员会将</w:t>
      </w:r>
      <w:r>
        <w:rPr>
          <w:rFonts w:hint="eastAsia" w:ascii="微软雅黑" w:hAnsi="微软雅黑" w:cs="微软雅黑"/>
          <w:sz w:val="20"/>
          <w:szCs w:val="20"/>
        </w:rPr>
        <w:t>对通过</w:t>
      </w:r>
      <w:r>
        <w:rPr>
          <w:rFonts w:hint="eastAsia" w:ascii="微软雅黑" w:hAnsi="微软雅黑" w:cs="微软雅黑"/>
          <w:sz w:val="20"/>
          <w:szCs w:val="20"/>
          <w:lang w:eastAsia="zh-TW"/>
        </w:rPr>
        <w:t>资格性、符合性审查的投标</w:t>
      </w:r>
      <w:r>
        <w:rPr>
          <w:rFonts w:hint="eastAsia" w:ascii="微软雅黑" w:hAnsi="微软雅黑" w:cs="微软雅黑"/>
          <w:sz w:val="20"/>
          <w:szCs w:val="20"/>
        </w:rPr>
        <w:t>文件</w:t>
      </w:r>
      <w:r>
        <w:rPr>
          <w:rFonts w:hint="eastAsia" w:ascii="微软雅黑" w:hAnsi="微软雅黑" w:cs="微软雅黑"/>
          <w:sz w:val="20"/>
          <w:szCs w:val="20"/>
          <w:lang w:eastAsia="zh-TW"/>
        </w:rPr>
        <w:t>进行</w:t>
      </w:r>
      <w:r>
        <w:rPr>
          <w:rFonts w:hint="eastAsia" w:ascii="微软雅黑" w:hAnsi="微软雅黑" w:cs="微软雅黑"/>
          <w:sz w:val="20"/>
          <w:szCs w:val="20"/>
        </w:rPr>
        <w:t>详细</w:t>
      </w:r>
      <w:r>
        <w:rPr>
          <w:rFonts w:hint="eastAsia" w:ascii="微软雅黑" w:hAnsi="微软雅黑" w:cs="微软雅黑"/>
          <w:sz w:val="20"/>
          <w:szCs w:val="20"/>
          <w:lang w:eastAsia="zh-TW"/>
        </w:rPr>
        <w:t>评价和比较</w:t>
      </w:r>
      <w:r>
        <w:rPr>
          <w:rFonts w:hint="eastAsia" w:ascii="微软雅黑" w:hAnsi="微软雅黑" w:cs="微软雅黑"/>
          <w:sz w:val="20"/>
          <w:szCs w:val="20"/>
        </w:rPr>
        <w:t>。</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75" w:name="_Toc293506699"/>
      <w:bookmarkEnd w:id="1375"/>
      <w:bookmarkStart w:id="1376" w:name="_Toc293507842"/>
      <w:bookmarkEnd w:id="1376"/>
      <w:bookmarkStart w:id="1377" w:name="_Toc293507736"/>
      <w:bookmarkEnd w:id="1377"/>
      <w:bookmarkStart w:id="1378" w:name="_Toc293507643"/>
      <w:bookmarkEnd w:id="1378"/>
      <w:bookmarkStart w:id="1379" w:name="_Toc294000406"/>
      <w:bookmarkEnd w:id="1379"/>
      <w:bookmarkStart w:id="1380" w:name="_Toc293506759"/>
      <w:bookmarkEnd w:id="1380"/>
      <w:bookmarkStart w:id="1381" w:name="_Toc31624"/>
      <w:bookmarkStart w:id="1382" w:name="_Toc453956653"/>
      <w:bookmarkStart w:id="1383" w:name="_Toc453957413"/>
      <w:r>
        <w:rPr>
          <w:rFonts w:hint="eastAsia" w:ascii="微软雅黑" w:hAnsi="微软雅黑" w:cs="微软雅黑"/>
          <w:b/>
          <w:bCs/>
          <w:sz w:val="20"/>
          <w:szCs w:val="20"/>
        </w:rPr>
        <w:t>定标原则与授标</w:t>
      </w:r>
      <w:bookmarkEnd w:id="1381"/>
      <w:bookmarkEnd w:id="1382"/>
      <w:bookmarkEnd w:id="1383"/>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rPr>
        <w:t>评标委员会按照招标文件确定的评标方法、步骤、标准，对投标文件进行评审，提出书面评标报告。</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采用综合评分法的，按评审后得分由高到低顺序排列。得分相同的，按投标报价由低到高顺序排列。得分且投标报价相同的，按技术指标优劣顺序排列。</w:t>
      </w:r>
      <w:r>
        <w:rPr>
          <w:rFonts w:hint="eastAsia" w:ascii="微软雅黑" w:hAnsi="微软雅黑" w:cs="微软雅黑"/>
          <w:b/>
          <w:bCs/>
          <w:sz w:val="21"/>
          <w:szCs w:val="21"/>
        </w:rPr>
        <w:t>本项目确定1家供应方。</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采用</w:t>
      </w:r>
      <w:r>
        <w:rPr>
          <w:rFonts w:hint="eastAsia" w:ascii="微软雅黑" w:hAnsi="微软雅黑" w:cs="微软雅黑"/>
          <w:sz w:val="20"/>
          <w:szCs w:val="20"/>
          <w:lang w:eastAsia="zh-TW"/>
        </w:rPr>
        <w:t>最低评标价法</w:t>
      </w:r>
      <w:r>
        <w:rPr>
          <w:rFonts w:hint="eastAsia" w:ascii="微软雅黑" w:hAnsi="微软雅黑" w:cs="微软雅黑"/>
          <w:sz w:val="20"/>
          <w:szCs w:val="20"/>
        </w:rPr>
        <w:t>的，</w:t>
      </w:r>
      <w:r>
        <w:rPr>
          <w:rFonts w:hint="eastAsia" w:ascii="微软雅黑" w:hAnsi="微软雅黑" w:cs="微软雅黑"/>
          <w:sz w:val="20"/>
          <w:szCs w:val="20"/>
          <w:lang w:eastAsia="zh-TW"/>
        </w:rPr>
        <w:t>按投标报价由低到高顺序排列。</w:t>
      </w:r>
      <w:r>
        <w:rPr>
          <w:rFonts w:hint="eastAsia" w:ascii="微软雅黑" w:hAnsi="微软雅黑" w:cs="微软雅黑"/>
          <w:sz w:val="20"/>
          <w:szCs w:val="20"/>
        </w:rPr>
        <w:t>推荐报价最低为第一中标候选人，报价次低为第二中标候选人。</w:t>
      </w:r>
      <w:r>
        <w:rPr>
          <w:rFonts w:hint="eastAsia" w:ascii="微软雅黑" w:hAnsi="微软雅黑" w:cs="微软雅黑"/>
          <w:sz w:val="20"/>
          <w:szCs w:val="20"/>
          <w:lang w:eastAsia="zh-TW"/>
        </w:rPr>
        <w:t>投标报价相同的，按</w:t>
      </w:r>
      <w:r>
        <w:rPr>
          <w:rFonts w:hint="eastAsia" w:ascii="微软雅黑" w:hAnsi="微软雅黑" w:cs="微软雅黑"/>
          <w:b/>
          <w:sz w:val="20"/>
          <w:szCs w:val="20"/>
        </w:rPr>
        <w:t>投标资料表</w:t>
      </w:r>
      <w:r>
        <w:rPr>
          <w:rFonts w:hint="eastAsia" w:ascii="微软雅黑" w:hAnsi="微软雅黑" w:cs="微软雅黑"/>
          <w:sz w:val="20"/>
          <w:szCs w:val="20"/>
        </w:rPr>
        <w:t>中所述的</w:t>
      </w:r>
      <w:r>
        <w:rPr>
          <w:rFonts w:hint="eastAsia" w:ascii="微软雅黑" w:hAnsi="微软雅黑" w:cs="微软雅黑"/>
          <w:sz w:val="20"/>
          <w:szCs w:val="20"/>
          <w:lang w:eastAsia="zh-TW"/>
        </w:rPr>
        <w:t>顺序排列。评标委员会认为，排在前面的中标候选人的最低投标</w:t>
      </w:r>
      <w:r>
        <w:rPr>
          <w:rFonts w:hint="eastAsia" w:ascii="微软雅黑" w:hAnsi="微软雅黑" w:cs="微软雅黑"/>
          <w:sz w:val="20"/>
          <w:szCs w:val="20"/>
        </w:rPr>
        <w:t>报</w:t>
      </w:r>
      <w:r>
        <w:rPr>
          <w:rFonts w:hint="eastAsia" w:ascii="微软雅黑" w:hAnsi="微软雅黑" w:cs="微软雅黑"/>
          <w:sz w:val="20"/>
          <w:szCs w:val="20"/>
          <w:lang w:eastAsia="zh-TW"/>
        </w:rPr>
        <w:t>价或者某些分项报价明显不合理或者低于成本，有可能影响</w:t>
      </w:r>
      <w:r>
        <w:rPr>
          <w:rFonts w:hint="eastAsia" w:ascii="微软雅黑" w:hAnsi="微软雅黑" w:cs="微软雅黑"/>
          <w:sz w:val="20"/>
          <w:szCs w:val="20"/>
        </w:rPr>
        <w:t>货物</w:t>
      </w:r>
      <w:r>
        <w:rPr>
          <w:rFonts w:hint="eastAsia" w:ascii="微软雅黑" w:hAnsi="微软雅黑" w:cs="微软雅黑"/>
          <w:sz w:val="20"/>
          <w:szCs w:val="20"/>
          <w:lang w:eastAsia="zh-TW"/>
        </w:rPr>
        <w:t>质量和不能诚信履约的，应当要求其在规定的期限内提供书面文件予以解释说明，并提交相关证明材料；否则，评标委员会可以取消该投标人的中标候选资格，按顺序由排在后面的中标候选人递补，以此类推。</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评标委员会提交评标报告和推荐中标意见报采购人确认，采购人在收到评标报告后的法定时间内，按照评标报告中推荐的中标候选人顺序确定中标人，也可以事先授权评标委员会直接确定中标人。确认后采购代理机构将在刊登本项目招标公告的法定媒体上发布中标公告。不在中标名单之列者即为未中标人，采购代理机构不再以其他方式另行通知。</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因不可抗力或自身原因不能履行合同的、不按要求与采购人签订合同、中标人放弃中标、中标资格被依法确认无效的，采购人可以与排位在中标人之后第一位的中标候选人签订采购合同，没有其他中标候选人的，应当重新组织采购活动。</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 xml:space="preserve">在招标采购中，出现下列情形之一的，应予废标： </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rPr>
      </w:pPr>
      <w:r>
        <w:rPr>
          <w:rFonts w:hint="eastAsia" w:ascii="微软雅黑" w:hAnsi="微软雅黑" w:cs="微软雅黑"/>
          <w:b/>
          <w:sz w:val="20"/>
          <w:szCs w:val="20"/>
        </w:rPr>
        <w:t>符合专业条件的投标人或者对招标文件作实质响应的投标人不足三家的</w:t>
      </w:r>
      <w:r>
        <w:rPr>
          <w:rFonts w:hint="eastAsia" w:ascii="微软雅黑" w:hAnsi="微软雅黑" w:cs="微软雅黑"/>
          <w:sz w:val="20"/>
          <w:szCs w:val="20"/>
        </w:rPr>
        <w:t>；</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出现影响采购公正的违法、违规行为的；</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投标人的报价均超过了采购预算，采购人不能支付的；</w:t>
      </w:r>
    </w:p>
    <w:p>
      <w:pPr>
        <w:widowControl w:val="0"/>
        <w:numPr>
          <w:ilvl w:val="2"/>
          <w:numId w:val="16"/>
        </w:numPr>
        <w:tabs>
          <w:tab w:val="left" w:pos="851"/>
        </w:tabs>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因重大变故，采购任务取消的。</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84" w:name="_Toc453956654"/>
      <w:bookmarkStart w:id="1385" w:name="_Toc453957414"/>
      <w:bookmarkStart w:id="1386" w:name="_Toc8606"/>
      <w:r>
        <w:rPr>
          <w:rFonts w:hint="eastAsia" w:ascii="微软雅黑" w:hAnsi="微软雅黑" w:cs="微软雅黑"/>
          <w:b/>
          <w:bCs/>
          <w:sz w:val="20"/>
          <w:szCs w:val="20"/>
        </w:rPr>
        <w:t>质疑与回复</w:t>
      </w:r>
      <w:bookmarkEnd w:id="1384"/>
      <w:bookmarkEnd w:id="1385"/>
      <w:bookmarkEnd w:id="1386"/>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rPr>
        <w:t>投标人有质疑时，应当以书面形式（加盖投标人公章）在质疑有效期限内向招标采购单位提交质疑书原件，逾期质疑无效。投标人以电话、传真或电邮形式提交的质疑属于无效质疑。</w:t>
      </w:r>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rPr>
        <w:t>质疑内容不得含有虚假、恶意成分。依据“谁主张谁举证”的原则，质疑者提供的质疑书应当包括下列主要内容：具体的质疑事项、事实依据及相关确凿的证明材料和注明事实的确切来源、投标人名称、联系人与联系电话、质疑时间，质疑书应当署名并由法定代表人或授权代表签字并加盖公章。招标采购单位受理书面质疑书原件之日起，在规定的期限内作出答复。对于捏造事实、滥用维权扰乱采购秩序的恶意质疑者或举证不全查无实据被驳回次数在一年内达三次以上，将纳入不良行为记录名单并承担相应的法律责任。</w:t>
      </w:r>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rPr>
        <w:t>招标采购单位在收到投标人的有效书面质疑后七个工作日内作出答复，但答复的内容不涉及商业秘密，质疑投标人对采购人、采购代理机构的质疑答复不满意，或采购人、采购代理机构未在规定期限内作出答复的，可以在答复期满后十五个工作日内向同级或上级主管部门提出投诉。</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387" w:name="_Toc19144"/>
      <w:bookmarkStart w:id="1388" w:name="_Toc453957415"/>
      <w:bookmarkStart w:id="1389" w:name="_Toc453956655"/>
      <w:r>
        <w:rPr>
          <w:rFonts w:hint="eastAsia" w:ascii="微软雅黑" w:hAnsi="微软雅黑" w:cs="微软雅黑"/>
          <w:b/>
          <w:bCs/>
          <w:sz w:val="20"/>
          <w:szCs w:val="20"/>
        </w:rPr>
        <w:t>中标通知书</w:t>
      </w:r>
      <w:bookmarkEnd w:id="1387"/>
      <w:bookmarkEnd w:id="1388"/>
      <w:bookmarkEnd w:id="1389"/>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中标人确定后</w:t>
      </w:r>
      <w:r>
        <w:rPr>
          <w:rFonts w:hint="eastAsia" w:ascii="微软雅黑" w:hAnsi="微软雅黑" w:cs="微软雅黑"/>
          <w:sz w:val="20"/>
          <w:szCs w:val="20"/>
        </w:rPr>
        <w:t>，</w:t>
      </w:r>
      <w:r>
        <w:rPr>
          <w:rFonts w:hint="eastAsia" w:ascii="微软雅黑" w:hAnsi="微软雅黑" w:cs="微软雅黑"/>
          <w:sz w:val="20"/>
          <w:szCs w:val="20"/>
          <w:lang w:eastAsia="zh-TW"/>
        </w:rPr>
        <w:t>采购代理机构将在</w:t>
      </w:r>
      <w:r>
        <w:rPr>
          <w:rFonts w:hint="eastAsia" w:ascii="微软雅黑" w:hAnsi="微软雅黑" w:cs="微软雅黑"/>
          <w:sz w:val="20"/>
          <w:szCs w:val="20"/>
        </w:rPr>
        <w:t>法定</w:t>
      </w:r>
      <w:r>
        <w:rPr>
          <w:rFonts w:hint="eastAsia" w:ascii="微软雅黑" w:hAnsi="微软雅黑" w:cs="微软雅黑"/>
          <w:sz w:val="20"/>
          <w:szCs w:val="20"/>
          <w:lang w:eastAsia="zh-TW"/>
        </w:rPr>
        <w:t>的媒体上发布中标公告，并向中标人发出《中标通知书》</w:t>
      </w:r>
      <w:r>
        <w:rPr>
          <w:rFonts w:hint="eastAsia" w:ascii="微软雅黑" w:hAnsi="微软雅黑" w:cs="微软雅黑"/>
          <w:sz w:val="20"/>
          <w:szCs w:val="20"/>
        </w:rPr>
        <w:t>，向采购人及未中标人发出《招标结果通知书》，</w:t>
      </w:r>
      <w:r>
        <w:rPr>
          <w:rFonts w:hint="eastAsia" w:ascii="微软雅黑" w:hAnsi="微软雅黑" w:cs="微软雅黑"/>
          <w:sz w:val="20"/>
          <w:szCs w:val="20"/>
          <w:lang w:eastAsia="zh-TW"/>
        </w:rPr>
        <w:t>《中标通知书》对中标人和采购人具有同等法律效力。</w:t>
      </w:r>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rPr>
        <w:t>《中标通知书》将作为授予合同资格的合法依据，是合同的一个组成部分。</w:t>
      </w:r>
    </w:p>
    <w:p>
      <w:pPr>
        <w:spacing w:before="312" w:beforeLines="100" w:after="312" w:afterLines="100" w:line="360" w:lineRule="auto"/>
        <w:jc w:val="center"/>
        <w:outlineLvl w:val="0"/>
        <w:rPr>
          <w:rFonts w:ascii="宋体" w:hAnsi="宋体" w:cs="楷体_GB2312"/>
          <w:b/>
          <w:sz w:val="28"/>
          <w:szCs w:val="28"/>
          <w:lang w:eastAsia="zh-TW"/>
        </w:rPr>
      </w:pPr>
      <w:bookmarkStart w:id="1390" w:name="_Toc453956656"/>
      <w:bookmarkStart w:id="1391" w:name="_Toc12856"/>
      <w:bookmarkStart w:id="1392" w:name="_Toc453957416"/>
      <w:r>
        <w:rPr>
          <w:rFonts w:hint="eastAsia" w:ascii="宋体" w:hAnsi="宋体" w:cs="楷体_GB2312"/>
          <w:b/>
          <w:sz w:val="28"/>
          <w:szCs w:val="28"/>
          <w:lang w:eastAsia="zh-TW"/>
        </w:rPr>
        <w:t>六、授予合同</w:t>
      </w:r>
      <w:bookmarkEnd w:id="1390"/>
      <w:bookmarkEnd w:id="1391"/>
      <w:bookmarkEnd w:id="1392"/>
    </w:p>
    <w:p>
      <w:pPr>
        <w:widowControl w:val="0"/>
        <w:numPr>
          <w:ilvl w:val="1"/>
          <w:numId w:val="16"/>
        </w:numPr>
        <w:autoSpaceDE w:val="0"/>
        <w:autoSpaceDN w:val="0"/>
        <w:spacing w:after="0" w:line="360" w:lineRule="auto"/>
        <w:jc w:val="both"/>
        <w:rPr>
          <w:rFonts w:ascii="微软雅黑" w:hAnsi="微软雅黑" w:cs="微软雅黑"/>
          <w:sz w:val="20"/>
          <w:szCs w:val="20"/>
        </w:rPr>
      </w:pPr>
      <w:bookmarkStart w:id="1393" w:name="_Toc293507848"/>
      <w:bookmarkEnd w:id="1393"/>
      <w:bookmarkStart w:id="1394" w:name="_Toc293506704"/>
      <w:bookmarkEnd w:id="1394"/>
      <w:bookmarkStart w:id="1395" w:name="_Toc293507649"/>
      <w:bookmarkEnd w:id="1395"/>
      <w:bookmarkStart w:id="1396" w:name="_Toc294000412"/>
      <w:bookmarkEnd w:id="1396"/>
      <w:bookmarkStart w:id="1397" w:name="_Toc293506705"/>
      <w:bookmarkEnd w:id="1397"/>
      <w:bookmarkStart w:id="1398" w:name="_Toc293506765"/>
      <w:bookmarkEnd w:id="1398"/>
      <w:bookmarkStart w:id="1399" w:name="_Toc293506764"/>
      <w:bookmarkEnd w:id="1399"/>
      <w:bookmarkStart w:id="1400" w:name="_Toc293507741"/>
      <w:bookmarkEnd w:id="1400"/>
      <w:bookmarkStart w:id="1401" w:name="_Toc293507847"/>
      <w:bookmarkEnd w:id="1401"/>
      <w:bookmarkStart w:id="1402" w:name="_Toc294000411"/>
      <w:bookmarkEnd w:id="1402"/>
      <w:bookmarkStart w:id="1403" w:name="_Toc293507742"/>
      <w:bookmarkEnd w:id="1403"/>
      <w:bookmarkStart w:id="1404" w:name="_Toc293507648"/>
      <w:bookmarkEnd w:id="1404"/>
      <w:bookmarkStart w:id="1405" w:name="_Toc453956657"/>
      <w:bookmarkStart w:id="1406" w:name="_Toc453957417"/>
      <w:r>
        <w:rPr>
          <w:rFonts w:hint="eastAsia" w:ascii="微软雅黑" w:hAnsi="微软雅黑" w:cs="微软雅黑"/>
          <w:b/>
          <w:bCs/>
          <w:sz w:val="20"/>
          <w:szCs w:val="20"/>
        </w:rPr>
        <w:t>合同的订立</w:t>
      </w:r>
      <w:bookmarkEnd w:id="1405"/>
      <w:bookmarkEnd w:id="1406"/>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除非投标资料表另有规定，采购方与供应方将于中标通知书发出之日起30个日历天内，按照评审文件的约定签订合同。所签订的合同不得对招标文件和中标人投标文件作实质性修改。</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 xml:space="preserve">招标采购单位不得向中标人提出任何不合理的要求，作为签订合同的条件，不得与中标人私下订立背离合同实质性内容的协议。 </w:t>
      </w:r>
    </w:p>
    <w:p>
      <w:pPr>
        <w:widowControl w:val="0"/>
        <w:numPr>
          <w:ilvl w:val="1"/>
          <w:numId w:val="16"/>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lang w:eastAsia="zh-TW"/>
        </w:rPr>
        <w:t>签订合同后</w:t>
      </w:r>
      <w:r>
        <w:rPr>
          <w:rFonts w:hint="eastAsia" w:ascii="微软雅黑" w:hAnsi="微软雅黑" w:cs="微软雅黑"/>
          <w:sz w:val="20"/>
          <w:szCs w:val="20"/>
        </w:rPr>
        <w:t>七</w:t>
      </w:r>
      <w:r>
        <w:rPr>
          <w:rFonts w:hint="eastAsia" w:ascii="微软雅黑" w:hAnsi="微软雅黑" w:cs="微软雅黑"/>
          <w:sz w:val="20"/>
          <w:szCs w:val="20"/>
          <w:lang w:eastAsia="zh-TW"/>
        </w:rPr>
        <w:t>个工作日内，采购人应将采购合同副本报同级</w:t>
      </w:r>
      <w:r>
        <w:rPr>
          <w:rFonts w:hint="eastAsia" w:ascii="微软雅黑" w:hAnsi="微软雅黑" w:cs="微软雅黑"/>
          <w:sz w:val="20"/>
          <w:szCs w:val="20"/>
        </w:rPr>
        <w:t>或上级主管</w:t>
      </w:r>
      <w:r>
        <w:rPr>
          <w:rFonts w:hint="eastAsia" w:ascii="微软雅黑" w:hAnsi="微软雅黑" w:cs="微软雅黑"/>
          <w:sz w:val="20"/>
          <w:szCs w:val="20"/>
          <w:lang w:eastAsia="zh-TW"/>
        </w:rPr>
        <w:t>部门备案。</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407" w:name="_Toc453956658"/>
      <w:bookmarkStart w:id="1408" w:name="_Toc453957418"/>
      <w:bookmarkStart w:id="1409" w:name="_Toc29584"/>
      <w:r>
        <w:rPr>
          <w:rFonts w:hint="eastAsia" w:ascii="微软雅黑" w:hAnsi="微软雅黑" w:cs="微软雅黑"/>
          <w:b/>
          <w:bCs/>
          <w:sz w:val="20"/>
          <w:szCs w:val="20"/>
        </w:rPr>
        <w:t>合同的履行</w:t>
      </w:r>
      <w:bookmarkEnd w:id="1407"/>
      <w:bookmarkEnd w:id="1408"/>
      <w:bookmarkEnd w:id="1409"/>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lang w:eastAsia="zh-TW"/>
        </w:rPr>
        <w:t>采购合同订立后，合同各方不得擅自变更、中止或者终止合同。采购合同需要变更的，采购人应将有关合同变更内容，以书面形式报同级</w:t>
      </w:r>
      <w:r>
        <w:rPr>
          <w:rFonts w:hint="eastAsia" w:ascii="微软雅黑" w:hAnsi="微软雅黑" w:cs="微软雅黑"/>
          <w:sz w:val="20"/>
          <w:szCs w:val="20"/>
        </w:rPr>
        <w:t>或上级主管部门</w:t>
      </w:r>
      <w:r>
        <w:rPr>
          <w:rFonts w:hint="eastAsia" w:ascii="微软雅黑" w:hAnsi="微软雅黑" w:cs="微软雅黑"/>
          <w:sz w:val="20"/>
          <w:szCs w:val="20"/>
          <w:lang w:eastAsia="zh-TW"/>
        </w:rPr>
        <w:t>备案；因特殊情况需要中止或终止合同的，采购人应将中止或终止合同的理由以及相应措施，以书面形式报同级</w:t>
      </w:r>
      <w:r>
        <w:rPr>
          <w:rFonts w:hint="eastAsia" w:ascii="微软雅黑" w:hAnsi="微软雅黑" w:cs="微软雅黑"/>
          <w:sz w:val="20"/>
          <w:szCs w:val="20"/>
        </w:rPr>
        <w:t>或上级主管部门部门</w:t>
      </w:r>
      <w:r>
        <w:rPr>
          <w:rFonts w:hint="eastAsia" w:ascii="微软雅黑" w:hAnsi="微软雅黑" w:cs="微软雅黑"/>
          <w:sz w:val="20"/>
          <w:szCs w:val="20"/>
          <w:lang w:eastAsia="zh-TW"/>
        </w:rPr>
        <w:t>备案。</w:t>
      </w:r>
    </w:p>
    <w:p>
      <w:pPr>
        <w:widowControl w:val="0"/>
        <w:numPr>
          <w:ilvl w:val="1"/>
          <w:numId w:val="16"/>
        </w:numPr>
        <w:autoSpaceDE w:val="0"/>
        <w:autoSpaceDN w:val="0"/>
        <w:spacing w:after="0" w:line="360" w:lineRule="auto"/>
        <w:jc w:val="both"/>
        <w:rPr>
          <w:rFonts w:ascii="微软雅黑" w:hAnsi="微软雅黑" w:cs="微软雅黑"/>
          <w:b/>
          <w:bCs/>
          <w:sz w:val="20"/>
          <w:szCs w:val="20"/>
        </w:rPr>
      </w:pPr>
      <w:r>
        <w:rPr>
          <w:rFonts w:hint="eastAsia" w:ascii="微软雅黑" w:hAnsi="微软雅黑" w:cs="微软雅黑"/>
          <w:sz w:val="20"/>
          <w:szCs w:val="20"/>
        </w:rPr>
        <w:t>采购合同履行中，采购人需追加与合同标的相同的货物的，在不改变合同其他条款的前提下，可以与投标人签订补充合同，但所补充合同的采购金额不得超过原合同采购金额的百分之十。签订补充合同的必须按规定备案。</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410" w:name="_Toc10049"/>
      <w:bookmarkStart w:id="1411" w:name="_Toc453957419"/>
      <w:bookmarkStart w:id="1412" w:name="_Toc453956659"/>
      <w:r>
        <w:rPr>
          <w:rFonts w:hint="eastAsia" w:ascii="微软雅黑" w:hAnsi="微软雅黑" w:cs="微软雅黑"/>
          <w:b/>
          <w:bCs/>
          <w:sz w:val="20"/>
          <w:szCs w:val="20"/>
        </w:rPr>
        <w:t>履约担保</w:t>
      </w:r>
      <w:bookmarkEnd w:id="1410"/>
      <w:bookmarkEnd w:id="1411"/>
      <w:bookmarkEnd w:id="1412"/>
    </w:p>
    <w:p>
      <w:pPr>
        <w:spacing w:line="360" w:lineRule="auto"/>
        <w:ind w:firstLine="400" w:firstLineChars="200"/>
        <w:rPr>
          <w:rFonts w:ascii="微软雅黑" w:hAnsi="微软雅黑" w:cs="微软雅黑"/>
          <w:sz w:val="20"/>
          <w:szCs w:val="20"/>
        </w:rPr>
      </w:pPr>
      <w:r>
        <w:rPr>
          <w:rFonts w:hint="eastAsia" w:ascii="微软雅黑" w:hAnsi="微软雅黑" w:cs="微软雅黑"/>
          <w:sz w:val="20"/>
          <w:szCs w:val="20"/>
        </w:rPr>
        <w:t>详见用户需求书、合同条款</w:t>
      </w:r>
    </w:p>
    <w:p>
      <w:pPr>
        <w:widowControl w:val="0"/>
        <w:numPr>
          <w:ilvl w:val="0"/>
          <w:numId w:val="16"/>
        </w:numPr>
        <w:autoSpaceDE w:val="0"/>
        <w:autoSpaceDN w:val="0"/>
        <w:spacing w:after="0" w:line="360" w:lineRule="auto"/>
        <w:jc w:val="both"/>
        <w:outlineLvl w:val="0"/>
        <w:rPr>
          <w:rFonts w:ascii="微软雅黑" w:hAnsi="微软雅黑" w:cs="微软雅黑"/>
          <w:b/>
          <w:bCs/>
          <w:sz w:val="20"/>
          <w:szCs w:val="20"/>
        </w:rPr>
      </w:pPr>
      <w:bookmarkStart w:id="1413" w:name="_Toc18677"/>
      <w:bookmarkStart w:id="1414" w:name="_Toc453956660"/>
      <w:bookmarkStart w:id="1415" w:name="_Toc453957420"/>
      <w:r>
        <w:rPr>
          <w:rFonts w:hint="eastAsia" w:ascii="微软雅黑" w:hAnsi="微软雅黑" w:cs="微软雅黑"/>
          <w:b/>
          <w:bCs/>
          <w:sz w:val="20"/>
          <w:szCs w:val="20"/>
        </w:rPr>
        <w:t>招标代理服务费</w:t>
      </w:r>
      <w:bookmarkEnd w:id="1413"/>
      <w:bookmarkEnd w:id="1414"/>
      <w:bookmarkEnd w:id="1415"/>
    </w:p>
    <w:p>
      <w:pPr>
        <w:widowControl w:val="0"/>
        <w:numPr>
          <w:ilvl w:val="0"/>
          <w:numId w:val="18"/>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中标人须向采购代理机构交纳的招标代理服务费，收费标准参考国家计委颁布的《招标代理服务收费管理暂行办法》（计价格[2002]1980 号）执行。</w:t>
      </w:r>
    </w:p>
    <w:p>
      <w:pPr>
        <w:widowControl w:val="0"/>
        <w:numPr>
          <w:ilvl w:val="0"/>
          <w:numId w:val="18"/>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招标代理服务费按差额定率累进法收取：服务类项目以预算金额为缴费的计算基数，服务类项目以每年度预算金额为缴费基数计算出年代理费*服务期限。</w:t>
      </w:r>
    </w:p>
    <w:p>
      <w:pPr>
        <w:widowControl w:val="0"/>
        <w:numPr>
          <w:ilvl w:val="0"/>
          <w:numId w:val="18"/>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中标人在领取《中标通知书》时，必须按《交纳服务费承诺书》向采购代理机构直接交纳招标服务费。</w:t>
      </w:r>
    </w:p>
    <w:p>
      <w:pPr>
        <w:widowControl w:val="0"/>
        <w:numPr>
          <w:ilvl w:val="0"/>
          <w:numId w:val="18"/>
        </w:numPr>
        <w:autoSpaceDE w:val="0"/>
        <w:autoSpaceDN w:val="0"/>
        <w:spacing w:after="0" w:line="360" w:lineRule="auto"/>
        <w:jc w:val="both"/>
        <w:rPr>
          <w:rFonts w:ascii="微软雅黑" w:hAnsi="微软雅黑" w:cs="微软雅黑"/>
          <w:sz w:val="20"/>
          <w:szCs w:val="20"/>
        </w:rPr>
      </w:pPr>
      <w:r>
        <w:rPr>
          <w:rFonts w:hint="eastAsia" w:ascii="微软雅黑" w:hAnsi="微软雅黑" w:cs="微软雅黑"/>
          <w:sz w:val="20"/>
          <w:szCs w:val="20"/>
        </w:rPr>
        <w:t>经依法取消中标资格的，招标代理服务费不予退还。</w:t>
      </w:r>
    </w:p>
    <w:p>
      <w:pPr>
        <w:spacing w:line="360" w:lineRule="auto"/>
        <w:jc w:val="center"/>
        <w:rPr>
          <w:rFonts w:ascii="宋体" w:hAnsi="宋体" w:eastAsia="宋体" w:cs="宋体"/>
          <w:b/>
          <w:sz w:val="56"/>
          <w:szCs w:val="56"/>
        </w:rPr>
      </w:pPr>
      <w:r>
        <w:rPr>
          <w:rFonts w:hAnsi="宋体" w:cs="宋体"/>
          <w:sz w:val="24"/>
          <w:szCs w:val="24"/>
        </w:rPr>
        <w:br w:type="page"/>
      </w:r>
      <w:bookmarkStart w:id="1416" w:name="_Toc453957421"/>
      <w:bookmarkStart w:id="1417" w:name="_Toc453956661"/>
      <w:r>
        <w:rPr>
          <w:rFonts w:hint="eastAsia" w:ascii="黑体" w:hAnsi="黑体" w:eastAsia="黑体" w:cs="黑体"/>
          <w:sz w:val="32"/>
          <w:szCs w:val="32"/>
        </w:rPr>
        <w:t>第七章 合同专用条款</w:t>
      </w:r>
      <w:bookmarkEnd w:id="1416"/>
      <w:bookmarkEnd w:id="1417"/>
    </w:p>
    <w:p>
      <w:pPr>
        <w:spacing w:before="156" w:beforeLines="50" w:after="156" w:afterLines="50" w:line="360" w:lineRule="auto"/>
        <w:jc w:val="center"/>
        <w:outlineLvl w:val="0"/>
        <w:rPr>
          <w:rFonts w:ascii="宋体" w:hAnsi="宋体"/>
          <w:b/>
          <w:bCs/>
          <w:sz w:val="24"/>
        </w:rPr>
      </w:pPr>
      <w:bookmarkStart w:id="1418" w:name="_Toc31285"/>
      <w:bookmarkStart w:id="1419" w:name="_Toc435"/>
      <w:r>
        <w:rPr>
          <w:rFonts w:hint="eastAsia" w:ascii="宋体" w:hAnsi="宋体"/>
          <w:b/>
          <w:bCs/>
          <w:sz w:val="24"/>
        </w:rPr>
        <w:t>（本合同条款仅供参考，最终合同条款以招标文件要求及采购人要求的条款为准）</w:t>
      </w:r>
      <w:bookmarkEnd w:id="1418"/>
      <w:bookmarkEnd w:id="1419"/>
    </w:p>
    <w:p>
      <w:pPr>
        <w:rPr>
          <w:rFonts w:ascii="宋体" w:hAnsi="宋体"/>
          <w:szCs w:val="21"/>
        </w:rPr>
      </w:pPr>
      <w:r>
        <w:rPr>
          <w:rFonts w:hint="eastAsia" w:ascii="宋体" w:hAnsi="宋体"/>
          <w:b/>
          <w:bCs/>
          <w:szCs w:val="21"/>
        </w:rPr>
        <w:t>甲 方</w:t>
      </w:r>
      <w:r>
        <w:rPr>
          <w:rFonts w:hint="eastAsia" w:ascii="宋体" w:hAnsi="宋体"/>
          <w:szCs w:val="21"/>
        </w:rPr>
        <w:t>（采购人）：</w:t>
      </w:r>
      <w:r>
        <w:rPr>
          <w:rFonts w:hint="eastAsia" w:ascii="宋体" w:hAnsi="宋体"/>
          <w:szCs w:val="21"/>
          <w:u w:val="single"/>
        </w:rPr>
        <w:t xml:space="preserve">                </w:t>
      </w:r>
      <w:r>
        <w:rPr>
          <w:rFonts w:hint="eastAsia" w:ascii="宋体" w:hAnsi="宋体"/>
          <w:szCs w:val="21"/>
        </w:rPr>
        <w:t xml:space="preserve"> </w:t>
      </w:r>
    </w:p>
    <w:p>
      <w:pPr>
        <w:rPr>
          <w:rFonts w:ascii="宋体" w:hAnsi="宋体"/>
          <w:szCs w:val="21"/>
        </w:rPr>
      </w:pPr>
      <w:r>
        <w:rPr>
          <w:rFonts w:hint="eastAsia" w:ascii="宋体" w:hAnsi="宋体"/>
          <w:szCs w:val="21"/>
        </w:rPr>
        <w:t xml:space="preserve">电 话：                       传 真：                   地 址： </w:t>
      </w:r>
    </w:p>
    <w:p>
      <w:pPr>
        <w:rPr>
          <w:rFonts w:ascii="宋体" w:hAnsi="宋体"/>
          <w:szCs w:val="21"/>
        </w:rPr>
      </w:pPr>
      <w:r>
        <w:rPr>
          <w:rFonts w:hint="eastAsia" w:ascii="宋体" w:hAnsi="宋体"/>
          <w:b/>
          <w:bCs/>
          <w:szCs w:val="21"/>
        </w:rPr>
        <w:t>乙 方</w:t>
      </w:r>
      <w:r>
        <w:rPr>
          <w:rFonts w:hint="eastAsia" w:ascii="宋体" w:hAnsi="宋体"/>
          <w:szCs w:val="21"/>
        </w:rPr>
        <w:t>（中标供应商）：</w:t>
      </w:r>
      <w:r>
        <w:rPr>
          <w:rFonts w:hint="eastAsia" w:ascii="宋体" w:hAnsi="宋体"/>
          <w:szCs w:val="21"/>
          <w:u w:val="single"/>
        </w:rPr>
        <w:t xml:space="preserve">                 </w:t>
      </w:r>
      <w:r>
        <w:rPr>
          <w:rFonts w:hint="eastAsia" w:ascii="宋体" w:hAnsi="宋体"/>
          <w:szCs w:val="21"/>
        </w:rPr>
        <w:t xml:space="preserve">          </w:t>
      </w:r>
    </w:p>
    <w:p>
      <w:pPr>
        <w:rPr>
          <w:rFonts w:ascii="宋体" w:hAnsi="宋体"/>
          <w:szCs w:val="21"/>
        </w:rPr>
      </w:pPr>
      <w:r>
        <w:rPr>
          <w:rFonts w:hint="eastAsia" w:ascii="宋体" w:hAnsi="宋体"/>
          <w:szCs w:val="21"/>
        </w:rPr>
        <w:t xml:space="preserve">电 话：                       传 真：                   地 址： </w:t>
      </w:r>
    </w:p>
    <w:p>
      <w:pPr>
        <w:rPr>
          <w:rFonts w:ascii="宋体" w:hAnsi="宋体"/>
          <w:szCs w:val="21"/>
        </w:rPr>
      </w:pPr>
      <w:r>
        <w:rPr>
          <w:rFonts w:hint="eastAsia" w:ascii="宋体" w:hAnsi="宋体"/>
          <w:szCs w:val="21"/>
        </w:rPr>
        <w:t xml:space="preserve">项目名称：                                              项目编号： </w:t>
      </w:r>
    </w:p>
    <w:p>
      <w:pPr>
        <w:rPr>
          <w:rFonts w:ascii="宋体" w:hAnsi="宋体"/>
          <w:szCs w:val="21"/>
        </w:rPr>
      </w:pPr>
      <w:r>
        <w:rPr>
          <w:rFonts w:hint="eastAsia" w:ascii="宋体" w:hAnsi="宋体"/>
          <w:szCs w:val="21"/>
        </w:rPr>
        <w:t xml:space="preserve">    根据</w:t>
      </w:r>
      <w:r>
        <w:rPr>
          <w:rFonts w:hint="eastAsia" w:ascii="宋体" w:hAnsi="宋体"/>
          <w:szCs w:val="21"/>
          <w:u w:val="single"/>
        </w:rPr>
        <w:t xml:space="preserve">             </w:t>
      </w:r>
      <w:r>
        <w:rPr>
          <w:rFonts w:hint="eastAsia" w:ascii="宋体" w:hAnsi="宋体"/>
          <w:szCs w:val="21"/>
        </w:rPr>
        <w:t xml:space="preserve">项目的采购结果，按照《中华人民共和国政府采购法》及其实施条例、《中华人民共和国民法典》的规定，经双方协商，本着平等互利和诚实信用的原则，一致同意签订本合同如下。 </w:t>
      </w:r>
    </w:p>
    <w:p>
      <w:pPr>
        <w:rPr>
          <w:rFonts w:ascii="宋体" w:hAnsi="宋体"/>
          <w:szCs w:val="21"/>
        </w:rPr>
      </w:pPr>
    </w:p>
    <w:p>
      <w:pPr>
        <w:rPr>
          <w:rFonts w:ascii="宋体" w:hAnsi="宋体"/>
          <w:szCs w:val="21"/>
        </w:rPr>
      </w:pPr>
      <w:r>
        <w:rPr>
          <w:rFonts w:hint="eastAsia" w:ascii="宋体" w:hAnsi="宋体"/>
          <w:b/>
          <w:bCs/>
          <w:szCs w:val="21"/>
        </w:rPr>
        <w:t>一、 合同金额</w:t>
      </w:r>
      <w:r>
        <w:rPr>
          <w:rFonts w:hint="eastAsia" w:ascii="宋体" w:hAnsi="宋体"/>
          <w:szCs w:val="21"/>
        </w:rPr>
        <w:t xml:space="preserve"> </w:t>
      </w:r>
    </w:p>
    <w:p>
      <w:pPr>
        <w:rPr>
          <w:rFonts w:ascii="宋体" w:hAnsi="宋体"/>
          <w:szCs w:val="21"/>
        </w:rPr>
      </w:pPr>
      <w:r>
        <w:rPr>
          <w:rFonts w:hint="eastAsia" w:ascii="宋体" w:hAnsi="宋体"/>
          <w:szCs w:val="21"/>
        </w:rPr>
        <w:t xml:space="preserve">合同金额为（大写）：_________________元（￥_______________元）。 </w:t>
      </w:r>
    </w:p>
    <w:p>
      <w:pPr>
        <w:rPr>
          <w:rFonts w:ascii="宋体" w:hAnsi="宋体"/>
          <w:szCs w:val="21"/>
        </w:rPr>
      </w:pPr>
    </w:p>
    <w:p>
      <w:pPr>
        <w:numPr>
          <w:ilvl w:val="0"/>
          <w:numId w:val="19"/>
        </w:numPr>
        <w:rPr>
          <w:b/>
          <w:bCs/>
        </w:rPr>
      </w:pPr>
      <w:r>
        <w:rPr>
          <w:rFonts w:hint="eastAsia" w:ascii="宋体" w:hAnsi="宋体"/>
          <w:b/>
          <w:bCs/>
          <w:szCs w:val="21"/>
        </w:rPr>
        <w:t xml:space="preserve">合同内容 </w:t>
      </w:r>
    </w:p>
    <w:p>
      <w:pPr>
        <w:rPr>
          <w:rFonts w:ascii="宋体" w:hAnsi="宋体" w:eastAsia="宋体" w:cs="宋体"/>
          <w:spacing w:val="-1"/>
          <w:sz w:val="21"/>
          <w:szCs w:val="21"/>
        </w:rPr>
      </w:pPr>
      <w:r>
        <w:rPr>
          <w:rFonts w:hint="eastAsia" w:ascii="宋体" w:hAnsi="宋体" w:eastAsia="宋体" w:cs="宋体"/>
          <w:spacing w:val="-1"/>
          <w:sz w:val="21"/>
          <w:szCs w:val="21"/>
        </w:rPr>
        <w:t>按招标文件要求</w:t>
      </w:r>
    </w:p>
    <w:p>
      <w:pPr>
        <w:rPr>
          <w:rFonts w:ascii="宋体" w:hAnsi="宋体"/>
          <w:b/>
          <w:bCs/>
          <w:szCs w:val="21"/>
        </w:rPr>
      </w:pPr>
    </w:p>
    <w:p>
      <w:pPr>
        <w:rPr>
          <w:rFonts w:ascii="宋体" w:hAnsi="宋体"/>
          <w:b/>
          <w:bCs/>
          <w:szCs w:val="21"/>
        </w:rPr>
      </w:pPr>
      <w:r>
        <w:rPr>
          <w:rFonts w:hint="eastAsia" w:ascii="宋体" w:hAnsi="宋体"/>
          <w:b/>
          <w:bCs/>
          <w:szCs w:val="21"/>
        </w:rPr>
        <w:t xml:space="preserve">三、项目完成期限 </w:t>
      </w:r>
    </w:p>
    <w:p>
      <w:pPr>
        <w:rPr>
          <w:rFonts w:ascii="宋体" w:hAnsi="宋体" w:eastAsia="宋体" w:cs="宋体"/>
          <w:spacing w:val="-1"/>
          <w:sz w:val="21"/>
          <w:szCs w:val="21"/>
        </w:rPr>
      </w:pPr>
      <w:r>
        <w:rPr>
          <w:rFonts w:hint="eastAsia" w:ascii="宋体" w:hAnsi="宋体" w:eastAsia="宋体" w:cs="宋体"/>
          <w:spacing w:val="-1"/>
          <w:sz w:val="21"/>
          <w:szCs w:val="21"/>
        </w:rPr>
        <w:t>按招标文件要求</w:t>
      </w:r>
    </w:p>
    <w:p>
      <w:pPr>
        <w:pStyle w:val="2"/>
        <w:ind w:left="440" w:leftChars="0"/>
      </w:pPr>
    </w:p>
    <w:p>
      <w:pPr>
        <w:rPr>
          <w:rFonts w:ascii="宋体" w:hAnsi="宋体" w:eastAsia="宋体"/>
          <w:szCs w:val="21"/>
        </w:rPr>
      </w:pPr>
      <w:r>
        <w:rPr>
          <w:rFonts w:hint="eastAsia" w:ascii="宋体" w:hAnsi="宋体"/>
          <w:b/>
          <w:bCs/>
          <w:szCs w:val="21"/>
        </w:rPr>
        <w:t>四、 项目要求</w:t>
      </w:r>
    </w:p>
    <w:p>
      <w:pPr>
        <w:rPr>
          <w:rFonts w:ascii="宋体" w:hAnsi="宋体" w:eastAsia="宋体" w:cs="宋体"/>
          <w:spacing w:val="-1"/>
          <w:sz w:val="21"/>
          <w:szCs w:val="21"/>
        </w:rPr>
      </w:pPr>
      <w:r>
        <w:rPr>
          <w:rFonts w:hint="eastAsia" w:ascii="宋体" w:hAnsi="宋体" w:eastAsia="宋体" w:cs="宋体"/>
          <w:spacing w:val="-1"/>
          <w:sz w:val="21"/>
          <w:szCs w:val="21"/>
        </w:rPr>
        <w:t>按招标文件要求</w:t>
      </w:r>
    </w:p>
    <w:p>
      <w:pPr>
        <w:pStyle w:val="2"/>
        <w:ind w:left="440" w:leftChars="0"/>
      </w:pPr>
    </w:p>
    <w:p>
      <w:pPr>
        <w:rPr>
          <w:rFonts w:ascii="宋体" w:hAnsi="宋体"/>
          <w:b/>
          <w:bCs/>
          <w:szCs w:val="21"/>
        </w:rPr>
      </w:pPr>
      <w:r>
        <w:rPr>
          <w:rFonts w:hint="eastAsia" w:ascii="宋体" w:hAnsi="宋体" w:eastAsia="宋体"/>
          <w:b/>
          <w:bCs/>
          <w:szCs w:val="21"/>
        </w:rPr>
        <w:t>五、</w:t>
      </w:r>
      <w:r>
        <w:rPr>
          <w:rFonts w:hint="eastAsia" w:ascii="宋体" w:hAnsi="宋体"/>
          <w:b/>
          <w:bCs/>
          <w:szCs w:val="21"/>
        </w:rPr>
        <w:t>付款方式</w:t>
      </w:r>
    </w:p>
    <w:p>
      <w:pPr>
        <w:rPr>
          <w:rFonts w:ascii="宋体" w:hAnsi="宋体" w:eastAsia="宋体" w:cs="宋体"/>
          <w:spacing w:val="-1"/>
          <w:sz w:val="21"/>
          <w:szCs w:val="21"/>
        </w:rPr>
      </w:pPr>
      <w:r>
        <w:rPr>
          <w:rFonts w:hint="eastAsia" w:ascii="宋体" w:hAnsi="宋体" w:eastAsia="宋体" w:cs="宋体"/>
          <w:spacing w:val="-1"/>
          <w:sz w:val="21"/>
          <w:szCs w:val="21"/>
        </w:rPr>
        <w:t>按招标文件要求</w:t>
      </w:r>
    </w:p>
    <w:p>
      <w:pPr>
        <w:rPr>
          <w:rFonts w:ascii="宋体" w:hAnsi="宋体"/>
          <w:b/>
          <w:bCs/>
          <w:szCs w:val="21"/>
        </w:rPr>
      </w:pPr>
      <w:r>
        <w:rPr>
          <w:rFonts w:hint="eastAsia" w:ascii="宋体" w:hAnsi="宋体"/>
          <w:b/>
          <w:bCs/>
          <w:szCs w:val="21"/>
        </w:rPr>
        <w:t xml:space="preserve">六、 知识产权产权归属 </w:t>
      </w:r>
    </w:p>
    <w:p>
      <w:pPr>
        <w:ind w:firstLine="440" w:firstLineChars="200"/>
        <w:rPr>
          <w:rFonts w:ascii="宋体" w:hAnsi="宋体"/>
          <w:szCs w:val="21"/>
        </w:rPr>
      </w:pPr>
      <w:r>
        <w:rPr>
          <w:rFonts w:hint="eastAsia" w:ascii="宋体" w:hAnsi="宋体"/>
          <w:szCs w:val="21"/>
        </w:rPr>
        <w:t>乙方应保证向甲方提供的设备、技术服务等不侵害任何第三方的知识产权，不会产生因第三方提出侵犯其专利权、商标权或其他知识产权而引起的法律和经济纠纷；如因第三方提出其专利权、商标权或其他知识产权的权利主张的，否则，乙方赔偿甲方因此遭受的一切损失（包括但不限于赔偿金、违约金、律师费、差旅费等）。</w:t>
      </w:r>
    </w:p>
    <w:p>
      <w:pPr>
        <w:ind w:firstLine="440" w:firstLineChars="200"/>
        <w:rPr>
          <w:rFonts w:ascii="宋体" w:hAnsi="宋体"/>
          <w:szCs w:val="21"/>
        </w:rPr>
      </w:pPr>
      <w:r>
        <w:rPr>
          <w:rFonts w:hint="eastAsia" w:ascii="宋体" w:hAnsi="宋体"/>
          <w:szCs w:val="21"/>
        </w:rPr>
        <w:t xml:space="preserve"> </w:t>
      </w:r>
    </w:p>
    <w:p>
      <w:pPr>
        <w:rPr>
          <w:rFonts w:ascii="宋体" w:hAnsi="宋体" w:cs="宋体"/>
          <w:b/>
          <w:bCs/>
          <w:szCs w:val="21"/>
        </w:rPr>
      </w:pPr>
      <w:r>
        <w:rPr>
          <w:rFonts w:hint="eastAsia" w:ascii="宋体" w:hAnsi="宋体" w:cs="宋体"/>
          <w:b/>
          <w:bCs/>
          <w:szCs w:val="21"/>
        </w:rPr>
        <w:t xml:space="preserve">七、 保密 </w:t>
      </w:r>
    </w:p>
    <w:p>
      <w:pPr>
        <w:ind w:firstLine="420"/>
        <w:rPr>
          <w:rFonts w:ascii="宋体" w:hAnsi="宋体" w:cs="宋体"/>
          <w:szCs w:val="21"/>
        </w:rPr>
      </w:pPr>
      <w:r>
        <w:rPr>
          <w:rFonts w:hint="eastAsia" w:ascii="宋体" w:hAnsi="宋体" w:cs="宋体"/>
          <w:szCs w:val="21"/>
        </w:rPr>
        <w:t>乙方必须采取措施对本项目实施过程中的数据、源代码、技术文档等资料保密，否则，由于乙方过错导致的上述资料泄密的，乙方必须承担一切责任。保密期限：永久保密。</w:t>
      </w:r>
    </w:p>
    <w:p>
      <w:pPr>
        <w:ind w:firstLine="440" w:firstLineChars="200"/>
        <w:rPr>
          <w:rFonts w:ascii="宋体" w:hAnsi="宋体" w:cs="宋体"/>
          <w:szCs w:val="21"/>
        </w:rPr>
      </w:pPr>
      <w:r>
        <w:rPr>
          <w:rFonts w:hint="eastAsia" w:ascii="宋体" w:hAnsi="宋体" w:cs="宋体"/>
          <w:szCs w:val="21"/>
        </w:rPr>
        <w:t xml:space="preserve">1）未经甲方事先书面同意，乙方不得将本合同提供的条文、规格、计划、图纸、模型、样品或资料提供给与本合同无关的任何第三方，不得将其用于履行本合同之外的其它用途。即使向与履行本合同有关的人员提供，也应注意保密并限于履行合同所必需的范围。 </w:t>
      </w:r>
    </w:p>
    <w:p>
      <w:pPr>
        <w:ind w:firstLine="440" w:firstLineChars="200"/>
        <w:rPr>
          <w:rFonts w:ascii="宋体" w:hAnsi="宋体" w:cs="宋体"/>
          <w:szCs w:val="21"/>
        </w:rPr>
      </w:pPr>
      <w:r>
        <w:rPr>
          <w:rFonts w:hint="eastAsia" w:ascii="宋体" w:hAnsi="宋体" w:cs="宋体"/>
          <w:szCs w:val="21"/>
        </w:rPr>
        <w:t xml:space="preserve">2）除了合同本身之外，上款所列举的任何物品、资料均是甲方所有。如果甲方有要求，乙方在完成合同后应将这些物件及全部复制件还给甲方。 </w:t>
      </w:r>
    </w:p>
    <w:p>
      <w:pPr>
        <w:rPr>
          <w:rFonts w:ascii="宋体" w:hAnsi="宋体" w:cs="宋体"/>
          <w:szCs w:val="21"/>
        </w:rPr>
      </w:pPr>
    </w:p>
    <w:p>
      <w:pPr>
        <w:rPr>
          <w:rFonts w:ascii="宋体" w:hAnsi="宋体" w:cs="宋体"/>
          <w:b/>
          <w:bCs/>
          <w:szCs w:val="21"/>
        </w:rPr>
      </w:pPr>
      <w:r>
        <w:rPr>
          <w:rFonts w:hint="eastAsia" w:ascii="宋体" w:hAnsi="宋体" w:cs="宋体"/>
          <w:b/>
          <w:bCs/>
          <w:szCs w:val="21"/>
        </w:rPr>
        <w:t xml:space="preserve">八、 违约责任与赔偿损失 </w:t>
      </w:r>
    </w:p>
    <w:p>
      <w:pPr>
        <w:rPr>
          <w:rFonts w:ascii="宋体" w:hAnsi="宋体" w:cs="宋体"/>
          <w:szCs w:val="21"/>
        </w:rPr>
      </w:pPr>
      <w:r>
        <w:rPr>
          <w:rFonts w:hint="eastAsia" w:ascii="宋体" w:hAnsi="宋体" w:cs="宋体"/>
          <w:szCs w:val="21"/>
        </w:rPr>
        <w:t xml:space="preserve">1）乙方提供的服务不符合采购文件、投标文件或本合同规定的，甲方有权拒收，并且乙方须向甲方支付本合同总价5%的违约金。 </w:t>
      </w:r>
    </w:p>
    <w:p>
      <w:pPr>
        <w:rPr>
          <w:rFonts w:ascii="宋体" w:hAnsi="宋体" w:cs="宋体"/>
          <w:szCs w:val="21"/>
        </w:rPr>
      </w:pPr>
      <w:r>
        <w:rPr>
          <w:rFonts w:hint="eastAsia" w:ascii="宋体" w:hAnsi="宋体" w:cs="宋体"/>
          <w:szCs w:val="21"/>
        </w:rPr>
        <w:t xml:space="preserve">2）乙方未能按本合同规定的交货时间提供服务，从逾期之日起每日按本合同总价0.3‰向甲方支付逾期违约金；逾期15天以上的，甲方有权终止合同，要求乙方退还甲方已支付的合同价款，由此给甲方造成损失的，乙方应承担相应的赔偿责任。 </w:t>
      </w:r>
    </w:p>
    <w:p>
      <w:pPr>
        <w:rPr>
          <w:rFonts w:ascii="宋体" w:hAnsi="宋体" w:cs="宋体"/>
          <w:szCs w:val="21"/>
        </w:rPr>
      </w:pPr>
      <w:r>
        <w:rPr>
          <w:rFonts w:hint="eastAsia" w:ascii="宋体" w:hAnsi="宋体" w:cs="宋体"/>
          <w:szCs w:val="21"/>
        </w:rPr>
        <w:t>3）甲方无正当理由拒收接受服务，到期拒付服务款项的，甲方向乙方偿付本合同总价5%的违约金。甲方逾期付款，则每日按本合同总价的0.3‰向乙方偿付违约金。</w:t>
      </w:r>
    </w:p>
    <w:p>
      <w:pPr>
        <w:rPr>
          <w:rFonts w:ascii="宋体" w:hAnsi="宋体" w:cs="宋体"/>
          <w:szCs w:val="21"/>
        </w:rPr>
      </w:pPr>
      <w:r>
        <w:rPr>
          <w:rFonts w:hint="eastAsia" w:ascii="宋体" w:hAnsi="宋体" w:cs="宋体"/>
          <w:szCs w:val="21"/>
        </w:rPr>
        <w:t>4）乙方未按合同规定履行售后服务承诺的，甲方可选定第三方单位进行修复，其费用全部由乙方支付；否则，甲方有权从银行保函中兑现，若银行保函中金额不足以支付维修费用的，甲方有权要求乙方限期支付超出的部分。</w:t>
      </w:r>
    </w:p>
    <w:p>
      <w:pPr>
        <w:rPr>
          <w:rFonts w:ascii="宋体" w:hAnsi="宋体" w:cs="宋体"/>
          <w:szCs w:val="21"/>
        </w:rPr>
      </w:pPr>
      <w:r>
        <w:rPr>
          <w:rFonts w:hint="eastAsia" w:ascii="宋体" w:hAnsi="宋体" w:cs="宋体"/>
          <w:szCs w:val="21"/>
        </w:rPr>
        <w:t>5）非因法定、不可抗力与政府行为或者双方协商一致，任何一方单方终止或解除本合同的，另一方有权要求解除方（或终止方）按照本合同总价的5%支付违约金，由此给另一方造成损失的，还应当承担相应的赔偿责任。</w:t>
      </w:r>
    </w:p>
    <w:p>
      <w:pPr>
        <w:rPr>
          <w:rFonts w:ascii="宋体" w:hAnsi="宋体" w:cs="宋体"/>
          <w:szCs w:val="21"/>
        </w:rPr>
      </w:pPr>
      <w:r>
        <w:rPr>
          <w:rFonts w:hint="eastAsia" w:ascii="宋体" w:hAnsi="宋体" w:cs="宋体"/>
          <w:szCs w:val="21"/>
        </w:rPr>
        <w:t>6）任何一方违约，守约方除可要求对方承担本协议约定的违约责任外，还可要求违约方承担守约方因追究违约责任所支付的一切费用，包括但不限于诉讼费、律师费、鉴定费等。</w:t>
      </w:r>
    </w:p>
    <w:p>
      <w:pPr>
        <w:rPr>
          <w:rFonts w:ascii="宋体" w:hAnsi="宋体" w:cs="宋体"/>
          <w:szCs w:val="21"/>
        </w:rPr>
      </w:pPr>
      <w:r>
        <w:rPr>
          <w:rFonts w:hint="eastAsia" w:ascii="宋体" w:hAnsi="宋体" w:cs="宋体"/>
          <w:szCs w:val="21"/>
        </w:rPr>
        <w:t>7）其它违约责任按《中华人民共和国民法典》处理。</w:t>
      </w:r>
    </w:p>
    <w:p>
      <w:pPr>
        <w:rPr>
          <w:rFonts w:ascii="宋体" w:hAnsi="宋体" w:cs="宋体"/>
          <w:b/>
          <w:bCs/>
          <w:szCs w:val="21"/>
        </w:rPr>
      </w:pPr>
    </w:p>
    <w:p>
      <w:pPr>
        <w:rPr>
          <w:rFonts w:ascii="宋体" w:hAnsi="宋体" w:cs="宋体"/>
          <w:b/>
          <w:bCs/>
          <w:szCs w:val="21"/>
        </w:rPr>
      </w:pPr>
      <w:r>
        <w:rPr>
          <w:rFonts w:hint="eastAsia" w:ascii="宋体" w:hAnsi="宋体" w:cs="宋体"/>
          <w:b/>
          <w:bCs/>
          <w:szCs w:val="21"/>
        </w:rPr>
        <w:t xml:space="preserve">九、 争端的解决 </w:t>
      </w:r>
    </w:p>
    <w:p>
      <w:pPr>
        <w:rPr>
          <w:rFonts w:ascii="宋体" w:hAnsi="宋体" w:cs="宋体"/>
          <w:szCs w:val="21"/>
        </w:rPr>
      </w:pPr>
      <w:r>
        <w:rPr>
          <w:rFonts w:hint="eastAsia" w:ascii="宋体" w:hAnsi="宋体" w:cs="宋体"/>
          <w:szCs w:val="21"/>
        </w:rPr>
        <w:t xml:space="preserve">凡与本协议有关的一切争议，甲乙双方应首先通过友好协商方式，如经协商后仍不能达成协议时，双方均可向甲方所在地人民法院提起诉讼。 </w:t>
      </w:r>
    </w:p>
    <w:p>
      <w:pPr>
        <w:rPr>
          <w:rFonts w:ascii="宋体" w:hAnsi="宋体" w:cs="宋体"/>
          <w:b/>
          <w:bCs/>
          <w:szCs w:val="21"/>
        </w:rPr>
      </w:pPr>
    </w:p>
    <w:p>
      <w:pPr>
        <w:rPr>
          <w:rFonts w:ascii="宋体" w:hAnsi="宋体" w:cs="宋体"/>
          <w:b/>
          <w:bCs/>
          <w:szCs w:val="21"/>
        </w:rPr>
      </w:pPr>
      <w:r>
        <w:rPr>
          <w:rFonts w:hint="eastAsia" w:ascii="宋体" w:hAnsi="宋体" w:cs="宋体"/>
          <w:b/>
          <w:bCs/>
          <w:szCs w:val="21"/>
        </w:rPr>
        <w:t xml:space="preserve">十、 不可抗力 </w:t>
      </w:r>
    </w:p>
    <w:p>
      <w:pPr>
        <w:rPr>
          <w:rFonts w:ascii="宋体" w:hAnsi="宋体" w:cs="宋体"/>
          <w:szCs w:val="21"/>
        </w:rPr>
      </w:pPr>
      <w:r>
        <w:rPr>
          <w:rFonts w:hint="eastAsia" w:ascii="宋体" w:hAnsi="宋体" w:cs="宋体"/>
          <w:szCs w:val="21"/>
        </w:rPr>
        <w:t>由于不能预见、不能避免和不能克服的自然原因或社会原因，致使本合同不能履行或者不能完全履行时，遇到上述不可抗力或政府行为的一方，应立即书面通知合同其他方，并应在不可抗力或政府行为发生后十五日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遭受不可抗力或政府行为的一方未履行上述义务的，不能免除其违约责任。</w:t>
      </w:r>
    </w:p>
    <w:p>
      <w:pPr>
        <w:rPr>
          <w:rFonts w:ascii="宋体" w:hAnsi="宋体" w:cs="宋体"/>
          <w:szCs w:val="21"/>
        </w:rPr>
      </w:pPr>
      <w:r>
        <w:rPr>
          <w:rFonts w:hint="eastAsia" w:ascii="宋体" w:hAnsi="宋体" w:cs="宋体"/>
          <w:szCs w:val="21"/>
        </w:rPr>
        <w:t>在出现不可抗力或政府行为的情况下，双方均应采取适当措施减轻损失。任何一方因未采取措施或采取措施不当导致损失扩大的，应当对扩大的损失承担责任。</w:t>
      </w:r>
    </w:p>
    <w:p>
      <w:pPr>
        <w:rPr>
          <w:rFonts w:ascii="宋体" w:hAnsi="宋体" w:cs="宋体"/>
          <w:b/>
          <w:bCs/>
          <w:szCs w:val="21"/>
        </w:rPr>
      </w:pPr>
    </w:p>
    <w:p>
      <w:pPr>
        <w:rPr>
          <w:rFonts w:ascii="宋体" w:hAnsi="宋体" w:cs="宋体"/>
          <w:b/>
          <w:bCs/>
          <w:szCs w:val="21"/>
        </w:rPr>
      </w:pPr>
      <w:r>
        <w:rPr>
          <w:rFonts w:hint="eastAsia" w:ascii="宋体" w:hAnsi="宋体" w:cs="宋体"/>
          <w:b/>
          <w:bCs/>
          <w:szCs w:val="21"/>
        </w:rPr>
        <w:t xml:space="preserve">十一、 税费 </w:t>
      </w:r>
    </w:p>
    <w:p>
      <w:pPr>
        <w:rPr>
          <w:rFonts w:ascii="宋体" w:hAnsi="宋体" w:cs="宋体"/>
          <w:szCs w:val="21"/>
        </w:rPr>
      </w:pPr>
      <w:r>
        <w:rPr>
          <w:rFonts w:hint="eastAsia" w:ascii="宋体" w:hAnsi="宋体" w:cs="宋体"/>
          <w:szCs w:val="21"/>
        </w:rPr>
        <w:t xml:space="preserve">在中国境内、外发生的与本合同执行有关的一切税费均由乙方负担。 </w:t>
      </w:r>
    </w:p>
    <w:p>
      <w:pPr>
        <w:rPr>
          <w:rFonts w:ascii="宋体" w:hAnsi="宋体" w:cs="宋体"/>
          <w:b/>
          <w:bCs/>
          <w:szCs w:val="21"/>
        </w:rPr>
      </w:pPr>
    </w:p>
    <w:p>
      <w:pPr>
        <w:rPr>
          <w:rFonts w:ascii="宋体" w:hAnsi="宋体" w:cs="宋体"/>
          <w:b/>
          <w:bCs/>
          <w:szCs w:val="21"/>
        </w:rPr>
      </w:pPr>
      <w:r>
        <w:rPr>
          <w:rFonts w:hint="eastAsia" w:ascii="宋体" w:hAnsi="宋体" w:cs="宋体"/>
          <w:b/>
          <w:bCs/>
          <w:szCs w:val="21"/>
        </w:rPr>
        <w:t>十二、通知送达</w:t>
      </w:r>
    </w:p>
    <w:p>
      <w:pPr>
        <w:rPr>
          <w:rFonts w:ascii="宋体" w:hAnsi="宋体" w:cs="宋体"/>
          <w:szCs w:val="21"/>
        </w:rPr>
      </w:pPr>
      <w:r>
        <w:rPr>
          <w:rFonts w:hint="eastAsia" w:ascii="宋体" w:hAnsi="宋体" w:cs="宋体"/>
          <w:szCs w:val="21"/>
        </w:rPr>
        <w:t>与本合同签订、履行以及争议解决等有关的文件、通知、材料等的送达，均以合同首部列明的地址和邮箱为准，只要有关的文件、通知、材料送达至上述地址或邮箱，无论受送达方是否实际拆阅或查阅，均视为送达。</w:t>
      </w:r>
    </w:p>
    <w:p>
      <w:r>
        <w:rPr>
          <w:rFonts w:hint="eastAsia" w:ascii="宋体" w:hAnsi="宋体" w:cs="宋体"/>
          <w:szCs w:val="21"/>
        </w:rPr>
        <w:t>任何一方联系地址、联系方式或联系人变更，应在发生变更情况之日起3个工作日内以电话或书面形式通知另一方；否则，按未变更地址送达视为有效送达，无论该文件是否退回或被拒收，由此产生的责任与损失由变更方承担。</w:t>
      </w:r>
    </w:p>
    <w:p>
      <w:pPr>
        <w:rPr>
          <w:rFonts w:ascii="宋体" w:hAnsi="宋体" w:cs="宋体"/>
          <w:b/>
          <w:bCs/>
          <w:szCs w:val="21"/>
        </w:rPr>
      </w:pPr>
    </w:p>
    <w:p>
      <w:pPr>
        <w:rPr>
          <w:rFonts w:ascii="宋体" w:hAnsi="宋体" w:cs="宋体"/>
          <w:b/>
          <w:bCs/>
          <w:szCs w:val="21"/>
        </w:rPr>
      </w:pPr>
      <w:r>
        <w:rPr>
          <w:rFonts w:hint="eastAsia" w:ascii="宋体" w:hAnsi="宋体" w:cs="宋体"/>
          <w:b/>
          <w:bCs/>
          <w:szCs w:val="21"/>
        </w:rPr>
        <w:t xml:space="preserve">十三、 其它 </w:t>
      </w:r>
    </w:p>
    <w:p>
      <w:pPr>
        <w:rPr>
          <w:rFonts w:ascii="宋体" w:hAnsi="宋体" w:cs="宋体"/>
          <w:szCs w:val="21"/>
        </w:rPr>
      </w:pPr>
      <w:r>
        <w:rPr>
          <w:rFonts w:hint="eastAsia" w:ascii="宋体" w:hAnsi="宋体" w:cs="宋体"/>
          <w:szCs w:val="21"/>
        </w:rPr>
        <w:t xml:space="preserve">1）本合同所有附件、采购文件、投标文件、中标通知书均为合同的有效组成部分，与本合同具有同等法律效力。 </w:t>
      </w:r>
    </w:p>
    <w:p>
      <w:pPr>
        <w:rPr>
          <w:rFonts w:ascii="宋体" w:hAnsi="宋体" w:cs="宋体"/>
          <w:szCs w:val="21"/>
        </w:rPr>
      </w:pPr>
      <w:r>
        <w:rPr>
          <w:rFonts w:hint="eastAsia" w:ascii="宋体" w:hAnsi="宋体" w:cs="宋体"/>
          <w:szCs w:val="21"/>
        </w:rPr>
        <w:t xml:space="preserve">2）在执行本合同的过程中，所有经双方签署确认的文件（包括会议纪要、补充协议、往来信函）即成为本合同的有效组成部分。 </w:t>
      </w:r>
    </w:p>
    <w:p>
      <w:pPr>
        <w:rPr>
          <w:rFonts w:ascii="宋体" w:hAnsi="宋体" w:cs="宋体"/>
          <w:szCs w:val="21"/>
        </w:rPr>
      </w:pPr>
      <w:r>
        <w:rPr>
          <w:rFonts w:hint="eastAsia" w:ascii="宋体" w:hAnsi="宋体" w:cs="宋体"/>
          <w:szCs w:val="21"/>
        </w:rPr>
        <w:t xml:space="preserve">3）如一方地址、电话、传真号码有变更，应在变更当日内书面通知对方，否则，应承担相应责任。 </w:t>
      </w:r>
    </w:p>
    <w:p>
      <w:pPr>
        <w:rPr>
          <w:rFonts w:ascii="宋体" w:hAnsi="宋体" w:cs="宋体"/>
          <w:szCs w:val="21"/>
        </w:rPr>
      </w:pPr>
      <w:r>
        <w:rPr>
          <w:rFonts w:hint="eastAsia" w:ascii="宋体" w:hAnsi="宋体" w:cs="宋体"/>
          <w:szCs w:val="21"/>
        </w:rPr>
        <w:t>4）除甲方事先书面同意外，乙方不得部分或全部转让其应履行的合同项下的义务。</w:t>
      </w:r>
    </w:p>
    <w:p>
      <w:pPr>
        <w:rPr>
          <w:rFonts w:ascii="宋体" w:hAnsi="宋体" w:cs="宋体"/>
          <w:b/>
          <w:bCs/>
          <w:szCs w:val="21"/>
        </w:rPr>
      </w:pPr>
    </w:p>
    <w:p>
      <w:pPr>
        <w:rPr>
          <w:rFonts w:ascii="宋体" w:hAnsi="宋体" w:cs="宋体"/>
          <w:b/>
          <w:bCs/>
          <w:szCs w:val="21"/>
        </w:rPr>
      </w:pPr>
      <w:r>
        <w:rPr>
          <w:rFonts w:hint="eastAsia" w:ascii="宋体" w:hAnsi="宋体" w:cs="宋体"/>
          <w:b/>
          <w:bCs/>
          <w:szCs w:val="21"/>
        </w:rPr>
        <w:t xml:space="preserve">十四、 合同生效： </w:t>
      </w:r>
    </w:p>
    <w:p>
      <w:pPr>
        <w:rPr>
          <w:rFonts w:ascii="宋体" w:hAnsi="宋体" w:cs="宋体"/>
          <w:szCs w:val="21"/>
        </w:rPr>
      </w:pPr>
      <w:r>
        <w:rPr>
          <w:rFonts w:hint="eastAsia" w:ascii="宋体" w:hAnsi="宋体" w:cs="宋体"/>
          <w:szCs w:val="21"/>
        </w:rPr>
        <w:t>1）本协议一式柒份，具有同等效力，甲方肆份、乙方贰份、招标代理机构壹份。协议自双方授权代表签字并加盖公章之日起生效。</w:t>
      </w:r>
    </w:p>
    <w:p>
      <w:pPr>
        <w:rPr>
          <w:rFonts w:ascii="宋体" w:hAnsi="宋体" w:cs="宋体"/>
          <w:szCs w:val="21"/>
        </w:rPr>
      </w:pPr>
      <w:r>
        <w:rPr>
          <w:rFonts w:hint="eastAsia" w:ascii="宋体" w:hAnsi="宋体" w:cs="宋体"/>
          <w:szCs w:val="21"/>
        </w:rPr>
        <w:t>2）本协议在履行过程中未尽事宜，由双方签署补充协议确定，并与本协议具有同等法律效力。</w:t>
      </w:r>
    </w:p>
    <w:p>
      <w:pPr>
        <w:rPr>
          <w:rFonts w:ascii="宋体" w:hAnsi="宋体" w:cs="宋体"/>
          <w:szCs w:val="21"/>
        </w:rPr>
      </w:pPr>
      <w:r>
        <w:rPr>
          <w:rFonts w:hint="eastAsia" w:ascii="宋体" w:hAnsi="宋体" w:cs="宋体"/>
          <w:szCs w:val="21"/>
        </w:rPr>
        <w:t>3）本合同中有关争议解决的条款，不因本合同期满、解除或宣告无效而失效。</w:t>
      </w:r>
    </w:p>
    <w:p>
      <w:pPr>
        <w:rPr>
          <w:rFonts w:ascii="宋体" w:hAnsi="宋体" w:cs="宋体"/>
          <w:szCs w:val="21"/>
        </w:rPr>
      </w:pPr>
      <w:r>
        <w:rPr>
          <w:rFonts w:hint="eastAsia" w:ascii="宋体" w:hAnsi="宋体" w:cs="宋体"/>
          <w:szCs w:val="21"/>
        </w:rPr>
        <w:t>（以下无正文）</w:t>
      </w:r>
    </w:p>
    <w:p>
      <w:pPr>
        <w:rPr>
          <w:rFonts w:ascii="宋体" w:hAnsi="宋体" w:cs="宋体"/>
          <w:szCs w:val="21"/>
        </w:rPr>
      </w:pPr>
      <w:r>
        <w:rPr>
          <w:rFonts w:hint="eastAsia" w:ascii="宋体" w:hAnsi="宋体" w:cs="宋体"/>
          <w:szCs w:val="21"/>
        </w:rPr>
        <w:t xml:space="preserve">甲方（盖章）：                                 乙方（盖章）： </w:t>
      </w:r>
    </w:p>
    <w:p>
      <w:pPr>
        <w:rPr>
          <w:rFonts w:ascii="宋体" w:hAnsi="宋体" w:cs="宋体"/>
          <w:szCs w:val="21"/>
        </w:rPr>
      </w:pPr>
    </w:p>
    <w:p>
      <w:pPr>
        <w:rPr>
          <w:rFonts w:ascii="宋体" w:hAnsi="宋体" w:cs="宋体"/>
          <w:szCs w:val="21"/>
        </w:rPr>
      </w:pPr>
      <w:r>
        <w:rPr>
          <w:rFonts w:hint="eastAsia" w:ascii="宋体" w:hAnsi="宋体" w:cs="宋体"/>
          <w:szCs w:val="21"/>
        </w:rPr>
        <w:t xml:space="preserve">代表：                                        代表： </w:t>
      </w:r>
    </w:p>
    <w:p>
      <w:pPr>
        <w:rPr>
          <w:rFonts w:ascii="宋体" w:hAnsi="宋体" w:cs="宋体"/>
          <w:szCs w:val="21"/>
        </w:rPr>
      </w:pPr>
    </w:p>
    <w:p>
      <w:pPr>
        <w:rPr>
          <w:rFonts w:ascii="宋体" w:hAnsi="宋体" w:cs="宋体"/>
          <w:szCs w:val="21"/>
        </w:rPr>
      </w:pPr>
      <w:r>
        <w:rPr>
          <w:rFonts w:hint="eastAsia" w:ascii="宋体" w:hAnsi="宋体" w:cs="宋体"/>
          <w:szCs w:val="21"/>
        </w:rPr>
        <w:t xml:space="preserve">签定地点： </w:t>
      </w:r>
    </w:p>
    <w:p>
      <w:pPr>
        <w:rPr>
          <w:rFonts w:ascii="宋体" w:hAnsi="宋体" w:cs="宋体"/>
          <w:szCs w:val="21"/>
        </w:rPr>
      </w:pPr>
    </w:p>
    <w:p>
      <w:pPr>
        <w:rPr>
          <w:rFonts w:ascii="宋体" w:hAnsi="宋体" w:cs="宋体"/>
          <w:szCs w:val="21"/>
        </w:rPr>
      </w:pPr>
      <w:r>
        <w:rPr>
          <w:rFonts w:hint="eastAsia" w:ascii="宋体" w:hAnsi="宋体" w:cs="宋体"/>
          <w:szCs w:val="21"/>
        </w:rPr>
        <w:t xml:space="preserve">签定日期：     年     月     日               签定日期：    年     月     日 </w:t>
      </w:r>
    </w:p>
    <w:p>
      <w:pPr>
        <w:rPr>
          <w:rFonts w:ascii="宋体" w:hAnsi="宋体" w:cs="宋体"/>
          <w:szCs w:val="21"/>
        </w:rPr>
      </w:pPr>
      <w:r>
        <w:rPr>
          <w:rFonts w:hint="eastAsia" w:ascii="宋体" w:hAnsi="宋体" w:cs="宋体"/>
          <w:szCs w:val="21"/>
        </w:rPr>
        <w:t xml:space="preserve">                                              开户名称： </w:t>
      </w:r>
    </w:p>
    <w:p>
      <w:pPr>
        <w:rPr>
          <w:rFonts w:ascii="宋体" w:hAnsi="宋体" w:cs="宋体"/>
          <w:szCs w:val="21"/>
        </w:rPr>
      </w:pPr>
      <w:r>
        <w:rPr>
          <w:rFonts w:hint="eastAsia" w:ascii="宋体" w:hAnsi="宋体" w:cs="宋体"/>
          <w:szCs w:val="21"/>
        </w:rPr>
        <w:t xml:space="preserve">                                              银行账号： </w:t>
      </w:r>
    </w:p>
    <w:p>
      <w:r>
        <w:rPr>
          <w:rFonts w:hint="eastAsia" w:ascii="宋体" w:hAnsi="宋体" w:cs="宋体"/>
          <w:szCs w:val="21"/>
        </w:rPr>
        <w:t xml:space="preserve">                                              开 户 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ヒラギノ角ゴ Pro W3">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Heiti SC Medium">
    <w:altName w:val="宋体"/>
    <w:panose1 w:val="00000000000000000000"/>
    <w:charset w:val="86"/>
    <w:family w:val="auto"/>
    <w:pitch w:val="default"/>
    <w:sig w:usb0="00000000" w:usb1="00000000" w:usb2="00000000" w:usb3="00000000" w:csb0="203E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9F386"/>
    <w:multiLevelType w:val="singleLevel"/>
    <w:tmpl w:val="8129F386"/>
    <w:lvl w:ilvl="0" w:tentative="0">
      <w:start w:val="1"/>
      <w:numFmt w:val="decimal"/>
      <w:lvlText w:val="%1."/>
      <w:lvlJc w:val="left"/>
      <w:pPr>
        <w:ind w:left="425" w:hanging="425"/>
      </w:pPr>
      <w:rPr>
        <w:color w:val="FF0000"/>
      </w:rPr>
    </w:lvl>
  </w:abstractNum>
  <w:abstractNum w:abstractNumId="1">
    <w:nsid w:val="84D076B3"/>
    <w:multiLevelType w:val="multilevel"/>
    <w:tmpl w:val="84D076B3"/>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0" w:hanging="850"/>
      </w:pPr>
    </w:lvl>
    <w:lvl w:ilvl="4" w:tentative="0">
      <w:start w:val="1"/>
      <w:numFmt w:val="decimal"/>
      <w:lvlText w:val="%1.%2.%3.%4.%5."/>
      <w:lvlJc w:val="left"/>
      <w:pPr>
        <w:ind w:left="991" w:hanging="991"/>
      </w:pPr>
    </w:lvl>
    <w:lvl w:ilvl="5" w:tentative="0">
      <w:start w:val="1"/>
      <w:numFmt w:val="decimal"/>
      <w:lvlText w:val="%1.%2.%3.%4.%5.%6."/>
      <w:lvlJc w:val="left"/>
      <w:pPr>
        <w:ind w:left="1134" w:hanging="1134"/>
      </w:pPr>
    </w:lvl>
    <w:lvl w:ilvl="6" w:tentative="0">
      <w:start w:val="1"/>
      <w:numFmt w:val="decimal"/>
      <w:lvlText w:val="%1.%2.%3.%4.%5.%6.%7."/>
      <w:lvlJc w:val="left"/>
      <w:pPr>
        <w:ind w:left="1275" w:hanging="1275"/>
      </w:pPr>
    </w:lvl>
    <w:lvl w:ilvl="7" w:tentative="0">
      <w:start w:val="1"/>
      <w:numFmt w:val="decimal"/>
      <w:lvlText w:val="%1.%2.%3.%4.%5.%6.%7.%8."/>
      <w:lvlJc w:val="left"/>
      <w:pPr>
        <w:ind w:left="1418" w:hanging="1418"/>
      </w:pPr>
    </w:lvl>
    <w:lvl w:ilvl="8" w:tentative="0">
      <w:start w:val="1"/>
      <w:numFmt w:val="decimal"/>
      <w:lvlText w:val="%1.%2.%3.%4.%5.%6.%7.%8.%9."/>
      <w:lvlJc w:val="left"/>
      <w:pPr>
        <w:ind w:left="1558" w:hanging="1558"/>
      </w:pPr>
    </w:lvl>
  </w:abstractNum>
  <w:abstractNum w:abstractNumId="2">
    <w:nsid w:val="AB49E0E9"/>
    <w:multiLevelType w:val="singleLevel"/>
    <w:tmpl w:val="AB49E0E9"/>
    <w:lvl w:ilvl="0" w:tentative="0">
      <w:start w:val="1"/>
      <w:numFmt w:val="chineseCounting"/>
      <w:suff w:val="nothing"/>
      <w:lvlText w:val="（%1）"/>
      <w:lvlJc w:val="left"/>
      <w:pPr>
        <w:ind w:left="0" w:firstLine="420"/>
      </w:pPr>
    </w:lvl>
  </w:abstractNum>
  <w:abstractNum w:abstractNumId="3">
    <w:nsid w:val="C05DECB2"/>
    <w:multiLevelType w:val="singleLevel"/>
    <w:tmpl w:val="C05DECB2"/>
    <w:lvl w:ilvl="0" w:tentative="0">
      <w:start w:val="1"/>
      <w:numFmt w:val="decimal"/>
      <w:pStyle w:val="13"/>
      <w:lvlText w:val="%1."/>
      <w:lvlJc w:val="left"/>
      <w:pPr>
        <w:tabs>
          <w:tab w:val="left" w:pos="360"/>
        </w:tabs>
        <w:ind w:left="360" w:hanging="360"/>
      </w:pPr>
    </w:lvl>
  </w:abstractNum>
  <w:abstractNum w:abstractNumId="4">
    <w:nsid w:val="C554B81C"/>
    <w:multiLevelType w:val="singleLevel"/>
    <w:tmpl w:val="C554B81C"/>
    <w:lvl w:ilvl="0" w:tentative="0">
      <w:start w:val="2"/>
      <w:numFmt w:val="chineseCounting"/>
      <w:suff w:val="space"/>
      <w:lvlText w:val="%1、"/>
      <w:lvlJc w:val="left"/>
      <w:pPr>
        <w:ind w:left="0" w:firstLine="0"/>
      </w:pPr>
    </w:lvl>
  </w:abstractNum>
  <w:abstractNum w:abstractNumId="5">
    <w:nsid w:val="CD0995A3"/>
    <w:multiLevelType w:val="singleLevel"/>
    <w:tmpl w:val="CD0995A3"/>
    <w:lvl w:ilvl="0" w:tentative="0">
      <w:start w:val="1"/>
      <w:numFmt w:val="decimal"/>
      <w:suff w:val="nothing"/>
      <w:lvlText w:val="（%1）"/>
      <w:lvlJc w:val="left"/>
      <w:pPr>
        <w:ind w:left="0" w:firstLine="0"/>
      </w:pPr>
    </w:lvl>
  </w:abstractNum>
  <w:abstractNum w:abstractNumId="6">
    <w:nsid w:val="00000002"/>
    <w:multiLevelType w:val="multilevel"/>
    <w:tmpl w:val="00000002"/>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A"/>
    <w:multiLevelType w:val="multilevel"/>
    <w:tmpl w:val="0000000A"/>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rFonts w:hint="eastAsia" w:ascii="宋体" w:hAnsi="宋体" w:eastAsia="宋体" w:cs="Times New Roman"/>
        <w:b w:val="0"/>
        <w:strike w:val="0"/>
        <w:dstrike w:val="0"/>
        <w:sz w:val="21"/>
        <w:szCs w:val="21"/>
        <w:u w:val="none"/>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00000011"/>
    <w:multiLevelType w:val="multilevel"/>
    <w:tmpl w:val="00000011"/>
    <w:lvl w:ilvl="0" w:tentative="0">
      <w:start w:val="1"/>
      <w:numFmt w:val="decimal"/>
      <w:lvlText w:val="%1."/>
      <w:lvlJc w:val="left"/>
      <w:pPr>
        <w:tabs>
          <w:tab w:val="left" w:pos="420"/>
        </w:tabs>
        <w:ind w:left="420" w:hanging="420"/>
      </w:pPr>
      <w:rPr>
        <w:b w:val="0"/>
        <w:bC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decimal"/>
      <w:lvlText w:val="格式%1"/>
      <w:lvlJc w:val="left"/>
      <w:pPr>
        <w:tabs>
          <w:tab w:val="left" w:pos="425"/>
        </w:tabs>
        <w:ind w:left="425" w:hanging="425"/>
      </w:pPr>
      <w:rPr>
        <w:rFonts w:hint="eastAsia" w:ascii="黑体" w:hAnsi="Times New Roman" w:eastAsia="黑体"/>
        <w:b w:val="0"/>
        <w:color w:val="auto"/>
        <w:sz w:val="28"/>
        <w:szCs w:val="28"/>
        <w:lang w:val="en-US"/>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571"/>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314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4351"/>
        </w:tabs>
        <w:ind w:left="3827" w:hanging="1276"/>
      </w:pPr>
    </w:lvl>
    <w:lvl w:ilvl="7" w:tentative="0">
      <w:start w:val="1"/>
      <w:numFmt w:val="decimal"/>
      <w:lvlText w:val="%1.%2.%3.%4.%5.%6.%7.%8"/>
      <w:lvlJc w:val="left"/>
      <w:pPr>
        <w:tabs>
          <w:tab w:val="left" w:pos="5136"/>
        </w:tabs>
        <w:ind w:left="4394" w:hanging="1418"/>
      </w:pPr>
    </w:lvl>
    <w:lvl w:ilvl="8" w:tentative="0">
      <w:start w:val="1"/>
      <w:numFmt w:val="decimal"/>
      <w:lvlText w:val="%1.%2.%3.%4.%5.%6.%7.%8.%9"/>
      <w:lvlJc w:val="left"/>
      <w:pPr>
        <w:tabs>
          <w:tab w:val="left" w:pos="5562"/>
        </w:tabs>
        <w:ind w:left="5102" w:hanging="1700"/>
      </w:pPr>
    </w:lvl>
  </w:abstractNum>
  <w:abstractNum w:abstractNumId="10">
    <w:nsid w:val="00000015"/>
    <w:multiLevelType w:val="multilevel"/>
    <w:tmpl w:val="00000015"/>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6"/>
    <w:multiLevelType w:val="multilevel"/>
    <w:tmpl w:val="00000016"/>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7"/>
    <w:multiLevelType w:val="multilevel"/>
    <w:tmpl w:val="00000017"/>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rPr>
        <w:rFonts w:hint="eastAsia" w:ascii="宋体" w:hAnsi="宋体" w:eastAsia="宋体" w:cs="Times New Roman"/>
        <w:b w:val="0"/>
        <w:strike w:val="0"/>
        <w:dstrike w:val="0"/>
        <w:u w:val="none"/>
      </w:rPr>
    </w:lvl>
    <w:lvl w:ilvl="2" w:tentative="0">
      <w:start w:val="1"/>
      <w:numFmt w:val="decimal"/>
      <w:lvlText w:val="%1.%2.%3"/>
      <w:lvlJc w:val="left"/>
      <w:pPr>
        <w:tabs>
          <w:tab w:val="left" w:pos="851"/>
        </w:tabs>
        <w:ind w:left="851" w:hanging="851"/>
      </w:pPr>
      <w:rPr>
        <w:rFonts w:hint="default" w:ascii="Times New Roman" w:hAnsi="Times New Roman" w:eastAsia="宋体" w:cs="Times New Roman"/>
        <w:sz w:val="24"/>
        <w:szCs w:val="24"/>
      </w:rPr>
    </w:lvl>
    <w:lvl w:ilvl="3" w:tentative="0">
      <w:start w:val="1"/>
      <w:numFmt w:val="decimal"/>
      <w:lvlText w:val="%1.%2.%3.%4"/>
      <w:lvlJc w:val="left"/>
      <w:pPr>
        <w:tabs>
          <w:tab w:val="left" w:pos="851"/>
        </w:tabs>
        <w:ind w:left="851" w:hanging="851"/>
      </w:pPr>
      <w:rPr>
        <w:strike w:val="0"/>
        <w:dstrike w:val="0"/>
        <w:u w:val="none"/>
      </w:r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3">
    <w:nsid w:val="00000019"/>
    <w:multiLevelType w:val="multilevel"/>
    <w:tmpl w:val="00000019"/>
    <w:lvl w:ilvl="0" w:tentative="0">
      <w:start w:val="1"/>
      <w:numFmt w:val="decimal"/>
      <w:lvlText w:val="%1"/>
      <w:lvlJc w:val="center"/>
      <w:pPr>
        <w:tabs>
          <w:tab w:val="left" w:pos="142"/>
        </w:tabs>
        <w:ind w:left="142" w:firstLine="38"/>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B"/>
    <w:multiLevelType w:val="multilevel"/>
    <w:tmpl w:val="0000001B"/>
    <w:lvl w:ilvl="0" w:tentative="0">
      <w:start w:val="1"/>
      <w:numFmt w:val="decimal"/>
      <w:lvlText w:val="%1."/>
      <w:lvlJc w:val="left"/>
      <w:pPr>
        <w:tabs>
          <w:tab w:val="left" w:pos="425"/>
        </w:tabs>
        <w:ind w:left="425" w:hanging="425"/>
      </w:pPr>
      <w:rPr>
        <w:rFonts w:hint="eastAsia" w:ascii="宋体" w:hAnsi="宋体" w:eastAsia="宋体"/>
        <w:b/>
        <w:color w:val="auto"/>
      </w:rPr>
    </w:lvl>
    <w:lvl w:ilvl="1" w:tentative="0">
      <w:start w:val="1"/>
      <w:numFmt w:val="decimal"/>
      <w:lvlText w:val="%1.%2"/>
      <w:lvlJc w:val="left"/>
      <w:pPr>
        <w:tabs>
          <w:tab w:val="left" w:pos="567"/>
        </w:tabs>
        <w:ind w:left="567" w:hanging="567"/>
      </w:pPr>
      <w:rPr>
        <w:rFonts w:hint="eastAsia" w:ascii="宋体" w:hAnsi="宋体" w:eastAsia="宋体"/>
        <w:b w:val="0"/>
        <w:color w:val="auto"/>
      </w:rPr>
    </w:lvl>
    <w:lvl w:ilvl="2" w:tentative="0">
      <w:start w:val="1"/>
      <w:numFmt w:val="decimal"/>
      <w:lvlText w:val="%1.%2.%3"/>
      <w:lvlJc w:val="left"/>
      <w:pPr>
        <w:tabs>
          <w:tab w:val="left" w:pos="709"/>
        </w:tabs>
        <w:ind w:left="709" w:hanging="709"/>
      </w:pPr>
      <w:rPr>
        <w:rFonts w:hint="eastAsia" w:ascii="微软雅黑" w:hAnsi="微软雅黑" w:eastAsia="微软雅黑"/>
        <w:b w:val="0"/>
        <w:color w:val="auto"/>
      </w:rPr>
    </w:lvl>
    <w:lvl w:ilvl="3" w:tentative="0">
      <w:start w:val="1"/>
      <w:numFmt w:val="decimal"/>
      <w:lvlText w:val="%1.%2.%3.%4."/>
      <w:lvlJc w:val="left"/>
      <w:pPr>
        <w:tabs>
          <w:tab w:val="left" w:pos="851"/>
        </w:tabs>
        <w:ind w:left="851" w:hanging="851"/>
      </w:pPr>
      <w:rPr>
        <w:rFonts w:hint="eastAsia" w:ascii="宋体" w:hAnsi="宋体" w:eastAsia="宋体"/>
      </w:r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5">
    <w:nsid w:val="04544B4D"/>
    <w:multiLevelType w:val="multilevel"/>
    <w:tmpl w:val="04544B4D"/>
    <w:lvl w:ilvl="0" w:tentative="0">
      <w:start w:val="1"/>
      <w:numFmt w:val="decimal"/>
      <w:pStyle w:val="257"/>
      <w:lvlText w:val="%1."/>
      <w:lvlJc w:val="left"/>
      <w:pPr>
        <w:ind w:left="425" w:hanging="425"/>
      </w:pPr>
      <w:rPr>
        <w:rFonts w:hint="default" w:ascii="Times New Roman" w:hAnsi="Times New Roman" w:cs="Times New Roman"/>
      </w:rPr>
    </w:lvl>
    <w:lvl w:ilvl="1" w:tentative="0">
      <w:start w:val="1"/>
      <w:numFmt w:val="decimal"/>
      <w:pStyle w:val="254"/>
      <w:lvlText w:val="%1.%2."/>
      <w:lvlJc w:val="left"/>
      <w:pPr>
        <w:ind w:left="567" w:hanging="567"/>
      </w:pPr>
      <w:rPr>
        <w:rFonts w:hint="default" w:ascii="Times New Roman" w:hAnsi="Times New Roman" w:cs="Times New Roman"/>
      </w:rPr>
    </w:lvl>
    <w:lvl w:ilvl="2" w:tentative="0">
      <w:start w:val="1"/>
      <w:numFmt w:val="decimal"/>
      <w:pStyle w:val="256"/>
      <w:lvlText w:val="%1.%2.%3."/>
      <w:lvlJc w:val="left"/>
      <w:pPr>
        <w:ind w:left="709" w:hanging="709"/>
      </w:pPr>
      <w:rPr>
        <w:rFonts w:hint="default" w:ascii="Times New Roman" w:hAnsi="Times New Roman" w:cs="Times New Roman"/>
        <w:b w:val="0"/>
        <w:bCs/>
      </w:rPr>
    </w:lvl>
    <w:lvl w:ilvl="3" w:tentative="0">
      <w:start w:val="1"/>
      <w:numFmt w:val="decimal"/>
      <w:pStyle w:val="263"/>
      <w:lvlText w:val="%1.%2.%3.%4."/>
      <w:lvlJc w:val="left"/>
      <w:pPr>
        <w:ind w:left="1277" w:hanging="851"/>
      </w:pPr>
      <w:rPr>
        <w:rFonts w:hint="eastAsia"/>
      </w:rPr>
    </w:lvl>
    <w:lvl w:ilvl="4" w:tentative="0">
      <w:start w:val="1"/>
      <w:numFmt w:val="decimal"/>
      <w:pStyle w:val="262"/>
      <w:lvlText w:val="%1.%2.%3.%4.%5."/>
      <w:lvlJc w:val="left"/>
      <w:pPr>
        <w:ind w:left="992" w:hanging="992"/>
      </w:pPr>
      <w:rPr>
        <w:rFonts w:hint="eastAsia"/>
      </w:rPr>
    </w:lvl>
    <w:lvl w:ilvl="5" w:tentative="0">
      <w:start w:val="1"/>
      <w:numFmt w:val="decimal"/>
      <w:pStyle w:val="264"/>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6">
    <w:nsid w:val="535778F6"/>
    <w:multiLevelType w:val="multilevel"/>
    <w:tmpl w:val="535778F6"/>
    <w:lvl w:ilvl="0" w:tentative="0">
      <w:start w:val="1"/>
      <w:numFmt w:val="chineseCountingThousand"/>
      <w:suff w:val="nothing"/>
      <w:lvlText w:val="%1、"/>
      <w:lvlJc w:val="left"/>
      <w:pPr>
        <w:ind w:left="540" w:firstLine="0"/>
      </w:pPr>
      <w:rPr>
        <w:b/>
        <w:i w:val="0"/>
        <w:sz w:val="24"/>
      </w:rPr>
    </w:lvl>
    <w:lvl w:ilvl="1" w:tentative="0">
      <w:start w:val="1"/>
      <w:numFmt w:val="decimal"/>
      <w:suff w:val="nothing"/>
      <w:lvlText w:val="%1. "/>
      <w:lvlJc w:val="left"/>
      <w:pPr>
        <w:ind w:left="0" w:firstLine="0"/>
      </w:pPr>
      <w:rPr>
        <w:b w:val="0"/>
        <w:i w:val="0"/>
        <w:sz w:val="24"/>
      </w:rPr>
    </w:lvl>
    <w:lvl w:ilvl="2" w:tentative="0">
      <w:start w:val="1"/>
      <w:numFmt w:val="decimal"/>
      <w:suff w:val="nothing"/>
      <w:lvlText w:val=""/>
      <w:lvlJc w:val="left"/>
      <w:pPr>
        <w:ind w:left="0" w:firstLine="0"/>
      </w:pPr>
    </w:lvl>
    <w:lvl w:ilvl="3" w:tentative="0">
      <w:start w:val="1"/>
      <w:numFmt w:val="decimal"/>
      <w:pStyle w:val="89"/>
      <w:suff w:val="nothing"/>
      <w:lvlText w:val=""/>
      <w:lvlJc w:val="left"/>
      <w:pPr>
        <w:ind w:left="0" w:firstLine="0"/>
      </w:pPr>
    </w:lvl>
    <w:lvl w:ilvl="4" w:tentative="0">
      <w:start w:val="1"/>
      <w:numFmt w:val="decimal"/>
      <w:suff w:val="nothing"/>
      <w:lvlText w:val=""/>
      <w:lvlJc w:val="left"/>
      <w:pPr>
        <w:ind w:left="0" w:firstLine="0"/>
      </w:pPr>
    </w:lvl>
    <w:lvl w:ilvl="5" w:tentative="0">
      <w:start w:val="1"/>
      <w:numFmt w:val="decimal"/>
      <w:suff w:val="nothing"/>
      <w:lvlText w:val=""/>
      <w:lvlJc w:val="left"/>
      <w:pPr>
        <w:ind w:left="0" w:firstLine="0"/>
      </w:pPr>
    </w:lvl>
    <w:lvl w:ilvl="6" w:tentative="0">
      <w:start w:val="1"/>
      <w:numFmt w:val="decimal"/>
      <w:suff w:val="nothing"/>
      <w:lvlText w:val=""/>
      <w:lvlJc w:val="left"/>
      <w:pPr>
        <w:ind w:left="0" w:firstLine="0"/>
      </w:pPr>
    </w:lvl>
    <w:lvl w:ilvl="7" w:tentative="0">
      <w:start w:val="1"/>
      <w:numFmt w:val="decimal"/>
      <w:suff w:val="nothing"/>
      <w:lvlText w:val=""/>
      <w:lvlJc w:val="left"/>
      <w:pPr>
        <w:ind w:left="0" w:firstLine="0"/>
      </w:pPr>
    </w:lvl>
    <w:lvl w:ilvl="8" w:tentative="0">
      <w:start w:val="1"/>
      <w:numFmt w:val="decimal"/>
      <w:suff w:val="nothing"/>
      <w:lvlText w:val=""/>
      <w:lvlJc w:val="left"/>
      <w:pPr>
        <w:ind w:left="0" w:firstLine="0"/>
      </w:pPr>
    </w:lvl>
  </w:abstractNum>
  <w:abstractNum w:abstractNumId="17">
    <w:nsid w:val="5F50C5C5"/>
    <w:multiLevelType w:val="singleLevel"/>
    <w:tmpl w:val="5F50C5C5"/>
    <w:lvl w:ilvl="0" w:tentative="0">
      <w:start w:val="1"/>
      <w:numFmt w:val="decimal"/>
      <w:pStyle w:val="192"/>
      <w:suff w:val="space"/>
      <w:lvlText w:val="表%1."/>
      <w:lvlJc w:val="left"/>
      <w:pPr>
        <w:tabs>
          <w:tab w:val="left" w:pos="0"/>
        </w:tabs>
        <w:ind w:left="425" w:hanging="425"/>
      </w:pPr>
      <w:rPr>
        <w:rFonts w:eastAsia="Heiti SC Medium"/>
        <w:sz w:val="24"/>
      </w:rPr>
    </w:lvl>
  </w:abstractNum>
  <w:abstractNum w:abstractNumId="18">
    <w:nsid w:val="5F50C8B3"/>
    <w:multiLevelType w:val="multilevel"/>
    <w:tmpl w:val="5F50C8B3"/>
    <w:lvl w:ilvl="0" w:tentative="0">
      <w:start w:val="2"/>
      <w:numFmt w:val="chineseCounting"/>
      <w:pStyle w:val="190"/>
      <w:lvlText w:val="第%1章"/>
      <w:lvlJc w:val="left"/>
      <w:pPr>
        <w:tabs>
          <w:tab w:val="left" w:pos="420"/>
        </w:tabs>
        <w:ind w:left="0" w:firstLine="402"/>
      </w:pPr>
      <w:rPr>
        <w:rFonts w:hint="eastAsia" w:ascii="宋体" w:hAnsi="宋体" w:eastAsia="宋体" w:cs="宋体"/>
      </w:rPr>
    </w:lvl>
    <w:lvl w:ilvl="1" w:tentative="0">
      <w:start w:val="1"/>
      <w:numFmt w:val="decimal"/>
      <w:lvlText w:val="2.%2"/>
      <w:lvlJc w:val="left"/>
      <w:pPr>
        <w:tabs>
          <w:tab w:val="left" w:pos="420"/>
        </w:tabs>
        <w:ind w:left="0" w:firstLine="402"/>
      </w:pPr>
      <w:rPr>
        <w:rFonts w:hint="eastAsia" w:ascii="宋体" w:hAnsi="宋体" w:eastAsia="宋体" w:cs="宋体"/>
      </w:rPr>
    </w:lvl>
    <w:lvl w:ilvl="2" w:tentative="0">
      <w:start w:val="0"/>
      <w:numFmt w:val="none"/>
      <w:lvlText w:val=""/>
      <w:lvlJc w:val="left"/>
      <w:pPr>
        <w:tabs>
          <w:tab w:val="left" w:pos="360"/>
        </w:tabs>
        <w:ind w:left="0" w:firstLine="0"/>
      </w:pPr>
    </w:lvl>
    <w:lvl w:ilvl="3" w:tentative="0">
      <w:start w:val="0"/>
      <w:numFmt w:val="none"/>
      <w:lvlText w:val=""/>
      <w:lvlJc w:val="left"/>
      <w:pPr>
        <w:tabs>
          <w:tab w:val="left" w:pos="360"/>
        </w:tabs>
        <w:ind w:left="0" w:firstLine="0"/>
      </w:pPr>
    </w:lvl>
    <w:lvl w:ilvl="4" w:tentative="0">
      <w:start w:val="0"/>
      <w:numFmt w:val="none"/>
      <w:lvlText w:val=""/>
      <w:lvlJc w:val="left"/>
      <w:pPr>
        <w:tabs>
          <w:tab w:val="left" w:pos="360"/>
        </w:tabs>
        <w:ind w:left="0" w:firstLine="0"/>
      </w:pPr>
    </w:lvl>
    <w:lvl w:ilvl="5" w:tentative="0">
      <w:start w:val="0"/>
      <w:numFmt w:val="none"/>
      <w:lvlText w:val=""/>
      <w:lvlJc w:val="left"/>
      <w:pPr>
        <w:tabs>
          <w:tab w:val="left" w:pos="360"/>
        </w:tabs>
        <w:ind w:left="0" w:firstLine="0"/>
      </w:pPr>
    </w:lvl>
    <w:lvl w:ilvl="6" w:tentative="0">
      <w:start w:val="0"/>
      <w:numFmt w:val="none"/>
      <w:lvlText w:val=""/>
      <w:lvlJc w:val="left"/>
      <w:pPr>
        <w:tabs>
          <w:tab w:val="left" w:pos="360"/>
        </w:tabs>
        <w:ind w:left="0" w:firstLine="0"/>
      </w:pPr>
    </w:lvl>
    <w:lvl w:ilvl="7" w:tentative="0">
      <w:start w:val="0"/>
      <w:numFmt w:val="none"/>
      <w:lvlText w:val=""/>
      <w:lvlJc w:val="left"/>
      <w:pPr>
        <w:tabs>
          <w:tab w:val="left" w:pos="360"/>
        </w:tabs>
        <w:ind w:left="0" w:firstLine="0"/>
      </w:pPr>
    </w:lvl>
    <w:lvl w:ilvl="8" w:tentative="0">
      <w:start w:val="1"/>
      <w:numFmt w:val="decimal"/>
      <w:lvlText w:val="%2.%3.%4.%5.%6.%7.%8.%9 "/>
      <w:lvlJc w:val="left"/>
      <w:pPr>
        <w:tabs>
          <w:tab w:val="left" w:pos="420"/>
        </w:tabs>
        <w:ind w:left="0" w:firstLine="402"/>
      </w:pPr>
      <w:rPr>
        <w:rFonts w:hint="eastAsia" w:ascii="宋体" w:hAnsi="宋体" w:eastAsia="宋体" w:cs="宋体"/>
      </w:rPr>
    </w:lvl>
  </w:abstractNum>
  <w:num w:numId="1">
    <w:abstractNumId w:val="3"/>
    <w:lvlOverride w:ilvl="0">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2"/>
    </w:lvlOverride>
    <w:lvlOverride w:ilvl="1">
      <w:startOverride w:val="1"/>
    </w:lvlOverride>
  </w:num>
  <w:num w:numId="4">
    <w:abstractNumId w:val="17"/>
    <w:lvlOverride w:ilvl="0">
      <w:startOverride w:val="1"/>
    </w:lvlOverride>
  </w:num>
  <w:num w:numId="5">
    <w:abstractNumId w:val="1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num>
  <w:num w:numId="19">
    <w:abstractNumId w:val="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5M2MzMTBmZmFkYzcxN2M2OWM2OTFjZGE3NTE4NmIifQ=="/>
  </w:docVars>
  <w:rsids>
    <w:rsidRoot w:val="00984FE9"/>
    <w:rsid w:val="000126C7"/>
    <w:rsid w:val="000449B3"/>
    <w:rsid w:val="00063172"/>
    <w:rsid w:val="000908B4"/>
    <w:rsid w:val="000C3453"/>
    <w:rsid w:val="000D3477"/>
    <w:rsid w:val="000E336A"/>
    <w:rsid w:val="000E406B"/>
    <w:rsid w:val="000F157F"/>
    <w:rsid w:val="0012305E"/>
    <w:rsid w:val="001356CB"/>
    <w:rsid w:val="00152650"/>
    <w:rsid w:val="0017520F"/>
    <w:rsid w:val="001A1F4E"/>
    <w:rsid w:val="001C307D"/>
    <w:rsid w:val="001E43E5"/>
    <w:rsid w:val="00217D4E"/>
    <w:rsid w:val="00225CAD"/>
    <w:rsid w:val="00246749"/>
    <w:rsid w:val="0026169F"/>
    <w:rsid w:val="002811A0"/>
    <w:rsid w:val="002E04A9"/>
    <w:rsid w:val="0030385F"/>
    <w:rsid w:val="00313E38"/>
    <w:rsid w:val="00336EB3"/>
    <w:rsid w:val="003D2083"/>
    <w:rsid w:val="003E1545"/>
    <w:rsid w:val="00442FF9"/>
    <w:rsid w:val="004A5D9A"/>
    <w:rsid w:val="004D33D8"/>
    <w:rsid w:val="00505F65"/>
    <w:rsid w:val="00532E92"/>
    <w:rsid w:val="00586371"/>
    <w:rsid w:val="005F441A"/>
    <w:rsid w:val="005F716C"/>
    <w:rsid w:val="006223A3"/>
    <w:rsid w:val="0067623E"/>
    <w:rsid w:val="006843F4"/>
    <w:rsid w:val="006A7387"/>
    <w:rsid w:val="006B4C12"/>
    <w:rsid w:val="006D05B2"/>
    <w:rsid w:val="0071063B"/>
    <w:rsid w:val="007366A2"/>
    <w:rsid w:val="00775342"/>
    <w:rsid w:val="007B394D"/>
    <w:rsid w:val="007E20D6"/>
    <w:rsid w:val="00823819"/>
    <w:rsid w:val="0084262B"/>
    <w:rsid w:val="0084661D"/>
    <w:rsid w:val="0089282F"/>
    <w:rsid w:val="00897844"/>
    <w:rsid w:val="008C57D3"/>
    <w:rsid w:val="00984FE9"/>
    <w:rsid w:val="00A603E7"/>
    <w:rsid w:val="00AA3333"/>
    <w:rsid w:val="00AF4EF0"/>
    <w:rsid w:val="00B14647"/>
    <w:rsid w:val="00B85723"/>
    <w:rsid w:val="00BF0535"/>
    <w:rsid w:val="00C670FB"/>
    <w:rsid w:val="00CA7F55"/>
    <w:rsid w:val="00CB1CC3"/>
    <w:rsid w:val="00CE271E"/>
    <w:rsid w:val="00CE7F65"/>
    <w:rsid w:val="00D72618"/>
    <w:rsid w:val="00D86C03"/>
    <w:rsid w:val="00E05314"/>
    <w:rsid w:val="00E445BE"/>
    <w:rsid w:val="00E46B2E"/>
    <w:rsid w:val="00E54AB0"/>
    <w:rsid w:val="00F213B1"/>
    <w:rsid w:val="00F53F74"/>
    <w:rsid w:val="00FB556C"/>
    <w:rsid w:val="00FC29EF"/>
    <w:rsid w:val="00FC3A12"/>
    <w:rsid w:val="00FD7090"/>
    <w:rsid w:val="06E635A4"/>
    <w:rsid w:val="081263BE"/>
    <w:rsid w:val="0F40581B"/>
    <w:rsid w:val="16104199"/>
    <w:rsid w:val="2A380AEA"/>
    <w:rsid w:val="3AEA13F6"/>
    <w:rsid w:val="440C62AF"/>
    <w:rsid w:val="5E180DE0"/>
    <w:rsid w:val="65A73073"/>
    <w:rsid w:val="768947FB"/>
    <w:rsid w:val="7D496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0" w:name="heading 3"/>
    <w:lsdException w:qFormat="1" w:uiPriority="9"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name="Hyperlink"/>
    <w:lsdException w:qFormat="1" w:uiPriority="99" w:name="FollowedHyperlink"/>
    <w:lsdException w:qFormat="1" w:unhideWhenUsed="0" w:uiPriority="99" w:semiHidden="0" w:name="Strong"/>
    <w:lsdException w:qFormat="1" w:unhideWhenUsed="0" w:uiPriority="99" w:semiHidden="0" w:name="Emphasis"/>
    <w:lsdException w:qFormat="1" w:uiPriority="99" w:name="Document Map"/>
    <w:lsdException w:qFormat="1"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4"/>
    <w:link w:val="62"/>
    <w:qFormat/>
    <w:uiPriority w:val="99"/>
    <w:pPr>
      <w:keepNext/>
      <w:adjustRightInd/>
      <w:snapToGrid/>
      <w:spacing w:after="0"/>
      <w:outlineLvl w:val="0"/>
    </w:pPr>
    <w:rPr>
      <w:rFonts w:ascii="Times New Roman" w:hAnsi="Times New Roman" w:eastAsia="宋体"/>
      <w:b/>
      <w:bCs/>
      <w:sz w:val="24"/>
      <w:szCs w:val="24"/>
    </w:rPr>
  </w:style>
  <w:style w:type="paragraph" w:styleId="4">
    <w:name w:val="heading 2"/>
    <w:basedOn w:val="1"/>
    <w:next w:val="1"/>
    <w:link w:val="63"/>
    <w:semiHidden/>
    <w:unhideWhenUsed/>
    <w:qFormat/>
    <w:uiPriority w:val="99"/>
    <w:pPr>
      <w:keepNext/>
      <w:keepLines/>
      <w:widowControl w:val="0"/>
      <w:adjustRightInd/>
      <w:snapToGrid/>
      <w:spacing w:before="260" w:after="260" w:line="412" w:lineRule="auto"/>
      <w:jc w:val="both"/>
      <w:outlineLvl w:val="1"/>
    </w:pPr>
    <w:rPr>
      <w:rFonts w:ascii="Arial" w:hAnsi="Arial" w:eastAsia="黑体"/>
      <w:b/>
      <w:bCs/>
      <w:sz w:val="32"/>
      <w:szCs w:val="32"/>
    </w:rPr>
  </w:style>
  <w:style w:type="paragraph" w:styleId="5">
    <w:name w:val="heading 3"/>
    <w:basedOn w:val="1"/>
    <w:next w:val="1"/>
    <w:link w:val="64"/>
    <w:semiHidden/>
    <w:unhideWhenUsed/>
    <w:qFormat/>
    <w:uiPriority w:val="0"/>
    <w:pPr>
      <w:keepNext/>
      <w:keepLines/>
      <w:widowControl w:val="0"/>
      <w:autoSpaceDE w:val="0"/>
      <w:autoSpaceDN w:val="0"/>
      <w:snapToGrid/>
      <w:spacing w:before="260" w:after="260" w:line="412" w:lineRule="auto"/>
      <w:outlineLvl w:val="2"/>
    </w:pPr>
    <w:rPr>
      <w:rFonts w:ascii="Times New Roman" w:hAnsi="Times New Roman" w:eastAsia="宋体"/>
      <w:b/>
      <w:bCs/>
      <w:sz w:val="32"/>
      <w:szCs w:val="32"/>
    </w:rPr>
  </w:style>
  <w:style w:type="paragraph" w:styleId="6">
    <w:name w:val="heading 4"/>
    <w:basedOn w:val="1"/>
    <w:next w:val="1"/>
    <w:link w:val="65"/>
    <w:semiHidden/>
    <w:unhideWhenUsed/>
    <w:qFormat/>
    <w:uiPriority w:val="9"/>
    <w:pPr>
      <w:keepNext/>
      <w:keepLines/>
      <w:adjustRightInd/>
      <w:snapToGrid/>
      <w:spacing w:before="280" w:after="290" w:line="372" w:lineRule="auto"/>
      <w:outlineLvl w:val="3"/>
    </w:pPr>
    <w:rPr>
      <w:rFonts w:ascii="Arial" w:hAnsi="Arial" w:eastAsia="黑体"/>
      <w:b/>
      <w:bCs/>
      <w:sz w:val="28"/>
      <w:szCs w:val="28"/>
    </w:rPr>
  </w:style>
  <w:style w:type="paragraph" w:styleId="7">
    <w:name w:val="heading 5"/>
    <w:basedOn w:val="1"/>
    <w:next w:val="1"/>
    <w:link w:val="66"/>
    <w:semiHidden/>
    <w:unhideWhenUsed/>
    <w:qFormat/>
    <w:uiPriority w:val="0"/>
    <w:pPr>
      <w:keepNext/>
      <w:keepLines/>
      <w:adjustRightInd/>
      <w:snapToGrid/>
      <w:spacing w:before="280" w:after="290" w:line="372" w:lineRule="auto"/>
      <w:outlineLvl w:val="4"/>
    </w:pPr>
    <w:rPr>
      <w:rFonts w:ascii="Times New Roman" w:hAnsi="Times New Roman" w:eastAsia="宋体"/>
      <w:b/>
      <w:bCs/>
      <w:sz w:val="28"/>
      <w:szCs w:val="28"/>
    </w:rPr>
  </w:style>
  <w:style w:type="paragraph" w:styleId="8">
    <w:name w:val="heading 6"/>
    <w:basedOn w:val="1"/>
    <w:next w:val="1"/>
    <w:link w:val="67"/>
    <w:semiHidden/>
    <w:unhideWhenUsed/>
    <w:qFormat/>
    <w:uiPriority w:val="0"/>
    <w:pPr>
      <w:keepNext/>
      <w:keepLines/>
      <w:adjustRightInd/>
      <w:snapToGrid/>
      <w:spacing w:before="240" w:after="64" w:line="316" w:lineRule="auto"/>
      <w:outlineLvl w:val="5"/>
    </w:pPr>
    <w:rPr>
      <w:rFonts w:ascii="Arial" w:hAnsi="Arial" w:eastAsia="黑体"/>
      <w:b/>
      <w:bCs/>
      <w:sz w:val="24"/>
      <w:szCs w:val="24"/>
    </w:rPr>
  </w:style>
  <w:style w:type="paragraph" w:styleId="9">
    <w:name w:val="heading 7"/>
    <w:basedOn w:val="1"/>
    <w:next w:val="1"/>
    <w:link w:val="68"/>
    <w:semiHidden/>
    <w:unhideWhenUsed/>
    <w:qFormat/>
    <w:uiPriority w:val="99"/>
    <w:pPr>
      <w:keepNext/>
      <w:keepLines/>
      <w:adjustRightInd/>
      <w:snapToGrid/>
      <w:spacing w:before="240" w:after="64" w:line="316" w:lineRule="auto"/>
      <w:outlineLvl w:val="6"/>
    </w:pPr>
    <w:rPr>
      <w:rFonts w:ascii="Times New Roman" w:hAnsi="Times New Roman" w:eastAsia="宋体"/>
      <w:b/>
      <w:bCs/>
      <w:sz w:val="24"/>
      <w:szCs w:val="24"/>
    </w:rPr>
  </w:style>
  <w:style w:type="paragraph" w:styleId="10">
    <w:name w:val="heading 8"/>
    <w:basedOn w:val="1"/>
    <w:next w:val="1"/>
    <w:link w:val="69"/>
    <w:semiHidden/>
    <w:unhideWhenUsed/>
    <w:qFormat/>
    <w:uiPriority w:val="99"/>
    <w:pPr>
      <w:keepNext/>
      <w:keepLines/>
      <w:adjustRightInd/>
      <w:snapToGrid/>
      <w:spacing w:before="240" w:after="64" w:line="316" w:lineRule="auto"/>
      <w:outlineLvl w:val="7"/>
    </w:pPr>
    <w:rPr>
      <w:rFonts w:ascii="Arial" w:hAnsi="Arial" w:eastAsia="黑体"/>
      <w:sz w:val="24"/>
      <w:szCs w:val="24"/>
    </w:rPr>
  </w:style>
  <w:style w:type="paragraph" w:styleId="11">
    <w:name w:val="heading 9"/>
    <w:basedOn w:val="1"/>
    <w:next w:val="1"/>
    <w:link w:val="70"/>
    <w:semiHidden/>
    <w:unhideWhenUsed/>
    <w:qFormat/>
    <w:uiPriority w:val="99"/>
    <w:pPr>
      <w:keepNext/>
      <w:keepLines/>
      <w:adjustRightInd/>
      <w:snapToGrid/>
      <w:spacing w:before="240" w:after="64" w:line="316" w:lineRule="auto"/>
      <w:outlineLvl w:val="8"/>
    </w:pPr>
    <w:rPr>
      <w:rFonts w:ascii="Arial" w:hAnsi="Arial" w:eastAsia="黑体"/>
      <w:sz w:val="20"/>
      <w:szCs w:val="21"/>
    </w:r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2">
    <w:name w:val="toc 2"/>
    <w:basedOn w:val="1"/>
    <w:next w:val="1"/>
    <w:semiHidden/>
    <w:unhideWhenUsed/>
    <w:qFormat/>
    <w:uiPriority w:val="99"/>
    <w:pPr>
      <w:ind w:left="420" w:leftChars="200"/>
    </w:pPr>
  </w:style>
  <w:style w:type="paragraph" w:styleId="12">
    <w:name w:val="toc 7"/>
    <w:basedOn w:val="1"/>
    <w:next w:val="1"/>
    <w:semiHidden/>
    <w:unhideWhenUsed/>
    <w:qFormat/>
    <w:uiPriority w:val="99"/>
    <w:pPr>
      <w:widowControl w:val="0"/>
      <w:adjustRightInd/>
      <w:snapToGrid/>
      <w:spacing w:after="0"/>
      <w:ind w:left="2520" w:leftChars="1200"/>
      <w:jc w:val="both"/>
    </w:pPr>
    <w:rPr>
      <w:rFonts w:ascii="Times New Roman" w:hAnsi="Times New Roman" w:eastAsia="宋体"/>
      <w:kern w:val="2"/>
      <w:sz w:val="21"/>
      <w:szCs w:val="24"/>
    </w:rPr>
  </w:style>
  <w:style w:type="paragraph" w:styleId="13">
    <w:name w:val="List Number"/>
    <w:basedOn w:val="1"/>
    <w:semiHidden/>
    <w:unhideWhenUsed/>
    <w:qFormat/>
    <w:uiPriority w:val="99"/>
    <w:pPr>
      <w:numPr>
        <w:ilvl w:val="0"/>
        <w:numId w:val="1"/>
      </w:numPr>
    </w:pPr>
  </w:style>
  <w:style w:type="paragraph" w:styleId="14">
    <w:name w:val="Normal Indent"/>
    <w:basedOn w:val="1"/>
    <w:link w:val="73"/>
    <w:semiHidden/>
    <w:unhideWhenUsed/>
    <w:qFormat/>
    <w:uiPriority w:val="0"/>
    <w:pPr>
      <w:widowControl w:val="0"/>
      <w:adjustRightInd/>
      <w:snapToGrid/>
      <w:spacing w:after="0"/>
      <w:ind w:firstLine="420"/>
      <w:jc w:val="both"/>
    </w:pPr>
    <w:rPr>
      <w:rFonts w:ascii="Calibri" w:hAnsi="Calibri" w:cs="Calibri" w:eastAsiaTheme="minorEastAsia"/>
      <w:kern w:val="2"/>
      <w:sz w:val="21"/>
    </w:rPr>
  </w:style>
  <w:style w:type="paragraph" w:styleId="15">
    <w:name w:val="caption"/>
    <w:basedOn w:val="1"/>
    <w:next w:val="1"/>
    <w:semiHidden/>
    <w:unhideWhenUsed/>
    <w:qFormat/>
    <w:uiPriority w:val="99"/>
    <w:pPr>
      <w:widowControl w:val="0"/>
      <w:autoSpaceDE w:val="0"/>
      <w:autoSpaceDN w:val="0"/>
      <w:snapToGrid/>
      <w:spacing w:after="0"/>
    </w:pPr>
    <w:rPr>
      <w:rFonts w:ascii="Cambria" w:hAnsi="Cambria" w:eastAsia="黑体"/>
      <w:sz w:val="20"/>
      <w:szCs w:val="20"/>
    </w:rPr>
  </w:style>
  <w:style w:type="paragraph" w:styleId="16">
    <w:name w:val="Document Map"/>
    <w:basedOn w:val="1"/>
    <w:link w:val="84"/>
    <w:semiHidden/>
    <w:unhideWhenUsed/>
    <w:qFormat/>
    <w:uiPriority w:val="99"/>
    <w:pPr>
      <w:widowControl w:val="0"/>
      <w:shd w:val="clear" w:color="auto" w:fill="000080"/>
      <w:autoSpaceDE w:val="0"/>
      <w:autoSpaceDN w:val="0"/>
      <w:snapToGrid/>
      <w:spacing w:after="0"/>
    </w:pPr>
    <w:rPr>
      <w:rFonts w:ascii="Times New Roman" w:hAnsi="Times New Roman" w:eastAsia="宋体"/>
      <w:kern w:val="2"/>
      <w:sz w:val="21"/>
    </w:rPr>
  </w:style>
  <w:style w:type="paragraph" w:styleId="17">
    <w:name w:val="annotation text"/>
    <w:basedOn w:val="1"/>
    <w:link w:val="74"/>
    <w:semiHidden/>
    <w:unhideWhenUsed/>
    <w:qFormat/>
    <w:uiPriority w:val="99"/>
  </w:style>
  <w:style w:type="paragraph" w:styleId="18">
    <w:name w:val="Body Text 3"/>
    <w:basedOn w:val="1"/>
    <w:link w:val="81"/>
    <w:semiHidden/>
    <w:unhideWhenUsed/>
    <w:qFormat/>
    <w:uiPriority w:val="99"/>
    <w:pPr>
      <w:widowControl w:val="0"/>
      <w:adjustRightInd/>
      <w:snapToGrid/>
      <w:spacing w:after="120"/>
      <w:jc w:val="both"/>
    </w:pPr>
    <w:rPr>
      <w:rFonts w:ascii="Times New Roman" w:hAnsi="Times New Roman" w:eastAsia="宋体"/>
      <w:kern w:val="2"/>
      <w:sz w:val="16"/>
      <w:szCs w:val="16"/>
    </w:rPr>
  </w:style>
  <w:style w:type="paragraph" w:styleId="19">
    <w:name w:val="Body Text"/>
    <w:basedOn w:val="1"/>
    <w:next w:val="20"/>
    <w:link w:val="77"/>
    <w:semiHidden/>
    <w:unhideWhenUsed/>
    <w:qFormat/>
    <w:uiPriority w:val="99"/>
    <w:pPr>
      <w:widowControl w:val="0"/>
      <w:adjustRightInd/>
      <w:snapToGrid/>
      <w:spacing w:after="120"/>
      <w:jc w:val="both"/>
    </w:pPr>
    <w:rPr>
      <w:rFonts w:ascii="Times New Roman" w:hAnsi="Times New Roman" w:eastAsia="宋体"/>
      <w:kern w:val="2"/>
      <w:sz w:val="21"/>
      <w:szCs w:val="24"/>
    </w:rPr>
  </w:style>
  <w:style w:type="paragraph" w:customStyle="1" w:styleId="2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1">
    <w:name w:val="Body Text Indent"/>
    <w:basedOn w:val="1"/>
    <w:link w:val="78"/>
    <w:semiHidden/>
    <w:unhideWhenUsed/>
    <w:qFormat/>
    <w:uiPriority w:val="99"/>
    <w:pPr>
      <w:widowControl w:val="0"/>
      <w:adjustRightInd/>
      <w:snapToGrid/>
      <w:spacing w:after="0" w:line="560" w:lineRule="exact"/>
      <w:ind w:left="300"/>
      <w:jc w:val="both"/>
    </w:pPr>
    <w:rPr>
      <w:rFonts w:ascii="Times New Roman" w:hAnsi="Times New Roman" w:eastAsia="宋体"/>
      <w:kern w:val="2"/>
      <w:sz w:val="24"/>
      <w:szCs w:val="24"/>
    </w:rPr>
  </w:style>
  <w:style w:type="paragraph" w:styleId="22">
    <w:name w:val="Block Text"/>
    <w:basedOn w:val="1"/>
    <w:semiHidden/>
    <w:unhideWhenUsed/>
    <w:qFormat/>
    <w:uiPriority w:val="99"/>
    <w:pPr>
      <w:widowControl w:val="0"/>
      <w:snapToGrid/>
      <w:spacing w:after="0" w:line="600" w:lineRule="exact"/>
      <w:ind w:left="600" w:leftChars="250" w:firstLine="480" w:firstLineChars="200"/>
    </w:pPr>
    <w:rPr>
      <w:rFonts w:ascii="Times New Roman" w:hAnsi="Times New Roman" w:eastAsia="宋体"/>
      <w:sz w:val="24"/>
      <w:szCs w:val="20"/>
    </w:rPr>
  </w:style>
  <w:style w:type="paragraph" w:styleId="23">
    <w:name w:val="toc 5"/>
    <w:basedOn w:val="1"/>
    <w:next w:val="1"/>
    <w:semiHidden/>
    <w:unhideWhenUsed/>
    <w:qFormat/>
    <w:uiPriority w:val="99"/>
    <w:pPr>
      <w:widowControl w:val="0"/>
      <w:adjustRightInd/>
      <w:snapToGrid/>
      <w:spacing w:after="0"/>
      <w:ind w:left="1680" w:leftChars="800"/>
      <w:jc w:val="both"/>
    </w:pPr>
    <w:rPr>
      <w:rFonts w:ascii="Times New Roman" w:hAnsi="Times New Roman" w:eastAsia="宋体"/>
      <w:kern w:val="2"/>
      <w:sz w:val="21"/>
      <w:szCs w:val="24"/>
    </w:rPr>
  </w:style>
  <w:style w:type="paragraph" w:styleId="24">
    <w:name w:val="toc 3"/>
    <w:basedOn w:val="1"/>
    <w:next w:val="1"/>
    <w:semiHidden/>
    <w:unhideWhenUsed/>
    <w:qFormat/>
    <w:uiPriority w:val="99"/>
    <w:pPr>
      <w:widowControl w:val="0"/>
      <w:adjustRightInd/>
      <w:snapToGrid/>
      <w:spacing w:after="0"/>
      <w:ind w:left="840" w:leftChars="400"/>
      <w:jc w:val="both"/>
    </w:pPr>
    <w:rPr>
      <w:rFonts w:ascii="Times New Roman" w:hAnsi="Times New Roman" w:eastAsia="宋体"/>
      <w:kern w:val="2"/>
      <w:sz w:val="21"/>
      <w:szCs w:val="24"/>
    </w:rPr>
  </w:style>
  <w:style w:type="paragraph" w:styleId="25">
    <w:name w:val="Plain Text"/>
    <w:basedOn w:val="1"/>
    <w:next w:val="1"/>
    <w:link w:val="85"/>
    <w:semiHidden/>
    <w:unhideWhenUsed/>
    <w:qFormat/>
    <w:uiPriority w:val="99"/>
    <w:pPr>
      <w:widowControl w:val="0"/>
      <w:adjustRightInd/>
      <w:snapToGrid/>
      <w:spacing w:after="0"/>
      <w:jc w:val="both"/>
    </w:pPr>
    <w:rPr>
      <w:rFonts w:ascii="宋体" w:hAnsi="Courier New" w:eastAsia="宋体"/>
      <w:kern w:val="2"/>
      <w:sz w:val="21"/>
      <w:szCs w:val="21"/>
    </w:rPr>
  </w:style>
  <w:style w:type="paragraph" w:styleId="26">
    <w:name w:val="toc 8"/>
    <w:basedOn w:val="1"/>
    <w:next w:val="1"/>
    <w:semiHidden/>
    <w:unhideWhenUsed/>
    <w:qFormat/>
    <w:uiPriority w:val="99"/>
    <w:pPr>
      <w:widowControl w:val="0"/>
      <w:adjustRightInd/>
      <w:snapToGrid/>
      <w:spacing w:after="0"/>
      <w:ind w:left="2940" w:leftChars="1400"/>
      <w:jc w:val="both"/>
    </w:pPr>
    <w:rPr>
      <w:rFonts w:ascii="Times New Roman" w:hAnsi="Times New Roman" w:eastAsia="宋体"/>
      <w:kern w:val="2"/>
      <w:sz w:val="21"/>
      <w:szCs w:val="24"/>
    </w:rPr>
  </w:style>
  <w:style w:type="paragraph" w:styleId="27">
    <w:name w:val="Date"/>
    <w:basedOn w:val="1"/>
    <w:next w:val="1"/>
    <w:link w:val="79"/>
    <w:semiHidden/>
    <w:unhideWhenUsed/>
    <w:qFormat/>
    <w:uiPriority w:val="99"/>
    <w:pPr>
      <w:adjustRightInd/>
      <w:snapToGrid/>
      <w:spacing w:after="0"/>
      <w:jc w:val="both"/>
    </w:pPr>
    <w:rPr>
      <w:rFonts w:ascii="宋体" w:hAnsi="Times New Roman" w:eastAsia="宋体"/>
      <w:kern w:val="2"/>
      <w:sz w:val="21"/>
    </w:rPr>
  </w:style>
  <w:style w:type="paragraph" w:styleId="28">
    <w:name w:val="Body Text Indent 2"/>
    <w:basedOn w:val="1"/>
    <w:link w:val="82"/>
    <w:semiHidden/>
    <w:unhideWhenUsed/>
    <w:qFormat/>
    <w:uiPriority w:val="99"/>
    <w:pPr>
      <w:widowControl w:val="0"/>
      <w:adjustRightInd/>
      <w:snapToGrid/>
      <w:spacing w:after="0" w:line="540" w:lineRule="exact"/>
      <w:ind w:left="462" w:leftChars="220"/>
      <w:jc w:val="both"/>
    </w:pPr>
    <w:rPr>
      <w:rFonts w:ascii="Times New Roman" w:hAnsi="Times New Roman" w:eastAsia="宋体"/>
      <w:kern w:val="2"/>
      <w:sz w:val="24"/>
      <w:szCs w:val="24"/>
    </w:rPr>
  </w:style>
  <w:style w:type="paragraph" w:styleId="29">
    <w:name w:val="endnote text"/>
    <w:basedOn w:val="1"/>
    <w:link w:val="75"/>
    <w:semiHidden/>
    <w:unhideWhenUsed/>
    <w:qFormat/>
    <w:uiPriority w:val="99"/>
    <w:pPr>
      <w:widowControl w:val="0"/>
      <w:spacing w:line="360" w:lineRule="auto"/>
    </w:pPr>
    <w:rPr>
      <w:rFonts w:ascii="宋体" w:hAnsi="宋体" w:eastAsia="宋体" w:cs="宋体"/>
      <w:kern w:val="2"/>
      <w:sz w:val="24"/>
      <w:szCs w:val="24"/>
    </w:rPr>
  </w:style>
  <w:style w:type="paragraph" w:styleId="30">
    <w:name w:val="Balloon Text"/>
    <w:basedOn w:val="1"/>
    <w:link w:val="87"/>
    <w:semiHidden/>
    <w:unhideWhenUsed/>
    <w:qFormat/>
    <w:uiPriority w:val="99"/>
    <w:pPr>
      <w:widowControl w:val="0"/>
      <w:autoSpaceDE w:val="0"/>
      <w:autoSpaceDN w:val="0"/>
      <w:snapToGrid/>
      <w:spacing w:after="0"/>
    </w:pPr>
    <w:rPr>
      <w:rFonts w:ascii="Times New Roman" w:hAnsi="Times New Roman" w:eastAsia="宋体"/>
      <w:kern w:val="2"/>
      <w:sz w:val="18"/>
      <w:szCs w:val="18"/>
    </w:rPr>
  </w:style>
  <w:style w:type="paragraph" w:styleId="31">
    <w:name w:val="footer"/>
    <w:basedOn w:val="1"/>
    <w:link w:val="61"/>
    <w:unhideWhenUsed/>
    <w:qFormat/>
    <w:uiPriority w:val="99"/>
    <w:pPr>
      <w:tabs>
        <w:tab w:val="center" w:pos="4153"/>
        <w:tab w:val="right" w:pos="8306"/>
      </w:tabs>
    </w:pPr>
    <w:rPr>
      <w:sz w:val="18"/>
      <w:szCs w:val="18"/>
    </w:rPr>
  </w:style>
  <w:style w:type="paragraph" w:styleId="32">
    <w:name w:val="header"/>
    <w:basedOn w:val="1"/>
    <w:link w:val="60"/>
    <w:unhideWhenUsed/>
    <w:qFormat/>
    <w:uiPriority w:val="99"/>
    <w:pPr>
      <w:pBdr>
        <w:bottom w:val="single" w:color="auto" w:sz="6" w:space="1"/>
      </w:pBdr>
      <w:tabs>
        <w:tab w:val="center" w:pos="4153"/>
        <w:tab w:val="right" w:pos="8306"/>
      </w:tabs>
      <w:jc w:val="center"/>
    </w:pPr>
    <w:rPr>
      <w:sz w:val="18"/>
      <w:szCs w:val="18"/>
    </w:rPr>
  </w:style>
  <w:style w:type="paragraph" w:styleId="33">
    <w:name w:val="toc 1"/>
    <w:basedOn w:val="1"/>
    <w:next w:val="1"/>
    <w:semiHidden/>
    <w:unhideWhenUsed/>
    <w:qFormat/>
    <w:uiPriority w:val="99"/>
    <w:pPr>
      <w:widowControl w:val="0"/>
      <w:tabs>
        <w:tab w:val="right" w:leader="dot" w:pos="9060"/>
      </w:tabs>
      <w:adjustRightInd/>
      <w:snapToGrid/>
      <w:spacing w:after="0" w:line="360" w:lineRule="auto"/>
      <w:ind w:left="426" w:leftChars="213"/>
      <w:jc w:val="both"/>
    </w:pPr>
    <w:rPr>
      <w:rFonts w:ascii="Times New Roman" w:hAnsi="Times New Roman" w:eastAsia="宋体"/>
      <w:kern w:val="2"/>
      <w:sz w:val="21"/>
      <w:szCs w:val="20"/>
    </w:rPr>
  </w:style>
  <w:style w:type="paragraph" w:styleId="34">
    <w:name w:val="toc 4"/>
    <w:basedOn w:val="1"/>
    <w:next w:val="1"/>
    <w:semiHidden/>
    <w:unhideWhenUsed/>
    <w:qFormat/>
    <w:uiPriority w:val="99"/>
    <w:pPr>
      <w:widowControl w:val="0"/>
      <w:adjustRightInd/>
      <w:snapToGrid/>
      <w:spacing w:after="0"/>
      <w:ind w:left="1260" w:leftChars="600"/>
      <w:jc w:val="both"/>
    </w:pPr>
    <w:rPr>
      <w:rFonts w:ascii="Times New Roman" w:hAnsi="Times New Roman" w:eastAsia="宋体"/>
      <w:kern w:val="2"/>
      <w:sz w:val="21"/>
      <w:szCs w:val="24"/>
    </w:rPr>
  </w:style>
  <w:style w:type="paragraph" w:styleId="35">
    <w:name w:val="List"/>
    <w:basedOn w:val="1"/>
    <w:semiHidden/>
    <w:unhideWhenUsed/>
    <w:qFormat/>
    <w:uiPriority w:val="99"/>
    <w:pPr>
      <w:ind w:left="200" w:hanging="200" w:hangingChars="200"/>
      <w:contextualSpacing/>
    </w:pPr>
  </w:style>
  <w:style w:type="paragraph" w:styleId="36">
    <w:name w:val="toc 6"/>
    <w:basedOn w:val="1"/>
    <w:next w:val="1"/>
    <w:semiHidden/>
    <w:unhideWhenUsed/>
    <w:qFormat/>
    <w:uiPriority w:val="99"/>
    <w:pPr>
      <w:widowControl w:val="0"/>
      <w:adjustRightInd/>
      <w:snapToGrid/>
      <w:spacing w:after="0"/>
      <w:ind w:left="2100" w:leftChars="1000"/>
      <w:jc w:val="both"/>
    </w:pPr>
    <w:rPr>
      <w:rFonts w:ascii="Times New Roman" w:hAnsi="Times New Roman" w:eastAsia="宋体"/>
      <w:kern w:val="2"/>
      <w:sz w:val="21"/>
      <w:szCs w:val="24"/>
    </w:rPr>
  </w:style>
  <w:style w:type="paragraph" w:styleId="37">
    <w:name w:val="Body Text Indent 3"/>
    <w:basedOn w:val="1"/>
    <w:link w:val="83"/>
    <w:semiHidden/>
    <w:unhideWhenUsed/>
    <w:qFormat/>
    <w:uiPriority w:val="99"/>
    <w:pPr>
      <w:widowControl w:val="0"/>
      <w:adjustRightInd/>
      <w:snapToGrid/>
      <w:spacing w:after="120"/>
      <w:ind w:left="420" w:leftChars="200"/>
      <w:jc w:val="both"/>
    </w:pPr>
    <w:rPr>
      <w:rFonts w:ascii="Times New Roman" w:hAnsi="Times New Roman" w:eastAsia="宋体"/>
      <w:kern w:val="2"/>
      <w:sz w:val="16"/>
      <w:szCs w:val="16"/>
    </w:rPr>
  </w:style>
  <w:style w:type="paragraph" w:styleId="38">
    <w:name w:val="toc 9"/>
    <w:basedOn w:val="1"/>
    <w:next w:val="1"/>
    <w:semiHidden/>
    <w:unhideWhenUsed/>
    <w:qFormat/>
    <w:uiPriority w:val="99"/>
    <w:pPr>
      <w:widowControl w:val="0"/>
      <w:adjustRightInd/>
      <w:snapToGrid/>
      <w:spacing w:after="0"/>
      <w:ind w:left="3360" w:leftChars="1600"/>
      <w:jc w:val="both"/>
    </w:pPr>
    <w:rPr>
      <w:rFonts w:ascii="Times New Roman" w:hAnsi="Times New Roman" w:eastAsia="宋体"/>
      <w:kern w:val="2"/>
      <w:sz w:val="21"/>
      <w:szCs w:val="24"/>
    </w:rPr>
  </w:style>
  <w:style w:type="paragraph" w:styleId="39">
    <w:name w:val="HTML Preformatted"/>
    <w:basedOn w:val="1"/>
    <w:link w:val="7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hAnsi="Courier New" w:eastAsia="黑体"/>
      <w:kern w:val="2"/>
      <w:sz w:val="21"/>
    </w:rPr>
  </w:style>
  <w:style w:type="paragraph" w:styleId="40">
    <w:name w:val="Normal (Web)"/>
    <w:basedOn w:val="1"/>
    <w:semiHidden/>
    <w:unhideWhenUsed/>
    <w:qFormat/>
    <w:uiPriority w:val="99"/>
    <w:pPr>
      <w:adjustRightInd/>
      <w:snapToGrid/>
      <w:spacing w:before="100" w:beforeAutospacing="1" w:after="100" w:afterAutospacing="1"/>
    </w:pPr>
    <w:rPr>
      <w:rFonts w:ascii="宋体" w:hAnsi="宋体" w:eastAsia="宋体"/>
      <w:sz w:val="24"/>
      <w:szCs w:val="24"/>
    </w:rPr>
  </w:style>
  <w:style w:type="paragraph" w:styleId="41">
    <w:name w:val="index 1"/>
    <w:basedOn w:val="1"/>
    <w:next w:val="1"/>
    <w:semiHidden/>
    <w:unhideWhenUsed/>
    <w:qFormat/>
    <w:uiPriority w:val="99"/>
    <w:pPr>
      <w:adjustRightInd/>
      <w:snapToGrid/>
      <w:spacing w:after="0"/>
    </w:pPr>
    <w:rPr>
      <w:rFonts w:ascii="Times New Roman" w:hAnsi="Times New Roman" w:eastAsia="宋体"/>
      <w:sz w:val="21"/>
      <w:szCs w:val="20"/>
    </w:rPr>
  </w:style>
  <w:style w:type="paragraph" w:styleId="42">
    <w:name w:val="Title"/>
    <w:basedOn w:val="1"/>
    <w:next w:val="1"/>
    <w:link w:val="76"/>
    <w:qFormat/>
    <w:uiPriority w:val="99"/>
    <w:pPr>
      <w:spacing w:before="240" w:after="60"/>
      <w:jc w:val="center"/>
      <w:outlineLvl w:val="0"/>
    </w:pPr>
    <w:rPr>
      <w:rFonts w:ascii="Arial" w:hAnsi="Arial" w:cs="Arial"/>
      <w:b/>
      <w:bCs/>
      <w:sz w:val="32"/>
      <w:szCs w:val="32"/>
    </w:rPr>
  </w:style>
  <w:style w:type="paragraph" w:styleId="43">
    <w:name w:val="annotation subject"/>
    <w:basedOn w:val="17"/>
    <w:next w:val="17"/>
    <w:link w:val="86"/>
    <w:semiHidden/>
    <w:unhideWhenUsed/>
    <w:qFormat/>
    <w:uiPriority w:val="99"/>
    <w:pPr>
      <w:widowControl w:val="0"/>
      <w:autoSpaceDE w:val="0"/>
      <w:autoSpaceDN w:val="0"/>
      <w:snapToGrid/>
      <w:spacing w:after="0"/>
    </w:pPr>
    <w:rPr>
      <w:rFonts w:ascii="Times New Roman" w:hAnsi="Times New Roman" w:eastAsia="宋体"/>
      <w:b/>
      <w:bCs/>
      <w:kern w:val="2"/>
      <w:sz w:val="21"/>
    </w:rPr>
  </w:style>
  <w:style w:type="paragraph" w:styleId="44">
    <w:name w:val="Body Text First Indent 2"/>
    <w:basedOn w:val="21"/>
    <w:link w:val="80"/>
    <w:semiHidden/>
    <w:unhideWhenUsed/>
    <w:qFormat/>
    <w:uiPriority w:val="99"/>
    <w:pPr>
      <w:adjustRightInd w:val="0"/>
      <w:snapToGrid w:val="0"/>
      <w:ind w:left="200" w:leftChars="200" w:firstLine="200" w:firstLineChars="200"/>
      <w:jc w:val="left"/>
    </w:pPr>
    <w:rPr>
      <w:szCs w:val="20"/>
    </w:rPr>
  </w:style>
  <w:style w:type="table" w:styleId="46">
    <w:name w:val="Table Grid"/>
    <w:basedOn w:val="45"/>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99"/>
    <w:rPr>
      <w:b/>
    </w:rPr>
  </w:style>
  <w:style w:type="character" w:styleId="49">
    <w:name w:val="FollowedHyperlink"/>
    <w:semiHidden/>
    <w:unhideWhenUsed/>
    <w:qFormat/>
    <w:uiPriority w:val="99"/>
    <w:rPr>
      <w:color w:val="800080"/>
      <w:u w:val="single"/>
    </w:rPr>
  </w:style>
  <w:style w:type="character" w:styleId="50">
    <w:name w:val="Emphasis"/>
    <w:qFormat/>
    <w:uiPriority w:val="99"/>
    <w:rPr>
      <w:rFonts w:hint="default" w:ascii="Times New Roman" w:hAnsi="Times New Roman" w:cs="Times New Roman"/>
    </w:rPr>
  </w:style>
  <w:style w:type="character" w:styleId="51">
    <w:name w:val="HTML Definition"/>
    <w:semiHidden/>
    <w:unhideWhenUsed/>
    <w:qFormat/>
    <w:uiPriority w:val="99"/>
  </w:style>
  <w:style w:type="character" w:styleId="52">
    <w:name w:val="HTML Acronym"/>
    <w:semiHidden/>
    <w:unhideWhenUsed/>
    <w:qFormat/>
    <w:uiPriority w:val="99"/>
    <w:rPr>
      <w:rFonts w:hint="default" w:ascii="Times New Roman" w:hAnsi="Times New Roman" w:cs="Times New Roman"/>
    </w:rPr>
  </w:style>
  <w:style w:type="character" w:styleId="53">
    <w:name w:val="HTML Variable"/>
    <w:semiHidden/>
    <w:unhideWhenUsed/>
    <w:qFormat/>
    <w:uiPriority w:val="99"/>
  </w:style>
  <w:style w:type="character" w:styleId="54">
    <w:name w:val="Hyperlink"/>
    <w:semiHidden/>
    <w:unhideWhenUsed/>
    <w:qFormat/>
    <w:uiPriority w:val="99"/>
    <w:rPr>
      <w:color w:val="0000FF"/>
      <w:u w:val="single"/>
    </w:rPr>
  </w:style>
  <w:style w:type="character" w:styleId="55">
    <w:name w:val="HTML Code"/>
    <w:semiHidden/>
    <w:unhideWhenUsed/>
    <w:qFormat/>
    <w:uiPriority w:val="99"/>
    <w:rPr>
      <w:rFonts w:hint="default" w:ascii="Courier New" w:hAnsi="Courier New" w:eastAsia="Times New Roman" w:cs="Times New Roman"/>
      <w:sz w:val="24"/>
      <w:szCs w:val="24"/>
    </w:rPr>
  </w:style>
  <w:style w:type="character" w:styleId="56">
    <w:name w:val="annotation reference"/>
    <w:semiHidden/>
    <w:unhideWhenUsed/>
    <w:qFormat/>
    <w:uiPriority w:val="99"/>
    <w:rPr>
      <w:sz w:val="21"/>
      <w:szCs w:val="21"/>
    </w:rPr>
  </w:style>
  <w:style w:type="character" w:styleId="57">
    <w:name w:val="HTML Cite"/>
    <w:semiHidden/>
    <w:unhideWhenUsed/>
    <w:qFormat/>
    <w:uiPriority w:val="99"/>
  </w:style>
  <w:style w:type="character" w:styleId="58">
    <w:name w:val="HTML Keyboard"/>
    <w:semiHidden/>
    <w:unhideWhenUsed/>
    <w:qFormat/>
    <w:uiPriority w:val="99"/>
    <w:rPr>
      <w:rFonts w:hint="default" w:ascii="Courier New" w:hAnsi="Courier New" w:eastAsia="Times New Roman" w:cs="Times New Roman"/>
      <w:sz w:val="24"/>
      <w:szCs w:val="24"/>
    </w:rPr>
  </w:style>
  <w:style w:type="character" w:styleId="59">
    <w:name w:val="HTML Sample"/>
    <w:semiHidden/>
    <w:unhideWhenUsed/>
    <w:qFormat/>
    <w:uiPriority w:val="99"/>
    <w:rPr>
      <w:rFonts w:hint="default" w:ascii="Courier New" w:hAnsi="Courier New" w:eastAsia="Times New Roman" w:cs="Times New Roman"/>
      <w:sz w:val="24"/>
    </w:rPr>
  </w:style>
  <w:style w:type="character" w:customStyle="1" w:styleId="60">
    <w:name w:val="页眉 字符"/>
    <w:basedOn w:val="47"/>
    <w:link w:val="32"/>
    <w:qFormat/>
    <w:uiPriority w:val="99"/>
    <w:rPr>
      <w:sz w:val="18"/>
      <w:szCs w:val="18"/>
    </w:rPr>
  </w:style>
  <w:style w:type="character" w:customStyle="1" w:styleId="61">
    <w:name w:val="页脚 字符"/>
    <w:basedOn w:val="47"/>
    <w:link w:val="31"/>
    <w:qFormat/>
    <w:uiPriority w:val="99"/>
    <w:rPr>
      <w:sz w:val="18"/>
      <w:szCs w:val="18"/>
    </w:rPr>
  </w:style>
  <w:style w:type="character" w:customStyle="1" w:styleId="62">
    <w:name w:val="标题 1 字符"/>
    <w:basedOn w:val="47"/>
    <w:link w:val="3"/>
    <w:qFormat/>
    <w:uiPriority w:val="99"/>
    <w:rPr>
      <w:rFonts w:ascii="Times New Roman" w:hAnsi="Times New Roman" w:eastAsia="宋体" w:cs="Times New Roman"/>
      <w:b/>
      <w:bCs/>
      <w:kern w:val="0"/>
      <w:sz w:val="24"/>
      <w:szCs w:val="24"/>
    </w:rPr>
  </w:style>
  <w:style w:type="character" w:customStyle="1" w:styleId="63">
    <w:name w:val="标题 2 字符"/>
    <w:basedOn w:val="47"/>
    <w:link w:val="4"/>
    <w:semiHidden/>
    <w:qFormat/>
    <w:uiPriority w:val="99"/>
    <w:rPr>
      <w:rFonts w:ascii="Arial" w:hAnsi="Arial" w:eastAsia="黑体" w:cs="Times New Roman"/>
      <w:b/>
      <w:bCs/>
      <w:kern w:val="0"/>
      <w:sz w:val="32"/>
      <w:szCs w:val="32"/>
    </w:rPr>
  </w:style>
  <w:style w:type="character" w:customStyle="1" w:styleId="64">
    <w:name w:val="标题 3 字符"/>
    <w:basedOn w:val="47"/>
    <w:link w:val="5"/>
    <w:semiHidden/>
    <w:qFormat/>
    <w:uiPriority w:val="0"/>
    <w:rPr>
      <w:rFonts w:ascii="Times New Roman" w:hAnsi="Times New Roman" w:eastAsia="宋体" w:cs="Times New Roman"/>
      <w:b/>
      <w:bCs/>
      <w:kern w:val="0"/>
      <w:sz w:val="32"/>
      <w:szCs w:val="32"/>
    </w:rPr>
  </w:style>
  <w:style w:type="character" w:customStyle="1" w:styleId="65">
    <w:name w:val="标题 4 字符"/>
    <w:basedOn w:val="47"/>
    <w:link w:val="6"/>
    <w:semiHidden/>
    <w:qFormat/>
    <w:uiPriority w:val="9"/>
    <w:rPr>
      <w:rFonts w:ascii="Arial" w:hAnsi="Arial" w:eastAsia="黑体" w:cs="Times New Roman"/>
      <w:b/>
      <w:bCs/>
      <w:kern w:val="0"/>
      <w:sz w:val="28"/>
      <w:szCs w:val="28"/>
    </w:rPr>
  </w:style>
  <w:style w:type="character" w:customStyle="1" w:styleId="66">
    <w:name w:val="标题 5 字符"/>
    <w:basedOn w:val="47"/>
    <w:link w:val="7"/>
    <w:semiHidden/>
    <w:qFormat/>
    <w:uiPriority w:val="0"/>
    <w:rPr>
      <w:rFonts w:ascii="Times New Roman" w:hAnsi="Times New Roman" w:eastAsia="宋体" w:cs="Times New Roman"/>
      <w:b/>
      <w:bCs/>
      <w:kern w:val="0"/>
      <w:sz w:val="28"/>
      <w:szCs w:val="28"/>
    </w:rPr>
  </w:style>
  <w:style w:type="character" w:customStyle="1" w:styleId="67">
    <w:name w:val="标题 6 字符"/>
    <w:basedOn w:val="47"/>
    <w:link w:val="8"/>
    <w:semiHidden/>
    <w:qFormat/>
    <w:uiPriority w:val="0"/>
    <w:rPr>
      <w:rFonts w:ascii="Arial" w:hAnsi="Arial" w:eastAsia="黑体" w:cs="Times New Roman"/>
      <w:b/>
      <w:bCs/>
      <w:kern w:val="0"/>
      <w:sz w:val="24"/>
      <w:szCs w:val="24"/>
    </w:rPr>
  </w:style>
  <w:style w:type="character" w:customStyle="1" w:styleId="68">
    <w:name w:val="标题 7 字符"/>
    <w:basedOn w:val="47"/>
    <w:link w:val="9"/>
    <w:semiHidden/>
    <w:qFormat/>
    <w:uiPriority w:val="99"/>
    <w:rPr>
      <w:rFonts w:ascii="Times New Roman" w:hAnsi="Times New Roman" w:eastAsia="宋体" w:cs="Times New Roman"/>
      <w:b/>
      <w:bCs/>
      <w:kern w:val="0"/>
      <w:sz w:val="24"/>
      <w:szCs w:val="24"/>
    </w:rPr>
  </w:style>
  <w:style w:type="character" w:customStyle="1" w:styleId="69">
    <w:name w:val="标题 8 字符"/>
    <w:basedOn w:val="47"/>
    <w:link w:val="10"/>
    <w:semiHidden/>
    <w:qFormat/>
    <w:uiPriority w:val="99"/>
    <w:rPr>
      <w:rFonts w:ascii="Arial" w:hAnsi="Arial" w:eastAsia="黑体" w:cs="Times New Roman"/>
      <w:kern w:val="0"/>
      <w:sz w:val="24"/>
      <w:szCs w:val="24"/>
    </w:rPr>
  </w:style>
  <w:style w:type="character" w:customStyle="1" w:styleId="70">
    <w:name w:val="标题 9 字符"/>
    <w:basedOn w:val="47"/>
    <w:link w:val="11"/>
    <w:semiHidden/>
    <w:qFormat/>
    <w:uiPriority w:val="99"/>
    <w:rPr>
      <w:rFonts w:ascii="Arial" w:hAnsi="Arial" w:eastAsia="黑体" w:cs="Times New Roman"/>
      <w:kern w:val="0"/>
      <w:sz w:val="20"/>
      <w:szCs w:val="21"/>
    </w:rPr>
  </w:style>
  <w:style w:type="character" w:customStyle="1" w:styleId="71">
    <w:name w:val="HTML 预设格式 字符"/>
    <w:basedOn w:val="47"/>
    <w:link w:val="39"/>
    <w:semiHidden/>
    <w:qFormat/>
    <w:uiPriority w:val="99"/>
    <w:rPr>
      <w:rFonts w:ascii="黑体" w:hAnsi="Courier New" w:eastAsia="黑体" w:cs="Times New Roman"/>
    </w:rPr>
  </w:style>
  <w:style w:type="paragraph" w:customStyle="1" w:styleId="72">
    <w:name w:val="msonormal"/>
    <w:basedOn w:val="1"/>
    <w:qFormat/>
    <w:uiPriority w:val="99"/>
    <w:pPr>
      <w:adjustRightInd/>
      <w:snapToGrid/>
      <w:spacing w:before="100" w:beforeAutospacing="1" w:after="100" w:afterAutospacing="1"/>
    </w:pPr>
    <w:rPr>
      <w:rFonts w:ascii="宋体" w:hAnsi="宋体" w:eastAsia="宋体"/>
      <w:sz w:val="24"/>
      <w:szCs w:val="24"/>
    </w:rPr>
  </w:style>
  <w:style w:type="character" w:customStyle="1" w:styleId="73">
    <w:name w:val="正文缩进 字符"/>
    <w:link w:val="14"/>
    <w:semiHidden/>
    <w:qFormat/>
    <w:locked/>
    <w:uiPriority w:val="0"/>
    <w:rPr>
      <w:rFonts w:ascii="Calibri" w:hAnsi="Calibri" w:cs="Calibri"/>
    </w:rPr>
  </w:style>
  <w:style w:type="character" w:customStyle="1" w:styleId="74">
    <w:name w:val="批注文字 字符"/>
    <w:basedOn w:val="47"/>
    <w:link w:val="17"/>
    <w:semiHidden/>
    <w:qFormat/>
    <w:uiPriority w:val="99"/>
    <w:rPr>
      <w:rFonts w:ascii="Tahoma" w:hAnsi="Tahoma" w:eastAsia="微软雅黑" w:cs="Times New Roman"/>
      <w:kern w:val="0"/>
      <w:sz w:val="22"/>
    </w:rPr>
  </w:style>
  <w:style w:type="character" w:customStyle="1" w:styleId="75">
    <w:name w:val="尾注文本 字符"/>
    <w:basedOn w:val="47"/>
    <w:link w:val="29"/>
    <w:semiHidden/>
    <w:qFormat/>
    <w:uiPriority w:val="99"/>
    <w:rPr>
      <w:rFonts w:ascii="宋体" w:hAnsi="宋体" w:eastAsia="宋体" w:cs="宋体"/>
      <w:sz w:val="24"/>
      <w:szCs w:val="24"/>
    </w:rPr>
  </w:style>
  <w:style w:type="character" w:customStyle="1" w:styleId="76">
    <w:name w:val="标题 字符"/>
    <w:basedOn w:val="47"/>
    <w:link w:val="42"/>
    <w:uiPriority w:val="99"/>
    <w:rPr>
      <w:rFonts w:ascii="Arial" w:hAnsi="Arial" w:eastAsia="微软雅黑" w:cs="Arial"/>
      <w:b/>
      <w:bCs/>
      <w:kern w:val="0"/>
      <w:sz w:val="32"/>
      <w:szCs w:val="32"/>
    </w:rPr>
  </w:style>
  <w:style w:type="character" w:customStyle="1" w:styleId="77">
    <w:name w:val="正文文本 字符"/>
    <w:basedOn w:val="47"/>
    <w:link w:val="19"/>
    <w:semiHidden/>
    <w:qFormat/>
    <w:uiPriority w:val="99"/>
    <w:rPr>
      <w:rFonts w:ascii="Times New Roman" w:hAnsi="Times New Roman" w:eastAsia="宋体" w:cs="Times New Roman"/>
      <w:szCs w:val="24"/>
    </w:rPr>
  </w:style>
  <w:style w:type="character" w:customStyle="1" w:styleId="78">
    <w:name w:val="正文文本缩进 字符"/>
    <w:basedOn w:val="47"/>
    <w:link w:val="21"/>
    <w:semiHidden/>
    <w:qFormat/>
    <w:uiPriority w:val="99"/>
    <w:rPr>
      <w:rFonts w:ascii="Times New Roman" w:hAnsi="Times New Roman" w:eastAsia="宋体" w:cs="Times New Roman"/>
      <w:sz w:val="24"/>
      <w:szCs w:val="24"/>
    </w:rPr>
  </w:style>
  <w:style w:type="character" w:customStyle="1" w:styleId="79">
    <w:name w:val="日期 字符"/>
    <w:basedOn w:val="47"/>
    <w:link w:val="27"/>
    <w:semiHidden/>
    <w:qFormat/>
    <w:uiPriority w:val="99"/>
    <w:rPr>
      <w:rFonts w:ascii="宋体" w:hAnsi="Times New Roman" w:eastAsia="宋体" w:cs="Times New Roman"/>
    </w:rPr>
  </w:style>
  <w:style w:type="character" w:customStyle="1" w:styleId="80">
    <w:name w:val="正文文本首行缩进 2 字符"/>
    <w:basedOn w:val="78"/>
    <w:link w:val="44"/>
    <w:semiHidden/>
    <w:qFormat/>
    <w:uiPriority w:val="99"/>
    <w:rPr>
      <w:rFonts w:ascii="Times New Roman" w:hAnsi="Times New Roman" w:eastAsia="宋体" w:cs="Times New Roman"/>
      <w:sz w:val="24"/>
      <w:szCs w:val="20"/>
    </w:rPr>
  </w:style>
  <w:style w:type="character" w:customStyle="1" w:styleId="81">
    <w:name w:val="正文文本 3 字符"/>
    <w:basedOn w:val="47"/>
    <w:link w:val="18"/>
    <w:semiHidden/>
    <w:qFormat/>
    <w:uiPriority w:val="99"/>
    <w:rPr>
      <w:rFonts w:ascii="Times New Roman" w:hAnsi="Times New Roman" w:eastAsia="宋体" w:cs="Times New Roman"/>
      <w:sz w:val="16"/>
      <w:szCs w:val="16"/>
    </w:rPr>
  </w:style>
  <w:style w:type="character" w:customStyle="1" w:styleId="82">
    <w:name w:val="正文文本缩进 2 字符"/>
    <w:basedOn w:val="47"/>
    <w:link w:val="28"/>
    <w:semiHidden/>
    <w:qFormat/>
    <w:uiPriority w:val="99"/>
    <w:rPr>
      <w:rFonts w:ascii="Times New Roman" w:hAnsi="Times New Roman" w:eastAsia="宋体" w:cs="Times New Roman"/>
      <w:sz w:val="24"/>
      <w:szCs w:val="24"/>
    </w:rPr>
  </w:style>
  <w:style w:type="character" w:customStyle="1" w:styleId="83">
    <w:name w:val="正文文本缩进 3 字符"/>
    <w:basedOn w:val="47"/>
    <w:link w:val="37"/>
    <w:semiHidden/>
    <w:qFormat/>
    <w:uiPriority w:val="99"/>
    <w:rPr>
      <w:rFonts w:ascii="Times New Roman" w:hAnsi="Times New Roman" w:eastAsia="宋体" w:cs="Times New Roman"/>
      <w:sz w:val="16"/>
      <w:szCs w:val="16"/>
    </w:rPr>
  </w:style>
  <w:style w:type="character" w:customStyle="1" w:styleId="84">
    <w:name w:val="文档结构图 字符"/>
    <w:basedOn w:val="47"/>
    <w:link w:val="16"/>
    <w:semiHidden/>
    <w:qFormat/>
    <w:uiPriority w:val="99"/>
    <w:rPr>
      <w:rFonts w:ascii="Times New Roman" w:hAnsi="Times New Roman" w:eastAsia="宋体" w:cs="Times New Roman"/>
      <w:shd w:val="clear" w:color="auto" w:fill="000080"/>
    </w:rPr>
  </w:style>
  <w:style w:type="character" w:customStyle="1" w:styleId="85">
    <w:name w:val="纯文本 字符"/>
    <w:basedOn w:val="47"/>
    <w:link w:val="25"/>
    <w:semiHidden/>
    <w:qFormat/>
    <w:uiPriority w:val="99"/>
    <w:rPr>
      <w:rFonts w:ascii="宋体" w:hAnsi="Courier New" w:eastAsia="宋体" w:cs="Times New Roman"/>
      <w:szCs w:val="21"/>
    </w:rPr>
  </w:style>
  <w:style w:type="character" w:customStyle="1" w:styleId="86">
    <w:name w:val="批注主题 字符"/>
    <w:basedOn w:val="74"/>
    <w:link w:val="43"/>
    <w:semiHidden/>
    <w:qFormat/>
    <w:uiPriority w:val="99"/>
    <w:rPr>
      <w:rFonts w:ascii="Times New Roman" w:hAnsi="Times New Roman" w:eastAsia="宋体" w:cs="Times New Roman"/>
      <w:b/>
      <w:bCs/>
      <w:kern w:val="0"/>
      <w:sz w:val="22"/>
    </w:rPr>
  </w:style>
  <w:style w:type="character" w:customStyle="1" w:styleId="87">
    <w:name w:val="批注框文本 字符"/>
    <w:basedOn w:val="47"/>
    <w:link w:val="30"/>
    <w:semiHidden/>
    <w:qFormat/>
    <w:uiPriority w:val="99"/>
    <w:rPr>
      <w:rFonts w:ascii="Times New Roman" w:hAnsi="Times New Roman" w:eastAsia="宋体" w:cs="Times New Roman"/>
      <w:sz w:val="18"/>
      <w:szCs w:val="18"/>
    </w:rPr>
  </w:style>
  <w:style w:type="paragraph" w:styleId="88">
    <w:name w:val="List Paragraph"/>
    <w:basedOn w:val="1"/>
    <w:qFormat/>
    <w:uiPriority w:val="34"/>
    <w:pPr>
      <w:adjustRightInd/>
      <w:snapToGrid/>
      <w:spacing w:after="0"/>
      <w:ind w:firstLine="420" w:firstLineChars="200"/>
    </w:pPr>
    <w:rPr>
      <w:rFonts w:ascii="Calibri" w:hAnsi="Calibri" w:eastAsia="宋体"/>
      <w:lang w:eastAsia="en-US" w:bidi="en-US"/>
    </w:rPr>
  </w:style>
  <w:style w:type="paragraph" w:customStyle="1" w:styleId="89">
    <w:name w:val="Heading4"/>
    <w:basedOn w:val="1"/>
    <w:next w:val="1"/>
    <w:qFormat/>
    <w:uiPriority w:val="99"/>
    <w:pPr>
      <w:keepNext/>
      <w:keepLines/>
      <w:numPr>
        <w:ilvl w:val="3"/>
        <w:numId w:val="2"/>
      </w:numPr>
      <w:spacing w:before="280" w:after="290" w:line="374" w:lineRule="auto"/>
      <w:jc w:val="both"/>
    </w:pPr>
    <w:rPr>
      <w:rFonts w:ascii="Arial" w:hAnsi="Arial" w:eastAsia="黑体"/>
      <w:b/>
      <w:kern w:val="2"/>
      <w:sz w:val="28"/>
      <w:szCs w:val="20"/>
    </w:rPr>
  </w:style>
  <w:style w:type="paragraph" w:customStyle="1" w:styleId="90">
    <w:name w:val="BodyText"/>
    <w:basedOn w:val="1"/>
    <w:next w:val="89"/>
    <w:qFormat/>
    <w:uiPriority w:val="99"/>
    <w:pPr>
      <w:jc w:val="both"/>
    </w:pPr>
    <w:rPr>
      <w:rFonts w:ascii="Times New Roman" w:hAnsi="Times New Roman" w:eastAsia="宋体"/>
      <w:sz w:val="20"/>
      <w:szCs w:val="24"/>
    </w:rPr>
  </w:style>
  <w:style w:type="character" w:customStyle="1" w:styleId="91">
    <w:name w:val="列出段落 Char"/>
    <w:link w:val="92"/>
    <w:qFormat/>
    <w:locked/>
    <w:uiPriority w:val="0"/>
    <w:rPr>
      <w:rFonts w:ascii="Calibri" w:hAnsi="Calibri" w:cs="Calibri"/>
    </w:rPr>
  </w:style>
  <w:style w:type="paragraph" w:customStyle="1" w:styleId="92">
    <w:name w:val="列出段落1"/>
    <w:basedOn w:val="1"/>
    <w:link w:val="91"/>
    <w:qFormat/>
    <w:uiPriority w:val="0"/>
    <w:pPr>
      <w:widowControl w:val="0"/>
      <w:adjustRightInd/>
      <w:snapToGrid/>
      <w:spacing w:after="0"/>
      <w:ind w:firstLine="420" w:firstLineChars="200"/>
      <w:jc w:val="both"/>
    </w:pPr>
    <w:rPr>
      <w:rFonts w:ascii="Calibri" w:hAnsi="Calibri" w:cs="Calibri" w:eastAsiaTheme="minorEastAsia"/>
      <w:kern w:val="2"/>
      <w:sz w:val="21"/>
    </w:rPr>
  </w:style>
  <w:style w:type="character" w:customStyle="1" w:styleId="93">
    <w:name w:val="招标文件正文 Char Char"/>
    <w:link w:val="94"/>
    <w:qFormat/>
    <w:locked/>
    <w:uiPriority w:val="0"/>
    <w:rPr>
      <w:rFonts w:ascii="宋体" w:hAnsi="宋体" w:eastAsia="宋体"/>
    </w:rPr>
  </w:style>
  <w:style w:type="paragraph" w:customStyle="1" w:styleId="94">
    <w:name w:val="招标文件正文"/>
    <w:basedOn w:val="1"/>
    <w:link w:val="93"/>
    <w:qFormat/>
    <w:uiPriority w:val="0"/>
    <w:pPr>
      <w:widowControl w:val="0"/>
      <w:adjustRightInd/>
      <w:snapToGrid/>
      <w:spacing w:after="0" w:afterLines="50" w:line="460" w:lineRule="exact"/>
      <w:ind w:firstLine="200" w:firstLineChars="200"/>
      <w:jc w:val="both"/>
    </w:pPr>
    <w:rPr>
      <w:rFonts w:ascii="宋体" w:hAnsi="宋体" w:eastAsia="宋体" w:cstheme="minorBidi"/>
      <w:kern w:val="2"/>
      <w:sz w:val="21"/>
    </w:rPr>
  </w:style>
  <w:style w:type="paragraph" w:customStyle="1" w:styleId="95">
    <w:name w:val="表格居左"/>
    <w:basedOn w:val="1"/>
    <w:qFormat/>
    <w:uiPriority w:val="99"/>
    <w:pPr>
      <w:widowControl w:val="0"/>
      <w:adjustRightInd/>
      <w:spacing w:before="60" w:after="60"/>
      <w:jc w:val="center"/>
    </w:pPr>
    <w:rPr>
      <w:rFonts w:ascii="Times New Roman" w:hAnsi="Times New Roman" w:eastAsia="宋体"/>
      <w:kern w:val="2"/>
      <w:sz w:val="21"/>
      <w:szCs w:val="20"/>
    </w:rPr>
  </w:style>
  <w:style w:type="paragraph" w:customStyle="1" w:styleId="96">
    <w:name w:val="xl83"/>
    <w:basedOn w:val="1"/>
    <w:qFormat/>
    <w:uiPriority w:val="99"/>
    <w:pPr>
      <w:pBdr>
        <w:top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97">
    <w:name w:val="xl85"/>
    <w:basedOn w:val="1"/>
    <w:qFormat/>
    <w:uiPriority w:val="99"/>
    <w:pPr>
      <w:pBdr>
        <w:top w:val="single" w:color="auto" w:sz="4" w:space="0"/>
        <w:bottom w:val="single" w:color="auto" w:sz="4" w:space="0"/>
      </w:pBdr>
      <w:adjustRightInd/>
      <w:snapToGrid/>
      <w:spacing w:before="100" w:beforeAutospacing="1" w:after="100" w:afterAutospacing="1"/>
      <w:jc w:val="center"/>
    </w:pPr>
    <w:rPr>
      <w:rFonts w:ascii="宋体" w:hAnsi="宋体" w:eastAsia="宋体" w:cs="宋体"/>
      <w:b/>
      <w:bCs/>
      <w:sz w:val="20"/>
      <w:szCs w:val="20"/>
    </w:rPr>
  </w:style>
  <w:style w:type="paragraph" w:customStyle="1" w:styleId="98">
    <w:name w:val="题注4"/>
    <w:basedOn w:val="1"/>
    <w:next w:val="15"/>
    <w:qFormat/>
    <w:uiPriority w:val="99"/>
    <w:pPr>
      <w:widowControl w:val="0"/>
      <w:adjustRightInd/>
      <w:snapToGrid/>
      <w:spacing w:after="0"/>
      <w:ind w:left="-46" w:leftChars="-22"/>
      <w:jc w:val="center"/>
    </w:pPr>
    <w:rPr>
      <w:rFonts w:ascii="Times New Roman" w:hAnsi="Times New Roman" w:eastAsia="宋体"/>
      <w:b/>
      <w:bCs/>
      <w:color w:val="000000"/>
      <w:kern w:val="2"/>
      <w:sz w:val="18"/>
      <w:szCs w:val="18"/>
      <w:lang w:val="en-GB"/>
    </w:rPr>
  </w:style>
  <w:style w:type="paragraph" w:customStyle="1" w:styleId="99">
    <w:name w:val="Char Char Char Char Char Char Char Char Char"/>
    <w:basedOn w:val="1"/>
    <w:qFormat/>
    <w:uiPriority w:val="99"/>
    <w:pPr>
      <w:adjustRightInd/>
      <w:snapToGrid/>
      <w:spacing w:after="160" w:line="240" w:lineRule="exact"/>
    </w:pPr>
    <w:rPr>
      <w:rFonts w:ascii="Verdana" w:hAnsi="Verdana" w:eastAsia="宋体"/>
      <w:kern w:val="2"/>
      <w:sz w:val="21"/>
      <w:szCs w:val="24"/>
      <w:lang w:eastAsia="en-US"/>
    </w:rPr>
  </w:style>
  <w:style w:type="paragraph" w:customStyle="1" w:styleId="10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1"/>
    <w:basedOn w:val="1"/>
    <w:next w:val="25"/>
    <w:qFormat/>
    <w:uiPriority w:val="99"/>
    <w:pPr>
      <w:widowControl w:val="0"/>
      <w:adjustRightInd/>
      <w:snapToGrid/>
      <w:spacing w:after="0"/>
      <w:jc w:val="both"/>
    </w:pPr>
    <w:rPr>
      <w:rFonts w:ascii="宋体" w:hAnsi="Courier New" w:eastAsia="宋体"/>
      <w:kern w:val="2"/>
      <w:sz w:val="21"/>
      <w:szCs w:val="20"/>
    </w:rPr>
  </w:style>
  <w:style w:type="paragraph" w:customStyle="1" w:styleId="102">
    <w:name w:val="font5"/>
    <w:basedOn w:val="1"/>
    <w:qFormat/>
    <w:uiPriority w:val="99"/>
    <w:pPr>
      <w:adjustRightInd/>
      <w:snapToGrid/>
      <w:spacing w:before="100" w:beforeAutospacing="1" w:after="100" w:afterAutospacing="1"/>
    </w:pPr>
    <w:rPr>
      <w:rFonts w:ascii="宋体" w:hAnsi="宋体" w:eastAsia="宋体"/>
      <w:sz w:val="18"/>
      <w:szCs w:val="18"/>
    </w:rPr>
  </w:style>
  <w:style w:type="paragraph" w:customStyle="1" w:styleId="103">
    <w:name w:val="纯文本1"/>
    <w:basedOn w:val="1"/>
    <w:qFormat/>
    <w:uiPriority w:val="99"/>
    <w:pPr>
      <w:widowControl w:val="0"/>
      <w:snapToGrid/>
      <w:spacing w:after="0"/>
      <w:jc w:val="both"/>
    </w:pPr>
    <w:rPr>
      <w:rFonts w:ascii="宋体" w:hAnsi="Times New Roman" w:eastAsia="宋体"/>
      <w:sz w:val="24"/>
      <w:szCs w:val="20"/>
    </w:rPr>
  </w:style>
  <w:style w:type="paragraph" w:customStyle="1" w:styleId="104">
    <w:name w:val="List Paragraph1"/>
    <w:basedOn w:val="1"/>
    <w:qFormat/>
    <w:uiPriority w:val="99"/>
    <w:pPr>
      <w:widowControl w:val="0"/>
      <w:adjustRightInd/>
      <w:snapToGrid/>
      <w:spacing w:after="0"/>
      <w:ind w:firstLine="420" w:firstLineChars="200"/>
      <w:jc w:val="both"/>
    </w:pPr>
    <w:rPr>
      <w:rFonts w:ascii="Times New Roman" w:hAnsi="Times New Roman" w:eastAsia="宋体"/>
      <w:kern w:val="2"/>
      <w:sz w:val="21"/>
      <w:szCs w:val="21"/>
    </w:rPr>
  </w:style>
  <w:style w:type="paragraph" w:customStyle="1" w:styleId="105">
    <w:name w:val="基准标题"/>
    <w:basedOn w:val="19"/>
    <w:next w:val="19"/>
    <w:qFormat/>
    <w:uiPriority w:val="99"/>
    <w:pPr>
      <w:keepNext/>
      <w:keepLines/>
      <w:widowControl/>
      <w:spacing w:after="0" w:line="240" w:lineRule="atLeast"/>
      <w:jc w:val="left"/>
    </w:pPr>
    <w:rPr>
      <w:rFonts w:ascii="Garamond" w:hAnsi="Garamond"/>
      <w:kern w:val="20"/>
      <w:szCs w:val="20"/>
      <w:lang w:bidi="he-IL"/>
    </w:rPr>
  </w:style>
  <w:style w:type="paragraph" w:customStyle="1" w:styleId="106">
    <w:name w:val="Char Char Char Char"/>
    <w:basedOn w:val="1"/>
    <w:qFormat/>
    <w:uiPriority w:val="99"/>
    <w:pPr>
      <w:adjustRightInd/>
      <w:snapToGrid/>
      <w:spacing w:after="160" w:line="240" w:lineRule="exact"/>
    </w:pPr>
    <w:rPr>
      <w:rFonts w:ascii="Verdana" w:hAnsi="Verdana" w:eastAsia="仿宋_GB2312"/>
      <w:sz w:val="24"/>
      <w:szCs w:val="20"/>
      <w:lang w:eastAsia="en-US"/>
    </w:rPr>
  </w:style>
  <w:style w:type="paragraph" w:customStyle="1" w:styleId="107">
    <w:name w:val="正文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8">
    <w:name w:val="xl93"/>
    <w:basedOn w:val="1"/>
    <w:qFormat/>
    <w:uiPriority w:val="99"/>
    <w:pPr>
      <w:pBdr>
        <w:top w:val="single" w:color="auto" w:sz="4" w:space="0"/>
        <w:bottom w:val="single" w:color="auto" w:sz="8" w:space="0"/>
      </w:pBdr>
      <w:adjustRightInd/>
      <w:snapToGrid/>
      <w:spacing w:before="100" w:beforeAutospacing="1" w:after="100" w:afterAutospacing="1"/>
      <w:jc w:val="center"/>
    </w:pPr>
    <w:rPr>
      <w:rFonts w:ascii="宋体" w:hAnsi="宋体" w:eastAsia="宋体" w:cs="宋体"/>
      <w:b/>
      <w:bCs/>
      <w:sz w:val="20"/>
      <w:szCs w:val="20"/>
    </w:rPr>
  </w:style>
  <w:style w:type="paragraph" w:customStyle="1" w:styleId="109">
    <w:name w:val="正文 A"/>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10">
    <w:name w:val="Char"/>
    <w:basedOn w:val="1"/>
    <w:qFormat/>
    <w:uiPriority w:val="99"/>
    <w:pPr>
      <w:adjustRightInd/>
      <w:snapToGrid/>
      <w:spacing w:after="160" w:line="240" w:lineRule="exact"/>
    </w:pPr>
    <w:rPr>
      <w:rFonts w:ascii="Verdana" w:hAnsi="Verdana" w:eastAsia="仿宋_GB2312"/>
      <w:sz w:val="24"/>
      <w:szCs w:val="20"/>
      <w:lang w:eastAsia="en-US"/>
    </w:rPr>
  </w:style>
  <w:style w:type="paragraph" w:customStyle="1" w:styleId="111">
    <w:name w:val="默认段落字体 Para Char Char Char Char"/>
    <w:basedOn w:val="1"/>
    <w:qFormat/>
    <w:uiPriority w:val="99"/>
    <w:pPr>
      <w:widowControl w:val="0"/>
      <w:adjustRightInd/>
      <w:snapToGrid/>
      <w:spacing w:after="0"/>
      <w:jc w:val="both"/>
    </w:pPr>
    <w:rPr>
      <w:rFonts w:ascii="Times New Roman" w:hAnsi="Times New Roman" w:eastAsia="宋体"/>
      <w:kern w:val="2"/>
      <w:sz w:val="21"/>
      <w:szCs w:val="20"/>
    </w:rPr>
  </w:style>
  <w:style w:type="paragraph" w:customStyle="1" w:styleId="112">
    <w:name w:val="SMEDI标题1"/>
    <w:basedOn w:val="1"/>
    <w:next w:val="1"/>
    <w:qFormat/>
    <w:uiPriority w:val="99"/>
    <w:pPr>
      <w:keepNext/>
      <w:keepLines/>
      <w:widowControl w:val="0"/>
      <w:tabs>
        <w:tab w:val="left" w:pos="432"/>
      </w:tabs>
      <w:adjustRightInd/>
      <w:snapToGrid/>
      <w:spacing w:after="0" w:line="578" w:lineRule="atLeast"/>
      <w:jc w:val="center"/>
      <w:outlineLvl w:val="0"/>
    </w:pPr>
    <w:rPr>
      <w:rFonts w:ascii="Times New Roman" w:hAnsi="Times New Roman" w:eastAsia="黑体"/>
      <w:b/>
      <w:bCs/>
      <w:spacing w:val="16"/>
      <w:kern w:val="32"/>
      <w:sz w:val="32"/>
      <w:szCs w:val="32"/>
    </w:rPr>
  </w:style>
  <w:style w:type="paragraph" w:customStyle="1" w:styleId="113">
    <w:name w:val="xl75"/>
    <w:basedOn w:val="1"/>
    <w:qFormat/>
    <w:uiPriority w:val="99"/>
    <w:pPr>
      <w:pBdr>
        <w:top w:val="single" w:color="auto" w:sz="4" w:space="0"/>
        <w:left w:val="single" w:color="auto" w:sz="4" w:space="0"/>
        <w:bottom w:val="single" w:color="auto" w:sz="4" w:space="0"/>
        <w:right w:val="single" w:color="auto" w:sz="4" w:space="0"/>
      </w:pBdr>
      <w:shd w:val="clear" w:color="auto" w:fill="FFFFFF"/>
      <w:adjustRightInd/>
      <w:snapToGrid/>
      <w:spacing w:before="100" w:beforeAutospacing="1" w:after="100" w:afterAutospacing="1"/>
      <w:jc w:val="center"/>
    </w:pPr>
    <w:rPr>
      <w:rFonts w:ascii="宋体" w:hAnsi="宋体" w:eastAsia="宋体" w:cs="宋体"/>
      <w:sz w:val="20"/>
      <w:szCs w:val="20"/>
    </w:rPr>
  </w:style>
  <w:style w:type="paragraph" w:customStyle="1" w:styleId="114">
    <w:name w:val="_Style 181"/>
    <w:qFormat/>
    <w:uiPriority w:val="99"/>
    <w:pPr>
      <w:widowControl w:val="0"/>
      <w:autoSpaceDE w:val="0"/>
      <w:autoSpaceDN w:val="0"/>
      <w:adjustRightInd w:val="0"/>
    </w:pPr>
    <w:rPr>
      <w:rFonts w:ascii="Times New Roman" w:hAnsi="Times New Roman" w:eastAsia="宋体" w:cs="Times New Roman"/>
      <w:lang w:val="en-US" w:eastAsia="zh-CN" w:bidi="ar-SA"/>
    </w:rPr>
  </w:style>
  <w:style w:type="paragraph" w:customStyle="1" w:styleId="115">
    <w:name w:val="xl88"/>
    <w:basedOn w:val="1"/>
    <w:qFormat/>
    <w:uiPriority w:val="99"/>
    <w:pPr>
      <w:pBdr>
        <w:top w:val="single" w:color="auto" w:sz="8" w:space="0"/>
        <w:left w:val="single" w:color="auto" w:sz="8"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宋体"/>
      <w:sz w:val="20"/>
      <w:szCs w:val="20"/>
    </w:rPr>
  </w:style>
  <w:style w:type="paragraph" w:customStyle="1" w:styleId="116">
    <w:name w:val="xl29"/>
    <w:basedOn w:val="1"/>
    <w:qFormat/>
    <w:uiPriority w:val="99"/>
    <w:pPr>
      <w:adjustRightInd/>
      <w:snapToGrid/>
      <w:spacing w:before="100" w:beforeAutospacing="1" w:after="100" w:afterAutospacing="1"/>
      <w:jc w:val="center"/>
    </w:pPr>
    <w:rPr>
      <w:rFonts w:ascii="宋体" w:hAnsi="宋体" w:eastAsia="宋体"/>
      <w:sz w:val="28"/>
      <w:szCs w:val="28"/>
    </w:rPr>
  </w:style>
  <w:style w:type="paragraph" w:customStyle="1" w:styleId="117">
    <w:name w:val="xl24"/>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Times New Roman" w:hAnsi="Times New Roman" w:eastAsia="宋体"/>
      <w:sz w:val="24"/>
      <w:szCs w:val="24"/>
    </w:rPr>
  </w:style>
  <w:style w:type="paragraph" w:customStyle="1" w:styleId="118">
    <w:name w:val="3 Char"/>
    <w:basedOn w:val="1"/>
    <w:qFormat/>
    <w:uiPriority w:val="99"/>
    <w:pPr>
      <w:adjustRightInd/>
      <w:snapToGrid/>
      <w:spacing w:after="0" w:line="400" w:lineRule="exact"/>
      <w:jc w:val="center"/>
    </w:pPr>
    <w:rPr>
      <w:rFonts w:ascii="Verdana" w:hAnsi="Verdana" w:eastAsia="宋体"/>
      <w:sz w:val="21"/>
      <w:szCs w:val="20"/>
      <w:lang w:eastAsia="en-US"/>
    </w:rPr>
  </w:style>
  <w:style w:type="paragraph" w:customStyle="1" w:styleId="119">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Char Char Char Char Char Char Char Char Char Char"/>
    <w:basedOn w:val="1"/>
    <w:qFormat/>
    <w:uiPriority w:val="99"/>
    <w:pPr>
      <w:widowControl w:val="0"/>
      <w:adjustRightInd/>
      <w:snapToGrid/>
      <w:spacing w:after="0"/>
      <w:jc w:val="both"/>
    </w:pPr>
    <w:rPr>
      <w:rFonts w:eastAsia="宋体"/>
      <w:kern w:val="2"/>
      <w:sz w:val="24"/>
      <w:szCs w:val="20"/>
    </w:rPr>
  </w:style>
  <w:style w:type="paragraph" w:customStyle="1" w:styleId="121">
    <w:name w:val="样式4"/>
    <w:basedOn w:val="1"/>
    <w:qFormat/>
    <w:uiPriority w:val="99"/>
    <w:pPr>
      <w:widowControl w:val="0"/>
      <w:tabs>
        <w:tab w:val="left" w:pos="1984"/>
      </w:tabs>
      <w:adjustRightInd/>
      <w:snapToGrid/>
      <w:spacing w:after="0"/>
      <w:ind w:left="1984"/>
      <w:jc w:val="both"/>
    </w:pPr>
    <w:rPr>
      <w:rFonts w:ascii="Times New Roman" w:hAnsi="Times New Roman" w:eastAsia="宋体"/>
      <w:kern w:val="2"/>
      <w:sz w:val="21"/>
      <w:szCs w:val="24"/>
    </w:rPr>
  </w:style>
  <w:style w:type="paragraph" w:customStyle="1" w:styleId="122">
    <w:name w:val="xl97"/>
    <w:basedOn w:val="1"/>
    <w:qFormat/>
    <w:uiPriority w:val="99"/>
    <w:pPr>
      <w:pBdr>
        <w:top w:val="single" w:color="auto" w:sz="8" w:space="0"/>
        <w:bottom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23">
    <w:name w:val="font0"/>
    <w:basedOn w:val="1"/>
    <w:qFormat/>
    <w:uiPriority w:val="99"/>
    <w:pPr>
      <w:adjustRightInd/>
      <w:snapToGrid/>
      <w:spacing w:before="100" w:beforeAutospacing="1" w:after="100" w:afterAutospacing="1"/>
    </w:pPr>
    <w:rPr>
      <w:rFonts w:ascii="宋体" w:hAnsi="宋体" w:eastAsia="宋体"/>
      <w:sz w:val="24"/>
      <w:szCs w:val="24"/>
    </w:rPr>
  </w:style>
  <w:style w:type="paragraph" w:customStyle="1" w:styleId="124">
    <w:name w:val="列出段落3"/>
    <w:basedOn w:val="1"/>
    <w:qFormat/>
    <w:uiPriority w:val="99"/>
    <w:pPr>
      <w:spacing w:line="256" w:lineRule="auto"/>
      <w:ind w:firstLine="420" w:firstLineChars="200"/>
    </w:pPr>
  </w:style>
  <w:style w:type="paragraph" w:customStyle="1" w:styleId="125">
    <w:name w:val="默认段落字体 Para Char"/>
    <w:basedOn w:val="1"/>
    <w:qFormat/>
    <w:uiPriority w:val="99"/>
    <w:pPr>
      <w:widowControl w:val="0"/>
      <w:adjustRightInd/>
      <w:snapToGrid/>
      <w:spacing w:after="0"/>
      <w:jc w:val="both"/>
    </w:pPr>
    <w:rPr>
      <w:rFonts w:ascii="Times New Roman" w:hAnsi="Times New Roman" w:eastAsia="宋体"/>
      <w:kern w:val="2"/>
      <w:sz w:val="21"/>
      <w:szCs w:val="24"/>
    </w:rPr>
  </w:style>
  <w:style w:type="paragraph" w:customStyle="1" w:styleId="126">
    <w:name w:val="列出段落11"/>
    <w:basedOn w:val="1"/>
    <w:qFormat/>
    <w:uiPriority w:val="99"/>
    <w:pPr>
      <w:widowControl w:val="0"/>
      <w:adjustRightInd/>
      <w:snapToGrid/>
      <w:spacing w:after="0"/>
      <w:ind w:firstLine="420" w:firstLineChars="200"/>
      <w:jc w:val="both"/>
    </w:pPr>
    <w:rPr>
      <w:rFonts w:ascii="Calibri" w:hAnsi="Calibri" w:eastAsia="宋体"/>
      <w:kern w:val="2"/>
      <w:sz w:val="21"/>
    </w:rPr>
  </w:style>
  <w:style w:type="paragraph" w:customStyle="1" w:styleId="127">
    <w:name w:val="样式 表格不居中文字 + 两端对齐"/>
    <w:basedOn w:val="1"/>
    <w:qFormat/>
    <w:uiPriority w:val="99"/>
    <w:pPr>
      <w:widowControl w:val="0"/>
      <w:tabs>
        <w:tab w:val="left" w:pos="3960"/>
      </w:tabs>
      <w:spacing w:after="0"/>
      <w:jc w:val="center"/>
    </w:pPr>
    <w:rPr>
      <w:rFonts w:ascii="宋体" w:hAnsi="宋体" w:eastAsia="宋体" w:cs="宋体"/>
      <w:color w:val="000000"/>
      <w:sz w:val="24"/>
      <w:szCs w:val="24"/>
    </w:rPr>
  </w:style>
  <w:style w:type="paragraph" w:customStyle="1" w:styleId="128">
    <w:name w:val="xl86"/>
    <w:basedOn w:val="1"/>
    <w:qFormat/>
    <w:uiPriority w:val="99"/>
    <w:pPr>
      <w:pBdr>
        <w:top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b/>
      <w:bCs/>
      <w:sz w:val="20"/>
      <w:szCs w:val="20"/>
    </w:rPr>
  </w:style>
  <w:style w:type="paragraph" w:customStyle="1" w:styleId="129">
    <w:name w:val="xl68"/>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30">
    <w:name w:val="Char1 Char Char Char"/>
    <w:basedOn w:val="1"/>
    <w:qFormat/>
    <w:uiPriority w:val="99"/>
    <w:pPr>
      <w:widowControl w:val="0"/>
      <w:adjustRightInd/>
      <w:snapToGrid/>
      <w:spacing w:after="0"/>
      <w:jc w:val="both"/>
    </w:pPr>
    <w:rPr>
      <w:rFonts w:ascii="Times New Roman" w:hAnsi="Times New Roman" w:eastAsia="宋体"/>
      <w:kern w:val="2"/>
      <w:sz w:val="21"/>
      <w:szCs w:val="20"/>
    </w:rPr>
  </w:style>
  <w:style w:type="paragraph" w:customStyle="1" w:styleId="131">
    <w:name w:val="xl80"/>
    <w:basedOn w:val="1"/>
    <w:qFormat/>
    <w:uiPriority w:val="99"/>
    <w:pPr>
      <w:pBdr>
        <w:top w:val="single" w:color="auto" w:sz="4" w:space="0"/>
        <w:left w:val="single" w:color="auto" w:sz="4"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132">
    <w:name w:val="xl95"/>
    <w:basedOn w:val="1"/>
    <w:qFormat/>
    <w:uiPriority w:val="99"/>
    <w:pPr>
      <w:pBdr>
        <w:top w:val="single" w:color="auto" w:sz="8"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33">
    <w:name w:val="图"/>
    <w:basedOn w:val="1"/>
    <w:qFormat/>
    <w:uiPriority w:val="99"/>
    <w:pPr>
      <w:keepNext/>
      <w:widowControl w:val="0"/>
      <w:spacing w:before="60" w:after="60" w:line="300" w:lineRule="auto"/>
      <w:jc w:val="center"/>
    </w:pPr>
    <w:rPr>
      <w:rFonts w:ascii="Times New Roman" w:hAnsi="Times New Roman" w:eastAsia="宋体"/>
      <w:spacing w:val="20"/>
      <w:sz w:val="24"/>
      <w:szCs w:val="20"/>
    </w:rPr>
  </w:style>
  <w:style w:type="paragraph" w:customStyle="1" w:styleId="134">
    <w:name w:val="xl76"/>
    <w:basedOn w:val="1"/>
    <w:qFormat/>
    <w:uiPriority w:val="99"/>
    <w:pPr>
      <w:pBdr>
        <w:top w:val="single" w:color="auto" w:sz="4" w:space="0"/>
        <w:left w:val="single" w:color="auto" w:sz="4" w:space="0"/>
        <w:bottom w:val="single" w:color="auto" w:sz="4" w:space="0"/>
        <w:right w:val="single" w:color="auto" w:sz="8" w:space="0"/>
      </w:pBdr>
      <w:shd w:val="clear" w:color="auto" w:fill="FFFFFF"/>
      <w:adjustRightInd/>
      <w:snapToGrid/>
      <w:spacing w:before="100" w:beforeAutospacing="1" w:after="100" w:afterAutospacing="1"/>
      <w:jc w:val="center"/>
    </w:pPr>
    <w:rPr>
      <w:rFonts w:ascii="宋体" w:hAnsi="宋体" w:eastAsia="宋体" w:cs="宋体"/>
      <w:sz w:val="20"/>
      <w:szCs w:val="20"/>
    </w:rPr>
  </w:style>
  <w:style w:type="paragraph" w:customStyle="1" w:styleId="135">
    <w:name w:val="列出段落2"/>
    <w:basedOn w:val="1"/>
    <w:qFormat/>
    <w:uiPriority w:val="34"/>
    <w:pPr>
      <w:widowControl w:val="0"/>
      <w:adjustRightInd/>
      <w:snapToGrid/>
      <w:spacing w:after="0"/>
      <w:ind w:firstLine="420" w:firstLineChars="200"/>
      <w:jc w:val="both"/>
    </w:pPr>
    <w:rPr>
      <w:rFonts w:ascii="Times New Roman" w:hAnsi="Times New Roman" w:eastAsia="宋体"/>
      <w:kern w:val="2"/>
      <w:sz w:val="21"/>
      <w:szCs w:val="21"/>
    </w:rPr>
  </w:style>
  <w:style w:type="paragraph" w:customStyle="1" w:styleId="136">
    <w:name w:val="样式1"/>
    <w:basedOn w:val="1"/>
    <w:qFormat/>
    <w:uiPriority w:val="99"/>
    <w:pPr>
      <w:widowControl w:val="0"/>
      <w:tabs>
        <w:tab w:val="left" w:pos="709"/>
      </w:tabs>
      <w:snapToGrid/>
      <w:spacing w:after="0"/>
      <w:jc w:val="both"/>
    </w:pPr>
    <w:rPr>
      <w:rFonts w:ascii="宋体" w:hAnsi="宋体" w:eastAsia="宋体"/>
      <w:sz w:val="21"/>
      <w:szCs w:val="20"/>
    </w:rPr>
  </w:style>
  <w:style w:type="paragraph" w:customStyle="1" w:styleId="137">
    <w:name w:val="xl81"/>
    <w:basedOn w:val="1"/>
    <w:qFormat/>
    <w:uiPriority w:val="99"/>
    <w:pPr>
      <w:pBdr>
        <w:top w:val="single" w:color="auto" w:sz="4" w:space="0"/>
        <w:bottom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138">
    <w:name w:val="Char Char1 Char Char Char Char Char Char Char Char Char Char1"/>
    <w:basedOn w:val="1"/>
    <w:qFormat/>
    <w:uiPriority w:val="99"/>
    <w:pPr>
      <w:widowControl w:val="0"/>
      <w:adjustRightInd/>
      <w:snapToGrid/>
      <w:spacing w:after="0"/>
      <w:jc w:val="both"/>
    </w:pPr>
    <w:rPr>
      <w:rFonts w:eastAsia="宋体"/>
      <w:kern w:val="2"/>
      <w:sz w:val="24"/>
      <w:szCs w:val="20"/>
    </w:rPr>
  </w:style>
  <w:style w:type="paragraph" w:customStyle="1" w:styleId="139">
    <w:name w:val="xl69"/>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40">
    <w:name w:val="xl87"/>
    <w:basedOn w:val="1"/>
    <w:qFormat/>
    <w:uiPriority w:val="99"/>
    <w:pPr>
      <w:pBdr>
        <w:top w:val="single" w:color="auto" w:sz="4" w:space="0"/>
        <w:left w:val="single" w:color="auto" w:sz="8" w:space="0"/>
        <w:bottom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141">
    <w:name w:val="xl96"/>
    <w:basedOn w:val="1"/>
    <w:qFormat/>
    <w:uiPriority w:val="99"/>
    <w:pPr>
      <w:pBdr>
        <w:top w:val="single" w:color="auto" w:sz="8" w:space="0"/>
        <w:left w:val="single" w:color="auto" w:sz="8" w:space="0"/>
        <w:bottom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42">
    <w:name w:val="xl92"/>
    <w:basedOn w:val="1"/>
    <w:qFormat/>
    <w:uiPriority w:val="99"/>
    <w:pPr>
      <w:pBdr>
        <w:top w:val="single" w:color="auto" w:sz="4" w:space="0"/>
        <w:left w:val="single" w:color="auto" w:sz="4" w:space="0"/>
        <w:bottom w:val="single" w:color="auto" w:sz="8" w:space="0"/>
      </w:pBdr>
      <w:adjustRightInd/>
      <w:snapToGrid/>
      <w:spacing w:before="100" w:beforeAutospacing="1" w:after="100" w:afterAutospacing="1"/>
      <w:jc w:val="center"/>
    </w:pPr>
    <w:rPr>
      <w:rFonts w:ascii="宋体" w:hAnsi="宋体" w:eastAsia="宋体" w:cs="宋体"/>
      <w:b/>
      <w:bCs/>
      <w:sz w:val="20"/>
      <w:szCs w:val="20"/>
    </w:rPr>
  </w:style>
  <w:style w:type="paragraph" w:customStyle="1" w:styleId="143">
    <w:name w:val="样式 标题 4 + 段前: 5 磅 段后: 5 磅 行距: 单倍行距"/>
    <w:basedOn w:val="6"/>
    <w:qFormat/>
    <w:uiPriority w:val="99"/>
    <w:pPr>
      <w:widowControl w:val="0"/>
      <w:tabs>
        <w:tab w:val="left" w:pos="1680"/>
      </w:tabs>
      <w:adjustRightInd w:val="0"/>
      <w:spacing w:before="100" w:after="100" w:line="240" w:lineRule="auto"/>
      <w:ind w:left="851" w:hanging="851"/>
    </w:pPr>
    <w:rPr>
      <w:bCs w:val="0"/>
      <w:szCs w:val="20"/>
    </w:rPr>
  </w:style>
  <w:style w:type="paragraph" w:customStyle="1" w:styleId="144">
    <w:name w:val="xl84"/>
    <w:basedOn w:val="1"/>
    <w:qFormat/>
    <w:uiPriority w:val="99"/>
    <w:pPr>
      <w:pBdr>
        <w:top w:val="single" w:color="auto" w:sz="4" w:space="0"/>
        <w:left w:val="single" w:color="auto" w:sz="4" w:space="0"/>
        <w:bottom w:val="single" w:color="auto" w:sz="4" w:space="0"/>
      </w:pBdr>
      <w:adjustRightInd/>
      <w:snapToGrid/>
      <w:spacing w:before="100" w:beforeAutospacing="1" w:after="100" w:afterAutospacing="1"/>
      <w:jc w:val="center"/>
    </w:pPr>
    <w:rPr>
      <w:rFonts w:ascii="宋体" w:hAnsi="宋体" w:eastAsia="宋体" w:cs="宋体"/>
      <w:b/>
      <w:bCs/>
      <w:sz w:val="20"/>
      <w:szCs w:val="20"/>
    </w:rPr>
  </w:style>
  <w:style w:type="paragraph" w:customStyle="1" w:styleId="145">
    <w:name w:val="表格"/>
    <w:basedOn w:val="1"/>
    <w:link w:val="261"/>
    <w:qFormat/>
    <w:uiPriority w:val="0"/>
    <w:pPr>
      <w:widowControl w:val="0"/>
      <w:adjustRightInd/>
      <w:snapToGrid/>
      <w:spacing w:after="0" w:line="420" w:lineRule="exact"/>
      <w:ind w:left="84" w:leftChars="40"/>
      <w:jc w:val="center"/>
    </w:pPr>
    <w:rPr>
      <w:rFonts w:ascii="宋体" w:hAnsi="宋体" w:eastAsia="宋体"/>
      <w:bCs/>
      <w:spacing w:val="-12"/>
      <w:kern w:val="2"/>
      <w:sz w:val="21"/>
      <w:szCs w:val="24"/>
    </w:rPr>
  </w:style>
  <w:style w:type="paragraph" w:customStyle="1" w:styleId="146">
    <w:name w:val="xl78"/>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47">
    <w:name w:val="xl91"/>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宋体"/>
      <w:sz w:val="20"/>
      <w:szCs w:val="20"/>
    </w:rPr>
  </w:style>
  <w:style w:type="paragraph" w:customStyle="1" w:styleId="148">
    <w:name w:val="xl72"/>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宋体"/>
      <w:sz w:val="20"/>
      <w:szCs w:val="20"/>
    </w:rPr>
  </w:style>
  <w:style w:type="paragraph" w:customStyle="1" w:styleId="149">
    <w:name w:val="xl82"/>
    <w:basedOn w:val="1"/>
    <w:qFormat/>
    <w:uiPriority w:val="99"/>
    <w:pPr>
      <w:pBdr>
        <w:top w:val="single" w:color="auto" w:sz="4" w:space="0"/>
        <w:bottom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50">
    <w:name w:val="xl77"/>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宋体"/>
      <w:sz w:val="20"/>
      <w:szCs w:val="20"/>
    </w:rPr>
  </w:style>
  <w:style w:type="paragraph" w:customStyle="1" w:styleId="151">
    <w:name w:val="xl99"/>
    <w:basedOn w:val="1"/>
    <w:qFormat/>
    <w:uiPriority w:val="99"/>
    <w:pPr>
      <w:pBdr>
        <w:top w:val="single" w:color="auto" w:sz="4" w:space="0"/>
        <w:left w:val="single" w:color="auto" w:sz="8" w:space="0"/>
        <w:bottom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52">
    <w:name w:val="样式 标题 2 + 宋体 五号 非加粗 黑色"/>
    <w:basedOn w:val="4"/>
    <w:qFormat/>
    <w:uiPriority w:val="99"/>
    <w:pPr>
      <w:tabs>
        <w:tab w:val="left" w:pos="840"/>
      </w:tabs>
      <w:adjustRightInd w:val="0"/>
      <w:spacing w:line="416" w:lineRule="atLeast"/>
      <w:ind w:left="567" w:hanging="567"/>
      <w:jc w:val="left"/>
    </w:pPr>
    <w:rPr>
      <w:rFonts w:ascii="宋体" w:hAnsi="宋体" w:eastAsia="宋体"/>
      <w:b w:val="0"/>
      <w:bCs w:val="0"/>
      <w:color w:val="000000"/>
      <w:sz w:val="21"/>
      <w:szCs w:val="20"/>
    </w:rPr>
  </w:style>
  <w:style w:type="paragraph" w:customStyle="1" w:styleId="153">
    <w:name w:val="页脚2"/>
    <w:basedOn w:val="1"/>
    <w:qFormat/>
    <w:uiPriority w:val="99"/>
    <w:pPr>
      <w:pBdr>
        <w:top w:val="single" w:color="auto" w:sz="6" w:space="0"/>
      </w:pBdr>
      <w:adjustRightInd/>
      <w:snapToGrid/>
      <w:spacing w:after="0"/>
      <w:jc w:val="right"/>
    </w:pPr>
    <w:rPr>
      <w:rFonts w:ascii="宋体" w:hAnsi="宋体" w:eastAsia="宋体"/>
      <w:kern w:val="2"/>
      <w:sz w:val="18"/>
      <w:szCs w:val="18"/>
    </w:rPr>
  </w:style>
  <w:style w:type="paragraph" w:customStyle="1" w:styleId="154">
    <w:name w:val="xl94"/>
    <w:basedOn w:val="1"/>
    <w:qFormat/>
    <w:uiPriority w:val="99"/>
    <w:pPr>
      <w:pBdr>
        <w:top w:val="single" w:color="auto" w:sz="4" w:space="0"/>
        <w:bottom w:val="single" w:color="auto" w:sz="8" w:space="0"/>
        <w:right w:val="single" w:color="auto" w:sz="4" w:space="0"/>
      </w:pBdr>
      <w:adjustRightInd/>
      <w:snapToGrid/>
      <w:spacing w:before="100" w:beforeAutospacing="1" w:after="100" w:afterAutospacing="1"/>
      <w:jc w:val="center"/>
    </w:pPr>
    <w:rPr>
      <w:rFonts w:ascii="宋体" w:hAnsi="宋体" w:eastAsia="宋体" w:cs="宋体"/>
      <w:b/>
      <w:bCs/>
      <w:sz w:val="20"/>
      <w:szCs w:val="20"/>
    </w:rPr>
  </w:style>
  <w:style w:type="paragraph" w:customStyle="1" w:styleId="155">
    <w:name w:val="font6"/>
    <w:basedOn w:val="1"/>
    <w:qFormat/>
    <w:uiPriority w:val="99"/>
    <w:pPr>
      <w:adjustRightInd/>
      <w:snapToGrid/>
      <w:spacing w:before="100" w:beforeAutospacing="1" w:after="100" w:afterAutospacing="1"/>
    </w:pPr>
    <w:rPr>
      <w:rFonts w:ascii="宋体" w:hAnsi="宋体" w:eastAsia="宋体"/>
      <w:sz w:val="24"/>
      <w:szCs w:val="24"/>
    </w:rPr>
  </w:style>
  <w:style w:type="paragraph" w:customStyle="1" w:styleId="156">
    <w:name w:val="Char Char1 Char Char Char Char Char Char Char Char Char Char"/>
    <w:basedOn w:val="1"/>
    <w:qFormat/>
    <w:uiPriority w:val="99"/>
    <w:pPr>
      <w:widowControl w:val="0"/>
      <w:adjustRightInd/>
      <w:snapToGrid/>
      <w:spacing w:after="0"/>
      <w:jc w:val="both"/>
    </w:pPr>
    <w:rPr>
      <w:rFonts w:eastAsia="宋体"/>
      <w:kern w:val="2"/>
      <w:sz w:val="24"/>
      <w:szCs w:val="20"/>
    </w:rPr>
  </w:style>
  <w:style w:type="paragraph" w:customStyle="1" w:styleId="157">
    <w:name w:val="xl89"/>
    <w:basedOn w:val="1"/>
    <w:qFormat/>
    <w:uiPriority w:val="99"/>
    <w:pPr>
      <w:pBdr>
        <w:top w:val="single" w:color="auto" w:sz="4" w:space="0"/>
        <w:left w:val="single" w:color="auto" w:sz="8"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宋体"/>
      <w:sz w:val="20"/>
      <w:szCs w:val="20"/>
    </w:rPr>
  </w:style>
  <w:style w:type="paragraph" w:customStyle="1" w:styleId="158">
    <w:name w:val="xl90"/>
    <w:basedOn w:val="1"/>
    <w:qFormat/>
    <w:uiPriority w:val="99"/>
    <w:pPr>
      <w:pBdr>
        <w:top w:val="single" w:color="auto" w:sz="8" w:space="0"/>
        <w:left w:val="single" w:color="auto" w:sz="4"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宋体"/>
      <w:sz w:val="20"/>
      <w:szCs w:val="20"/>
    </w:rPr>
  </w:style>
  <w:style w:type="paragraph" w:customStyle="1" w:styleId="159">
    <w:name w:val="样式 标题 3h3H3sect1.2.3 + 五号 段前: 6 磅 段后: 6 磅 行距: 单倍行距"/>
    <w:basedOn w:val="5"/>
    <w:qFormat/>
    <w:uiPriority w:val="99"/>
    <w:pPr>
      <w:tabs>
        <w:tab w:val="left" w:pos="360"/>
        <w:tab w:val="left" w:pos="1260"/>
      </w:tabs>
      <w:autoSpaceDE/>
      <w:autoSpaceDN/>
      <w:spacing w:before="120" w:after="120" w:line="240" w:lineRule="auto"/>
    </w:pPr>
    <w:rPr>
      <w:bCs w:val="0"/>
      <w:sz w:val="21"/>
      <w:szCs w:val="20"/>
    </w:rPr>
  </w:style>
  <w:style w:type="paragraph" w:customStyle="1" w:styleId="160">
    <w:name w:val="xl74"/>
    <w:basedOn w:val="1"/>
    <w:qFormat/>
    <w:uiPriority w:val="99"/>
    <w:pPr>
      <w:pBdr>
        <w:top w:val="single" w:color="auto" w:sz="4" w:space="0"/>
        <w:left w:val="single" w:color="auto" w:sz="4" w:space="0"/>
        <w:bottom w:val="single" w:color="auto" w:sz="4"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161">
    <w:name w:val="xl66"/>
    <w:basedOn w:val="1"/>
    <w:qFormat/>
    <w:uiPriority w:val="99"/>
    <w:pPr>
      <w:pBdr>
        <w:top w:val="single" w:color="auto" w:sz="4" w:space="0"/>
        <w:left w:val="single" w:color="auto" w:sz="8"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宋体"/>
      <w:sz w:val="20"/>
      <w:szCs w:val="20"/>
    </w:rPr>
  </w:style>
  <w:style w:type="paragraph" w:customStyle="1" w:styleId="162">
    <w:name w:val="xl73"/>
    <w:basedOn w:val="1"/>
    <w:qFormat/>
    <w:uiPriority w:val="99"/>
    <w:pPr>
      <w:pBdr>
        <w:top w:val="single" w:color="auto" w:sz="8" w:space="0"/>
        <w:left w:val="single" w:color="auto" w:sz="4" w:space="0"/>
        <w:bottom w:val="single" w:color="auto" w:sz="4" w:space="0"/>
        <w:right w:val="single" w:color="auto" w:sz="8" w:space="0"/>
      </w:pBdr>
      <w:adjustRightInd/>
      <w:snapToGrid/>
      <w:spacing w:before="100" w:beforeAutospacing="1" w:after="100" w:afterAutospacing="1"/>
      <w:jc w:val="center"/>
    </w:pPr>
    <w:rPr>
      <w:rFonts w:ascii="宋体" w:hAnsi="宋体" w:eastAsia="宋体" w:cs="宋体"/>
      <w:sz w:val="20"/>
      <w:szCs w:val="20"/>
    </w:rPr>
  </w:style>
  <w:style w:type="paragraph" w:customStyle="1" w:styleId="163">
    <w:name w:val="xl98"/>
    <w:basedOn w:val="1"/>
    <w:qFormat/>
    <w:uiPriority w:val="99"/>
    <w:pPr>
      <w:pBdr>
        <w:top w:val="single" w:color="auto" w:sz="8"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64">
    <w:name w:val="修订1"/>
    <w:qFormat/>
    <w:uiPriority w:val="99"/>
    <w:rPr>
      <w:rFonts w:ascii="Times New Roman" w:hAnsi="Times New Roman" w:eastAsia="宋体" w:cs="Times New Roman"/>
      <w:lang w:val="en-US" w:eastAsia="zh-CN" w:bidi="ar-SA"/>
    </w:rPr>
  </w:style>
  <w:style w:type="paragraph" w:customStyle="1" w:styleId="165">
    <w:name w:val="列出段落4"/>
    <w:basedOn w:val="1"/>
    <w:qFormat/>
    <w:uiPriority w:val="99"/>
    <w:pPr>
      <w:widowControl w:val="0"/>
      <w:adjustRightInd/>
      <w:snapToGrid/>
      <w:spacing w:after="0"/>
      <w:ind w:firstLine="420" w:firstLineChars="200"/>
      <w:jc w:val="both"/>
    </w:pPr>
    <w:rPr>
      <w:rFonts w:ascii="Calibri" w:hAnsi="Calibri" w:eastAsia="宋体"/>
      <w:kern w:val="2"/>
      <w:sz w:val="21"/>
    </w:rPr>
  </w:style>
  <w:style w:type="paragraph" w:customStyle="1" w:styleId="166">
    <w:name w:val="xl67"/>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Times New Roman" w:hAnsi="Times New Roman" w:eastAsia="宋体"/>
      <w:sz w:val="20"/>
      <w:szCs w:val="20"/>
    </w:rPr>
  </w:style>
  <w:style w:type="paragraph" w:customStyle="1" w:styleId="167">
    <w:name w:val="head"/>
    <w:basedOn w:val="1"/>
    <w:qFormat/>
    <w:uiPriority w:val="99"/>
    <w:pPr>
      <w:adjustRightInd/>
      <w:snapToGrid/>
      <w:spacing w:before="100" w:beforeAutospacing="1" w:after="100" w:afterAutospacing="1"/>
      <w:jc w:val="center"/>
    </w:pPr>
    <w:rPr>
      <w:rFonts w:ascii="黑体" w:hAnsi="宋体" w:eastAsia="黑体"/>
      <w:b/>
      <w:bCs/>
      <w:sz w:val="28"/>
      <w:szCs w:val="28"/>
    </w:rPr>
  </w:style>
  <w:style w:type="paragraph" w:customStyle="1" w:styleId="168">
    <w:name w:val="正文_0"/>
    <w:qFormat/>
    <w:uiPriority w:val="99"/>
    <w:rPr>
      <w:rFonts w:ascii="Times New Roman" w:hAnsi="Times New Roman" w:eastAsia="宋体" w:cs="Times New Roman"/>
      <w:sz w:val="21"/>
      <w:lang w:val="en-US" w:eastAsia="zh-CN" w:bidi="ar-SA"/>
    </w:rPr>
  </w:style>
  <w:style w:type="paragraph" w:customStyle="1" w:styleId="169">
    <w:name w:val="Char1"/>
    <w:basedOn w:val="1"/>
    <w:qFormat/>
    <w:uiPriority w:val="99"/>
    <w:pPr>
      <w:adjustRightInd/>
      <w:snapToGrid/>
      <w:spacing w:after="160" w:line="240" w:lineRule="exact"/>
    </w:pPr>
    <w:rPr>
      <w:rFonts w:ascii="Times New Roman" w:hAnsi="Times New Roman" w:eastAsia="宋体"/>
      <w:kern w:val="2"/>
      <w:sz w:val="24"/>
      <w:szCs w:val="24"/>
    </w:rPr>
  </w:style>
  <w:style w:type="paragraph" w:customStyle="1" w:styleId="170">
    <w:name w:val="font7"/>
    <w:basedOn w:val="1"/>
    <w:qFormat/>
    <w:uiPriority w:val="99"/>
    <w:pPr>
      <w:adjustRightInd/>
      <w:snapToGrid/>
      <w:spacing w:before="100" w:beforeAutospacing="1" w:after="100" w:afterAutospacing="1"/>
    </w:pPr>
    <w:rPr>
      <w:rFonts w:ascii="宋体" w:hAnsi="宋体" w:eastAsia="宋体" w:cs="宋体"/>
      <w:sz w:val="20"/>
      <w:szCs w:val="20"/>
    </w:rPr>
  </w:style>
  <w:style w:type="paragraph" w:customStyle="1" w:styleId="171">
    <w:name w:val="xl70"/>
    <w:basedOn w:val="1"/>
    <w:qFormat/>
    <w:uiPriority w:val="99"/>
    <w:pPr>
      <w:pBdr>
        <w:top w:val="single" w:color="auto" w:sz="8"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72">
    <w:name w:val="xl79"/>
    <w:basedOn w:val="1"/>
    <w:qFormat/>
    <w:uiPriority w:val="99"/>
    <w:pPr>
      <w:pBdr>
        <w:top w:val="single" w:color="auto" w:sz="8"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b/>
      <w:bCs/>
      <w:sz w:val="20"/>
      <w:szCs w:val="20"/>
    </w:rPr>
  </w:style>
  <w:style w:type="paragraph" w:customStyle="1" w:styleId="173">
    <w:name w:val="xl71"/>
    <w:basedOn w:val="1"/>
    <w:qFormat/>
    <w:uiPriority w:val="99"/>
    <w:pPr>
      <w:pBdr>
        <w:top w:val="single" w:color="auto" w:sz="4" w:space="0"/>
        <w:left w:val="single" w:color="auto" w:sz="4" w:space="0"/>
        <w:bottom w:val="single" w:color="auto" w:sz="8"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74">
    <w:name w:val="设计方案"/>
    <w:basedOn w:val="1"/>
    <w:qFormat/>
    <w:uiPriority w:val="99"/>
    <w:pPr>
      <w:tabs>
        <w:tab w:val="left" w:pos="425"/>
      </w:tabs>
      <w:adjustRightInd/>
      <w:snapToGrid/>
      <w:spacing w:after="160" w:line="240" w:lineRule="exact"/>
      <w:ind w:left="425" w:hanging="425"/>
    </w:pPr>
    <w:rPr>
      <w:rFonts w:ascii="Verdana" w:hAnsi="Verdana" w:eastAsia="宋体"/>
      <w:sz w:val="21"/>
      <w:szCs w:val="20"/>
      <w:lang w:eastAsia="en-US"/>
    </w:rPr>
  </w:style>
  <w:style w:type="paragraph" w:customStyle="1" w:styleId="175">
    <w:name w:val="xl100"/>
    <w:basedOn w:val="1"/>
    <w:qFormat/>
    <w:uiPriority w:val="99"/>
    <w:pPr>
      <w:pBdr>
        <w:top w:val="single" w:color="auto" w:sz="4" w:space="0"/>
        <w:bottom w:val="single" w:color="auto" w:sz="8"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176">
    <w:name w:val="Char Char Char Char Char Char Char"/>
    <w:basedOn w:val="1"/>
    <w:qFormat/>
    <w:uiPriority w:val="99"/>
    <w:pPr>
      <w:widowControl w:val="0"/>
      <w:adjustRightInd/>
      <w:snapToGrid/>
      <w:spacing w:after="0"/>
      <w:jc w:val="both"/>
    </w:pPr>
    <w:rPr>
      <w:rFonts w:eastAsia="宋体" w:cs="Tahoma"/>
      <w:kern w:val="2"/>
      <w:sz w:val="30"/>
      <w:szCs w:val="30"/>
    </w:rPr>
  </w:style>
  <w:style w:type="paragraph" w:customStyle="1" w:styleId="177">
    <w:name w:val="正文_1_0_0"/>
    <w:qFormat/>
    <w:uiPriority w:val="99"/>
    <w:rPr>
      <w:rFonts w:ascii="Times New Roman" w:hAnsi="Times New Roman" w:eastAsia="宋体" w:cs="Times New Roman"/>
      <w:sz w:val="21"/>
      <w:lang w:val="en-US" w:eastAsia="zh-CN" w:bidi="ar-SA"/>
    </w:rPr>
  </w:style>
  <w:style w:type="paragraph" w:customStyle="1" w:styleId="178">
    <w:name w:val="正文_1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_Style 10"/>
    <w:basedOn w:val="1"/>
    <w:next w:val="88"/>
    <w:qFormat/>
    <w:uiPriority w:val="34"/>
    <w:pPr>
      <w:adjustRightInd/>
      <w:snapToGrid/>
      <w:spacing w:after="0"/>
      <w:ind w:firstLine="420" w:firstLineChars="200"/>
    </w:pPr>
    <w:rPr>
      <w:rFonts w:ascii="Calibri" w:hAnsi="Calibri" w:eastAsia="宋体"/>
      <w:lang w:eastAsia="en-US" w:bidi="en-US"/>
    </w:rPr>
  </w:style>
  <w:style w:type="paragraph" w:customStyle="1" w:styleId="180">
    <w:name w:val="纯文本2"/>
    <w:basedOn w:val="1"/>
    <w:qFormat/>
    <w:uiPriority w:val="99"/>
    <w:rPr>
      <w:rFonts w:ascii="宋体" w:hAnsi="Courier New" w:cs="Courier New"/>
      <w:szCs w:val="21"/>
    </w:rPr>
  </w:style>
  <w:style w:type="paragraph" w:customStyle="1" w:styleId="181">
    <w:name w:val="NormalIndent"/>
    <w:basedOn w:val="1"/>
    <w:qFormat/>
    <w:uiPriority w:val="99"/>
    <w:pPr>
      <w:spacing w:line="360" w:lineRule="auto"/>
      <w:ind w:firstLine="420"/>
      <w:jc w:val="both"/>
    </w:pPr>
    <w:rPr>
      <w:rFonts w:ascii="宋体" w:hAnsi="Times New Roman"/>
      <w:kern w:val="2"/>
      <w:sz w:val="21"/>
      <w:szCs w:val="24"/>
    </w:rPr>
  </w:style>
  <w:style w:type="paragraph" w:customStyle="1" w:styleId="182">
    <w:name w:val="UserStyle_2"/>
    <w:qFormat/>
    <w:uiPriority w:val="99"/>
    <w:rPr>
      <w:rFonts w:ascii="Times New Roman" w:hAnsi="Times New Roman" w:eastAsia="宋体" w:cs="Times New Roman"/>
      <w:sz w:val="21"/>
      <w:lang w:val="en-US" w:eastAsia="zh-CN" w:bidi="ar-SA"/>
    </w:rPr>
  </w:style>
  <w:style w:type="paragraph" w:customStyle="1" w:styleId="183">
    <w:name w:val="UserStyle_3"/>
    <w:qFormat/>
    <w:uiPriority w:val="99"/>
    <w:pPr>
      <w:jc w:val="both"/>
    </w:pPr>
    <w:rPr>
      <w:rFonts w:ascii="Times New Roman" w:hAnsi="Times New Roman" w:eastAsia="宋体" w:cs="Times New Roman"/>
      <w:kern w:val="2"/>
      <w:sz w:val="21"/>
      <w:szCs w:val="24"/>
      <w:lang w:val="en-US" w:eastAsia="zh-CN" w:bidi="ar-SA"/>
    </w:rPr>
  </w:style>
  <w:style w:type="paragraph" w:customStyle="1" w:styleId="184">
    <w:name w:val="179"/>
    <w:basedOn w:val="1"/>
    <w:qFormat/>
    <w:uiPriority w:val="99"/>
    <w:pPr>
      <w:ind w:left="673" w:firstLine="420"/>
      <w:jc w:val="both"/>
    </w:pPr>
  </w:style>
  <w:style w:type="paragraph" w:customStyle="1" w:styleId="185">
    <w:name w:val="UserStyle_4"/>
    <w:basedOn w:val="1"/>
    <w:next w:val="184"/>
    <w:qFormat/>
    <w:uiPriority w:val="99"/>
    <w:pPr>
      <w:spacing w:after="0"/>
      <w:ind w:firstLine="420" w:firstLineChars="200"/>
      <w:jc w:val="both"/>
    </w:pPr>
    <w:rPr>
      <w:rFonts w:ascii="Calibri" w:hAnsi="Calibri" w:eastAsia="宋体"/>
      <w:kern w:val="2"/>
      <w:sz w:val="21"/>
      <w:szCs w:val="24"/>
      <w:lang w:eastAsia="en-US" w:bidi="en-US"/>
    </w:rPr>
  </w:style>
  <w:style w:type="paragraph" w:customStyle="1" w:styleId="186">
    <w:name w:val="UserStyle_5"/>
    <w:basedOn w:val="1"/>
    <w:qFormat/>
    <w:uiPriority w:val="99"/>
    <w:pPr>
      <w:ind w:firstLine="420" w:firstLineChars="200"/>
      <w:jc w:val="both"/>
    </w:pPr>
  </w:style>
  <w:style w:type="paragraph" w:customStyle="1" w:styleId="187">
    <w:name w:val="PlainText"/>
    <w:basedOn w:val="1"/>
    <w:next w:val="1"/>
    <w:qFormat/>
    <w:uiPriority w:val="99"/>
    <w:pPr>
      <w:jc w:val="both"/>
    </w:pPr>
    <w:rPr>
      <w:rFonts w:ascii="宋体" w:hAnsi="Courier New"/>
      <w:sz w:val="20"/>
      <w:szCs w:val="21"/>
    </w:rPr>
  </w:style>
  <w:style w:type="paragraph" w:customStyle="1" w:styleId="188">
    <w:name w:val="UserStyle_6"/>
    <w:basedOn w:val="1"/>
    <w:qFormat/>
    <w:uiPriority w:val="99"/>
    <w:pPr>
      <w:jc w:val="both"/>
    </w:pPr>
    <w:rPr>
      <w:rFonts w:ascii="宋体" w:hAnsi="Courier New"/>
      <w:kern w:val="2"/>
      <w:sz w:val="21"/>
      <w:szCs w:val="21"/>
    </w:rPr>
  </w:style>
  <w:style w:type="paragraph" w:customStyle="1" w:styleId="189">
    <w:name w:val="表格文字"/>
    <w:basedOn w:val="1"/>
    <w:qFormat/>
    <w:uiPriority w:val="99"/>
    <w:pPr>
      <w:spacing w:before="25" w:after="25"/>
    </w:pPr>
    <w:rPr>
      <w:bCs/>
      <w:spacing w:val="10"/>
      <w:sz w:val="24"/>
    </w:rPr>
  </w:style>
  <w:style w:type="paragraph" w:customStyle="1" w:styleId="190">
    <w:name w:val="标题2-2"/>
    <w:basedOn w:val="4"/>
    <w:qFormat/>
    <w:uiPriority w:val="99"/>
    <w:pPr>
      <w:numPr>
        <w:ilvl w:val="0"/>
        <w:numId w:val="3"/>
      </w:numPr>
      <w:tabs>
        <w:tab w:val="left" w:pos="576"/>
      </w:tabs>
      <w:jc w:val="left"/>
    </w:pPr>
  </w:style>
  <w:style w:type="paragraph" w:customStyle="1" w:styleId="191">
    <w:name w:val="_正文"/>
    <w:basedOn w:val="1"/>
    <w:qFormat/>
    <w:uiPriority w:val="99"/>
    <w:pPr>
      <w:ind w:firstLine="200"/>
      <w:contextualSpacing/>
    </w:pPr>
    <w:rPr>
      <w:rFonts w:ascii="宋体" w:hAnsi="宋体"/>
    </w:rPr>
  </w:style>
  <w:style w:type="paragraph" w:customStyle="1" w:styleId="192">
    <w:name w:val="表格编号"/>
    <w:basedOn w:val="13"/>
    <w:next w:val="35"/>
    <w:qFormat/>
    <w:uiPriority w:val="99"/>
    <w:pPr>
      <w:numPr>
        <w:numId w:val="4"/>
      </w:numPr>
      <w:tabs>
        <w:tab w:val="left" w:pos="0"/>
      </w:tabs>
      <w:jc w:val="center"/>
    </w:pPr>
    <w:rPr>
      <w:rFonts w:eastAsia="Heiti SC Medium"/>
    </w:rPr>
  </w:style>
  <w:style w:type="character" w:customStyle="1" w:styleId="193">
    <w:name w:val="NormalCharacter"/>
    <w:semiHidden/>
    <w:qFormat/>
    <w:uiPriority w:val="0"/>
    <w:rPr>
      <w:rFonts w:hint="default" w:ascii="Tahoma" w:hAnsi="Tahoma" w:eastAsia="微软雅黑" w:cs="Tahoma"/>
      <w:sz w:val="22"/>
      <w:szCs w:val="22"/>
      <w:lang w:val="en-US" w:eastAsia="zh-CN" w:bidi="ar-SA"/>
    </w:rPr>
  </w:style>
  <w:style w:type="character" w:customStyle="1" w:styleId="194">
    <w:name w:val="font81"/>
    <w:uiPriority w:val="0"/>
    <w:rPr>
      <w:rFonts w:hint="eastAsia" w:ascii="微软雅黑" w:hAnsi="微软雅黑" w:eastAsia="微软雅黑" w:cs="微软雅黑"/>
      <w:color w:val="FF0000"/>
      <w:sz w:val="16"/>
      <w:szCs w:val="16"/>
      <w:u w:val="single"/>
    </w:rPr>
  </w:style>
  <w:style w:type="character" w:customStyle="1" w:styleId="195">
    <w:name w:val="ui-bz-bg-hover1"/>
    <w:qFormat/>
    <w:uiPriority w:val="99"/>
    <w:rPr>
      <w:rFonts w:hint="default" w:ascii="Times New Roman" w:hAnsi="Times New Roman" w:cs="Times New Roman"/>
    </w:rPr>
  </w:style>
  <w:style w:type="character" w:customStyle="1" w:styleId="196">
    <w:name w:val="my-notice1"/>
    <w:qFormat/>
    <w:uiPriority w:val="99"/>
    <w:rPr>
      <w:rFonts w:hint="default" w:ascii="Times New Roman" w:hAnsi="Times New Roman" w:cs="Times New Roman"/>
    </w:rPr>
  </w:style>
  <w:style w:type="character" w:customStyle="1" w:styleId="197">
    <w:name w:val="HTML 预设格式 Char1"/>
    <w:qFormat/>
    <w:locked/>
    <w:uiPriority w:val="0"/>
    <w:rPr>
      <w:rFonts w:hint="eastAsia" w:ascii="黑体" w:hAnsi="Courier New" w:eastAsia="黑体"/>
    </w:rPr>
  </w:style>
  <w:style w:type="character" w:customStyle="1" w:styleId="198">
    <w:name w:val="批注文字 Char1"/>
    <w:qFormat/>
    <w:uiPriority w:val="0"/>
    <w:rPr>
      <w:rFonts w:hint="default" w:ascii="Tahoma" w:hAnsi="Tahoma" w:eastAsia="微软雅黑" w:cs="Tahoma"/>
      <w:kern w:val="0"/>
      <w:sz w:val="22"/>
    </w:rPr>
  </w:style>
  <w:style w:type="character" w:customStyle="1" w:styleId="199">
    <w:name w:val="bsharetext"/>
    <w:qFormat/>
    <w:uiPriority w:val="0"/>
  </w:style>
  <w:style w:type="character" w:customStyle="1" w:styleId="200">
    <w:name w:val="ca-1"/>
    <w:qFormat/>
    <w:uiPriority w:val="0"/>
  </w:style>
  <w:style w:type="character" w:customStyle="1" w:styleId="201">
    <w:name w:val="no52"/>
    <w:qFormat/>
    <w:uiPriority w:val="99"/>
    <w:rPr>
      <w:rFonts w:hint="default" w:ascii="Times New Roman" w:hAnsi="Times New Roman" w:cs="Times New Roman"/>
    </w:rPr>
  </w:style>
  <w:style w:type="character" w:customStyle="1" w:styleId="202">
    <w:name w:val="纯文本 Char2"/>
    <w:qFormat/>
    <w:uiPriority w:val="99"/>
    <w:rPr>
      <w:rFonts w:hint="eastAsia" w:ascii="宋体" w:hAnsi="Courier New" w:eastAsia="宋体"/>
      <w:szCs w:val="21"/>
    </w:rPr>
  </w:style>
  <w:style w:type="character" w:customStyle="1" w:styleId="203">
    <w:name w:val="普通文字 Char Char"/>
    <w:qFormat/>
    <w:uiPriority w:val="0"/>
    <w:rPr>
      <w:rFonts w:hint="eastAsia" w:ascii="宋体" w:hAnsi="Courier New" w:eastAsia="宋体"/>
      <w:szCs w:val="21"/>
      <w:lang w:bidi="ar-SA"/>
    </w:rPr>
  </w:style>
  <w:style w:type="character" w:customStyle="1" w:styleId="204">
    <w:name w:val="15"/>
    <w:qFormat/>
    <w:uiPriority w:val="0"/>
    <w:rPr>
      <w:rFonts w:hint="eastAsia" w:ascii="宋体" w:hAnsi="宋体" w:eastAsia="宋体"/>
      <w:color w:val="000000"/>
      <w:sz w:val="22"/>
      <w:szCs w:val="22"/>
    </w:rPr>
  </w:style>
  <w:style w:type="character" w:customStyle="1" w:styleId="205">
    <w:name w:val="bds_nopic1"/>
    <w:qFormat/>
    <w:uiPriority w:val="99"/>
    <w:rPr>
      <w:rFonts w:hint="default" w:ascii="Times New Roman" w:hAnsi="Times New Roman" w:cs="Times New Roman"/>
    </w:rPr>
  </w:style>
  <w:style w:type="character" w:customStyle="1" w:styleId="206">
    <w:name w:val="批注框文本 Char2"/>
    <w:qFormat/>
    <w:uiPriority w:val="99"/>
    <w:rPr>
      <w:rFonts w:hint="default" w:ascii="Times New Roman" w:hAnsi="Times New Roman" w:cs="Times New Roman"/>
      <w:sz w:val="18"/>
      <w:szCs w:val="18"/>
    </w:rPr>
  </w:style>
  <w:style w:type="character" w:customStyle="1" w:styleId="207">
    <w:name w:val="批注框文本 Char1"/>
    <w:qFormat/>
    <w:locked/>
    <w:uiPriority w:val="99"/>
    <w:rPr>
      <w:rFonts w:hint="default" w:ascii="Times New Roman" w:hAnsi="Times New Roman" w:cs="Times New Roman"/>
      <w:sz w:val="18"/>
      <w:szCs w:val="18"/>
    </w:rPr>
  </w:style>
  <w:style w:type="character" w:customStyle="1" w:styleId="208">
    <w:name w:val="top-icon"/>
    <w:qFormat/>
    <w:uiPriority w:val="99"/>
    <w:rPr>
      <w:rFonts w:hint="default" w:ascii="Times New Roman" w:hAnsi="Times New Roman" w:cs="Times New Roman"/>
    </w:rPr>
  </w:style>
  <w:style w:type="character" w:customStyle="1" w:styleId="209">
    <w:name w:val="bds_more1"/>
    <w:qFormat/>
    <w:uiPriority w:val="99"/>
    <w:rPr>
      <w:rFonts w:hint="eastAsia" w:ascii="宋体" w:hAnsi="宋体" w:eastAsia="宋体" w:cs="宋体"/>
    </w:rPr>
  </w:style>
  <w:style w:type="character" w:customStyle="1" w:styleId="210">
    <w:name w:val="hover68"/>
    <w:qFormat/>
    <w:uiPriority w:val="0"/>
    <w:rPr>
      <w:shd w:val="clear" w:color="auto" w:fill="F1F1F1"/>
    </w:rPr>
  </w:style>
  <w:style w:type="character" w:customStyle="1" w:styleId="211">
    <w:name w:val="批注主题 Char2"/>
    <w:qFormat/>
    <w:uiPriority w:val="99"/>
    <w:rPr>
      <w:rFonts w:hint="default" w:ascii="Times New Roman" w:hAnsi="Times New Roman" w:eastAsia="微软雅黑" w:cs="Times New Roman"/>
      <w:b/>
      <w:bCs/>
      <w:kern w:val="0"/>
      <w:sz w:val="22"/>
    </w:rPr>
  </w:style>
  <w:style w:type="character" w:customStyle="1" w:styleId="212">
    <w:name w:val="t-tag"/>
    <w:qFormat/>
    <w:uiPriority w:val="99"/>
    <w:rPr>
      <w:color w:val="FFFFFF"/>
      <w:sz w:val="18"/>
    </w:rPr>
  </w:style>
  <w:style w:type="character" w:customStyle="1" w:styleId="213">
    <w:name w:val="p141"/>
    <w:qFormat/>
    <w:uiPriority w:val="99"/>
    <w:rPr>
      <w:sz w:val="21"/>
      <w:szCs w:val="21"/>
    </w:rPr>
  </w:style>
  <w:style w:type="character" w:customStyle="1" w:styleId="214">
    <w:name w:val="纯文本 Char Char"/>
    <w:qFormat/>
    <w:uiPriority w:val="0"/>
    <w:rPr>
      <w:rFonts w:hint="eastAsia" w:ascii="宋体" w:hAnsi="Courier New" w:eastAsia="宋体" w:cs="Courier New"/>
      <w:szCs w:val="21"/>
    </w:rPr>
  </w:style>
  <w:style w:type="character" w:customStyle="1" w:styleId="215">
    <w:name w:val="正文文本缩进 2 Char1"/>
    <w:qFormat/>
    <w:uiPriority w:val="99"/>
    <w:rPr>
      <w:rFonts w:hint="default" w:ascii="Times New Roman" w:hAnsi="Times New Roman" w:cs="Times New Roman"/>
      <w:sz w:val="24"/>
      <w:szCs w:val="24"/>
    </w:rPr>
  </w:style>
  <w:style w:type="character" w:customStyle="1" w:styleId="216">
    <w:name w:val="正文文本缩进 3 Char1"/>
    <w:qFormat/>
    <w:uiPriority w:val="0"/>
    <w:rPr>
      <w:rFonts w:hint="default" w:ascii="Times New Roman" w:hAnsi="Times New Roman" w:cs="Times New Roman"/>
      <w:sz w:val="16"/>
      <w:szCs w:val="16"/>
    </w:rPr>
  </w:style>
  <w:style w:type="character" w:customStyle="1" w:styleId="217">
    <w:name w:val="s10pv000000"/>
    <w:qFormat/>
    <w:uiPriority w:val="0"/>
  </w:style>
  <w:style w:type="character" w:customStyle="1" w:styleId="218">
    <w:name w:val="no62"/>
    <w:qFormat/>
    <w:uiPriority w:val="99"/>
    <w:rPr>
      <w:rFonts w:hint="default" w:ascii="Times New Roman" w:hAnsi="Times New Roman" w:cs="Times New Roman"/>
    </w:rPr>
  </w:style>
  <w:style w:type="character" w:customStyle="1" w:styleId="219">
    <w:name w:val="no42"/>
    <w:qFormat/>
    <w:uiPriority w:val="99"/>
    <w:rPr>
      <w:rFonts w:hint="default" w:ascii="Times New Roman" w:hAnsi="Times New Roman" w:cs="Times New Roman"/>
    </w:rPr>
  </w:style>
  <w:style w:type="character" w:customStyle="1" w:styleId="220">
    <w:name w:val="ico-jiang"/>
    <w:qFormat/>
    <w:uiPriority w:val="99"/>
    <w:rPr>
      <w:rFonts w:hint="default" w:ascii="Times New Roman" w:hAnsi="Times New Roman" w:cs="Times New Roman"/>
    </w:rPr>
  </w:style>
  <w:style w:type="character" w:customStyle="1" w:styleId="221">
    <w:name w:val="批注文字 Char2"/>
    <w:qFormat/>
    <w:uiPriority w:val="0"/>
    <w:rPr>
      <w:rFonts w:hint="default" w:ascii="Times New Roman" w:hAnsi="Times New Roman" w:eastAsia="宋体" w:cs="Times New Roman"/>
      <w:kern w:val="0"/>
      <w:sz w:val="20"/>
      <w:szCs w:val="20"/>
    </w:rPr>
  </w:style>
  <w:style w:type="character" w:customStyle="1" w:styleId="222">
    <w:name w:val="标题 3 Char1"/>
    <w:qFormat/>
    <w:locked/>
    <w:uiPriority w:val="0"/>
    <w:rPr>
      <w:rFonts w:hint="default" w:ascii="Times New Roman" w:hAnsi="Times New Roman" w:eastAsia="宋体" w:cs="Times New Roman"/>
      <w:b/>
      <w:bCs/>
      <w:kern w:val="0"/>
      <w:sz w:val="32"/>
      <w:szCs w:val="32"/>
    </w:rPr>
  </w:style>
  <w:style w:type="character" w:customStyle="1" w:styleId="223">
    <w:name w:val="文档结构图 Char1"/>
    <w:qFormat/>
    <w:locked/>
    <w:uiPriority w:val="99"/>
    <w:rPr>
      <w:rFonts w:hint="default" w:ascii="Times New Roman" w:hAnsi="Times New Roman" w:cs="Times New Roman"/>
      <w:shd w:val="clear" w:color="auto" w:fill="000080"/>
    </w:rPr>
  </w:style>
  <w:style w:type="character" w:customStyle="1" w:styleId="224">
    <w:name w:val="orange5"/>
    <w:qFormat/>
    <w:uiPriority w:val="99"/>
    <w:rPr>
      <w:color w:val="auto"/>
    </w:rPr>
  </w:style>
  <w:style w:type="character" w:customStyle="1" w:styleId="225">
    <w:name w:val="qq_login_logo"/>
    <w:qFormat/>
    <w:uiPriority w:val="0"/>
  </w:style>
  <w:style w:type="character" w:customStyle="1" w:styleId="226">
    <w:name w:val="bds_nopic"/>
    <w:qFormat/>
    <w:uiPriority w:val="99"/>
  </w:style>
  <w:style w:type="character" w:customStyle="1" w:styleId="227">
    <w:name w:val="正文文本 3 Char1"/>
    <w:qFormat/>
    <w:uiPriority w:val="0"/>
    <w:rPr>
      <w:rFonts w:hint="default" w:ascii="Times New Roman" w:hAnsi="Times New Roman" w:cs="Times New Roman"/>
      <w:sz w:val="16"/>
      <w:szCs w:val="16"/>
    </w:rPr>
  </w:style>
  <w:style w:type="character" w:customStyle="1" w:styleId="228">
    <w:name w:val="fontstrikethrough"/>
    <w:qFormat/>
    <w:uiPriority w:val="99"/>
    <w:rPr>
      <w:strike/>
    </w:rPr>
  </w:style>
  <w:style w:type="character" w:customStyle="1" w:styleId="229">
    <w:name w:val="正文文本 Char1"/>
    <w:qFormat/>
    <w:uiPriority w:val="0"/>
    <w:rPr>
      <w:rFonts w:hint="default" w:ascii="Times New Roman" w:hAnsi="Times New Roman" w:cs="Times New Roman"/>
      <w:szCs w:val="24"/>
    </w:rPr>
  </w:style>
  <w:style w:type="character" w:customStyle="1" w:styleId="230">
    <w:name w:val="selected8"/>
    <w:qFormat/>
    <w:uiPriority w:val="0"/>
    <w:rPr>
      <w:color w:val="010101"/>
      <w:shd w:val="clear" w:color="auto" w:fill="FFFFFF"/>
    </w:rPr>
  </w:style>
  <w:style w:type="character" w:customStyle="1" w:styleId="231">
    <w:name w:val="Heading 3 Char"/>
    <w:qFormat/>
    <w:locked/>
    <w:uiPriority w:val="0"/>
    <w:rPr>
      <w:rFonts w:hint="eastAsia" w:ascii="宋体" w:hAnsi="宋体" w:eastAsia="宋体"/>
      <w:b/>
      <w:sz w:val="32"/>
      <w:lang w:val="en-US" w:eastAsia="zh-CN" w:bidi="ar-SA"/>
    </w:rPr>
  </w:style>
  <w:style w:type="character" w:customStyle="1" w:styleId="232">
    <w:name w:val="no72"/>
    <w:qFormat/>
    <w:uiPriority w:val="99"/>
    <w:rPr>
      <w:rFonts w:hint="default" w:ascii="Times New Roman" w:hAnsi="Times New Roman" w:cs="Times New Roman"/>
    </w:rPr>
  </w:style>
  <w:style w:type="character" w:customStyle="1" w:styleId="233">
    <w:name w:val="纯文本 Char1"/>
    <w:qFormat/>
    <w:uiPriority w:val="0"/>
    <w:rPr>
      <w:rFonts w:hint="eastAsia" w:ascii="宋体" w:hAnsi="Courier New" w:eastAsia="宋体"/>
      <w:szCs w:val="21"/>
    </w:rPr>
  </w:style>
  <w:style w:type="character" w:customStyle="1" w:styleId="234">
    <w:name w:val="org_name"/>
    <w:qFormat/>
    <w:uiPriority w:val="99"/>
    <w:rPr>
      <w:rFonts w:hint="default" w:ascii="Times New Roman" w:hAnsi="Times New Roman" w:cs="Times New Roman"/>
    </w:rPr>
  </w:style>
  <w:style w:type="character" w:customStyle="1" w:styleId="235">
    <w:name w:val="cur1"/>
    <w:qFormat/>
    <w:uiPriority w:val="0"/>
    <w:rPr>
      <w:b/>
      <w:color w:val="FFFFFF"/>
      <w:shd w:val="clear" w:color="auto" w:fill="AAAAAA"/>
    </w:rPr>
  </w:style>
  <w:style w:type="character" w:customStyle="1" w:styleId="236">
    <w:name w:val="批注主题 Char1"/>
    <w:qFormat/>
    <w:locked/>
    <w:uiPriority w:val="0"/>
    <w:rPr>
      <w:rFonts w:hint="default" w:ascii="Times New Roman" w:hAnsi="Times New Roman" w:cs="Times New Roman"/>
      <w:b/>
      <w:bCs/>
    </w:rPr>
  </w:style>
  <w:style w:type="character" w:customStyle="1" w:styleId="237">
    <w:name w:val="bds_more2"/>
    <w:qFormat/>
    <w:uiPriority w:val="99"/>
  </w:style>
  <w:style w:type="character" w:customStyle="1" w:styleId="238">
    <w:name w:val="日期 Char1"/>
    <w:qFormat/>
    <w:uiPriority w:val="0"/>
    <w:rPr>
      <w:rFonts w:hint="eastAsia" w:ascii="宋体" w:hAnsi="Times New Roman" w:eastAsia="宋体"/>
    </w:rPr>
  </w:style>
  <w:style w:type="character" w:customStyle="1" w:styleId="239">
    <w:name w:val="fontborder"/>
    <w:qFormat/>
    <w:uiPriority w:val="99"/>
    <w:rPr>
      <w:bdr w:val="single" w:color="000000" w:sz="6" w:space="0"/>
    </w:rPr>
  </w:style>
  <w:style w:type="character" w:customStyle="1" w:styleId="240">
    <w:name w:val="bds_more"/>
    <w:qFormat/>
    <w:uiPriority w:val="99"/>
  </w:style>
  <w:style w:type="character" w:customStyle="1" w:styleId="241">
    <w:name w:val="Footer Char"/>
    <w:qFormat/>
    <w:locked/>
    <w:uiPriority w:val="0"/>
    <w:rPr>
      <w:rFonts w:hint="eastAsia" w:ascii="宋体" w:hAnsi="宋体" w:eastAsia="宋体"/>
      <w:sz w:val="18"/>
      <w:szCs w:val="18"/>
      <w:lang w:val="en-US" w:eastAsia="zh-CN" w:bidi="ar-SA"/>
    </w:rPr>
  </w:style>
  <w:style w:type="character" w:customStyle="1" w:styleId="242">
    <w:name w:val="bds_nopic2"/>
    <w:qFormat/>
    <w:uiPriority w:val="99"/>
    <w:rPr>
      <w:rFonts w:hint="default" w:ascii="Times New Roman" w:hAnsi="Times New Roman" w:cs="Times New Roman"/>
    </w:rPr>
  </w:style>
  <w:style w:type="character" w:customStyle="1" w:styleId="243">
    <w:name w:val="weby11"/>
    <w:qFormat/>
    <w:uiPriority w:val="0"/>
    <w:rPr>
      <w:sz w:val="18"/>
      <w:szCs w:val="18"/>
    </w:rPr>
  </w:style>
  <w:style w:type="character" w:customStyle="1" w:styleId="244">
    <w:name w:val="my-class"/>
    <w:qFormat/>
    <w:uiPriority w:val="99"/>
    <w:rPr>
      <w:rFonts w:hint="default" w:ascii="Times New Roman" w:hAnsi="Times New Roman" w:cs="Times New Roman"/>
    </w:rPr>
  </w:style>
  <w:style w:type="character" w:customStyle="1" w:styleId="245">
    <w:name w:val="f141"/>
    <w:qFormat/>
    <w:uiPriority w:val="0"/>
    <w:rPr>
      <w:sz w:val="21"/>
      <w:szCs w:val="21"/>
    </w:rPr>
  </w:style>
  <w:style w:type="character" w:customStyle="1" w:styleId="246">
    <w:name w:val="tip12"/>
    <w:qFormat/>
    <w:uiPriority w:val="99"/>
    <w:rPr>
      <w:vanish/>
      <w:color w:val="FF0000"/>
      <w:sz w:val="18"/>
    </w:rPr>
  </w:style>
  <w:style w:type="character" w:customStyle="1" w:styleId="247">
    <w:name w:val="ui-bz-bg-hover"/>
    <w:qFormat/>
    <w:uiPriority w:val="99"/>
    <w:rPr>
      <w:shd w:val="clear" w:color="auto" w:fill="000000"/>
    </w:rPr>
  </w:style>
  <w:style w:type="character" w:customStyle="1" w:styleId="248">
    <w:name w:val="正文文本缩进 Char1"/>
    <w:qFormat/>
    <w:uiPriority w:val="0"/>
    <w:rPr>
      <w:rFonts w:hint="default" w:ascii="Times New Roman" w:hAnsi="Times New Roman" w:cs="Times New Roman"/>
      <w:sz w:val="24"/>
      <w:szCs w:val="24"/>
    </w:rPr>
  </w:style>
  <w:style w:type="character" w:customStyle="1" w:styleId="249">
    <w:name w:val="ico-jiang1"/>
    <w:qFormat/>
    <w:uiPriority w:val="99"/>
    <w:rPr>
      <w:rFonts w:hint="default" w:ascii="Times New Roman" w:hAnsi="Times New Roman" w:cs="Times New Roman"/>
    </w:rPr>
  </w:style>
  <w:style w:type="character" w:customStyle="1" w:styleId="250">
    <w:name w:val="f-star"/>
    <w:qFormat/>
    <w:uiPriority w:val="99"/>
    <w:rPr>
      <w:color w:val="auto"/>
      <w:sz w:val="21"/>
    </w:rPr>
  </w:style>
  <w:style w:type="character" w:customStyle="1" w:styleId="251">
    <w:name w:val="font41"/>
    <w:uiPriority w:val="0"/>
    <w:rPr>
      <w:rFonts w:hint="eastAsia" w:ascii="等线" w:hAnsi="等线" w:eastAsia="等线" w:cs="等线"/>
      <w:b/>
      <w:bCs/>
      <w:color w:val="000000"/>
      <w:sz w:val="18"/>
      <w:szCs w:val="18"/>
      <w:u w:val="none"/>
    </w:rPr>
  </w:style>
  <w:style w:type="character" w:customStyle="1" w:styleId="252">
    <w:name w:val="font61"/>
    <w:uiPriority w:val="0"/>
    <w:rPr>
      <w:rFonts w:hint="eastAsia" w:ascii="等线" w:hAnsi="等线" w:eastAsia="等线" w:cs="等线"/>
      <w:color w:val="000000"/>
      <w:sz w:val="18"/>
      <w:szCs w:val="18"/>
      <w:u w:val="none"/>
    </w:rPr>
  </w:style>
  <w:style w:type="character" w:customStyle="1" w:styleId="253">
    <w:name w:val="二级标题 字符"/>
    <w:link w:val="254"/>
    <w:uiPriority w:val="0"/>
    <w:rPr>
      <w:rFonts w:eastAsia="楷体_GB2312"/>
      <w:b/>
      <w:sz w:val="28"/>
      <w:szCs w:val="28"/>
    </w:rPr>
  </w:style>
  <w:style w:type="paragraph" w:customStyle="1" w:styleId="254">
    <w:name w:val="二级标题"/>
    <w:basedOn w:val="1"/>
    <w:link w:val="253"/>
    <w:qFormat/>
    <w:uiPriority w:val="0"/>
    <w:pPr>
      <w:widowControl w:val="0"/>
      <w:numPr>
        <w:ilvl w:val="1"/>
        <w:numId w:val="5"/>
      </w:numPr>
      <w:adjustRightInd/>
      <w:snapToGrid/>
      <w:spacing w:after="0"/>
      <w:outlineLvl w:val="1"/>
    </w:pPr>
    <w:rPr>
      <w:rFonts w:eastAsia="楷体_GB2312" w:asciiTheme="minorHAnsi" w:hAnsiTheme="minorHAnsi" w:cstheme="minorBidi"/>
      <w:b/>
      <w:kern w:val="2"/>
      <w:sz w:val="28"/>
      <w:szCs w:val="28"/>
    </w:rPr>
  </w:style>
  <w:style w:type="character" w:customStyle="1" w:styleId="255">
    <w:name w:val="三级标题 字符"/>
    <w:link w:val="256"/>
    <w:uiPriority w:val="0"/>
    <w:rPr>
      <w:rFonts w:ascii="仿宋_GB2312" w:hAnsi="仿宋" w:eastAsia="仿宋_GB2312"/>
      <w:b/>
      <w:sz w:val="28"/>
      <w:szCs w:val="28"/>
    </w:rPr>
  </w:style>
  <w:style w:type="paragraph" w:customStyle="1" w:styleId="256">
    <w:name w:val="三级标题"/>
    <w:basedOn w:val="1"/>
    <w:link w:val="255"/>
    <w:qFormat/>
    <w:uiPriority w:val="0"/>
    <w:pPr>
      <w:widowControl w:val="0"/>
      <w:numPr>
        <w:ilvl w:val="2"/>
        <w:numId w:val="5"/>
      </w:numPr>
      <w:adjustRightInd/>
      <w:snapToGrid/>
      <w:spacing w:after="0"/>
      <w:outlineLvl w:val="2"/>
    </w:pPr>
    <w:rPr>
      <w:rFonts w:ascii="仿宋_GB2312" w:hAnsi="仿宋" w:eastAsia="仿宋_GB2312" w:cstheme="minorBidi"/>
      <w:b/>
      <w:kern w:val="2"/>
      <w:sz w:val="28"/>
      <w:szCs w:val="28"/>
    </w:rPr>
  </w:style>
  <w:style w:type="paragraph" w:customStyle="1" w:styleId="257">
    <w:name w:val="一级标题"/>
    <w:basedOn w:val="1"/>
    <w:qFormat/>
    <w:uiPriority w:val="0"/>
    <w:pPr>
      <w:widowControl w:val="0"/>
      <w:numPr>
        <w:ilvl w:val="0"/>
        <w:numId w:val="5"/>
      </w:numPr>
      <w:adjustRightInd/>
      <w:snapToGrid/>
      <w:spacing w:after="0"/>
      <w:outlineLvl w:val="0"/>
    </w:pPr>
    <w:rPr>
      <w:rFonts w:ascii="Times New Roman" w:hAnsi="Times New Roman" w:eastAsia="黑体"/>
      <w:b/>
      <w:bCs/>
      <w:kern w:val="2"/>
      <w:sz w:val="30"/>
      <w:szCs w:val="30"/>
    </w:rPr>
  </w:style>
  <w:style w:type="paragraph" w:customStyle="1" w:styleId="258">
    <w:name w:val="本文正文"/>
    <w:basedOn w:val="1"/>
    <w:qFormat/>
    <w:uiPriority w:val="0"/>
    <w:pPr>
      <w:widowControl w:val="0"/>
      <w:adjustRightInd/>
      <w:snapToGrid/>
      <w:spacing w:after="0"/>
      <w:ind w:firstLine="560" w:firstLineChars="200"/>
    </w:pPr>
    <w:rPr>
      <w:rFonts w:ascii="Times New Roman" w:hAnsi="Times New Roman" w:eastAsia="楷体_GB2312"/>
      <w:iCs/>
      <w:kern w:val="2"/>
      <w:sz w:val="28"/>
      <w:szCs w:val="28"/>
    </w:rPr>
  </w:style>
  <w:style w:type="character" w:customStyle="1" w:styleId="259">
    <w:name w:val="方案正文 Char"/>
    <w:link w:val="260"/>
    <w:qFormat/>
    <w:uiPriority w:val="0"/>
    <w:rPr>
      <w:rFonts w:eastAsia="楷体_GB2312"/>
      <w:iCs/>
      <w:sz w:val="28"/>
      <w:szCs w:val="28"/>
      <w:lang w:val="en-GB"/>
    </w:rPr>
  </w:style>
  <w:style w:type="paragraph" w:customStyle="1" w:styleId="260">
    <w:name w:val="方案正文"/>
    <w:basedOn w:val="258"/>
    <w:link w:val="259"/>
    <w:qFormat/>
    <w:uiPriority w:val="0"/>
    <w:rPr>
      <w:rFonts w:asciiTheme="minorHAnsi" w:hAnsiTheme="minorHAnsi" w:cstheme="minorBidi"/>
      <w:lang w:val="en-GB"/>
    </w:rPr>
  </w:style>
  <w:style w:type="character" w:customStyle="1" w:styleId="261">
    <w:name w:val="表格 字符"/>
    <w:link w:val="145"/>
    <w:qFormat/>
    <w:uiPriority w:val="0"/>
    <w:rPr>
      <w:rFonts w:ascii="宋体" w:hAnsi="宋体" w:eastAsia="宋体" w:cs="Times New Roman"/>
      <w:bCs/>
      <w:spacing w:val="-12"/>
      <w:szCs w:val="24"/>
    </w:rPr>
  </w:style>
  <w:style w:type="paragraph" w:customStyle="1" w:styleId="262">
    <w:name w:val="五级标题"/>
    <w:basedOn w:val="7"/>
    <w:qFormat/>
    <w:uiPriority w:val="0"/>
    <w:pPr>
      <w:widowControl w:val="0"/>
      <w:numPr>
        <w:ilvl w:val="4"/>
        <w:numId w:val="5"/>
      </w:numPr>
      <w:spacing w:before="50" w:beforeLines="50" w:after="50" w:afterLines="50" w:line="240" w:lineRule="auto"/>
      <w:ind w:left="1009"/>
      <w:contextualSpacing/>
    </w:pPr>
    <w:rPr>
      <w:rFonts w:eastAsia="黑体"/>
      <w:b w:val="0"/>
      <w:kern w:val="2"/>
      <w:sz w:val="24"/>
      <w:lang w:val="en-GB"/>
    </w:rPr>
  </w:style>
  <w:style w:type="paragraph" w:customStyle="1" w:styleId="263">
    <w:name w:val="四级标题"/>
    <w:basedOn w:val="6"/>
    <w:qFormat/>
    <w:uiPriority w:val="0"/>
    <w:pPr>
      <w:widowControl w:val="0"/>
      <w:numPr>
        <w:ilvl w:val="3"/>
        <w:numId w:val="5"/>
      </w:numPr>
      <w:spacing w:before="156" w:beforeLines="50" w:after="156" w:afterLines="50" w:line="240" w:lineRule="auto"/>
      <w:contextualSpacing/>
      <w:jc w:val="both"/>
    </w:pPr>
    <w:rPr>
      <w:rFonts w:ascii="Times New Roman" w:hAnsi="Times New Roman"/>
      <w:b w:val="0"/>
      <w:kern w:val="2"/>
      <w:lang w:val="en-GB"/>
    </w:rPr>
  </w:style>
  <w:style w:type="paragraph" w:customStyle="1" w:styleId="264">
    <w:name w:val="六级标题"/>
    <w:basedOn w:val="8"/>
    <w:qFormat/>
    <w:uiPriority w:val="0"/>
    <w:pPr>
      <w:widowControl w:val="0"/>
      <w:numPr>
        <w:ilvl w:val="5"/>
        <w:numId w:val="5"/>
      </w:numPr>
      <w:spacing w:before="50" w:beforeLines="50" w:after="50" w:afterLines="50" w:line="240" w:lineRule="auto"/>
      <w:contextualSpacing/>
      <w:jc w:val="both"/>
    </w:pPr>
    <w:rPr>
      <w:rFonts w:ascii="Times New Roman" w:hAnsi="Times New Roman"/>
      <w:b w:val="0"/>
      <w:kern w:val="2"/>
      <w:lang w:val="en-GB"/>
    </w:rPr>
  </w:style>
  <w:style w:type="paragraph" w:customStyle="1" w:styleId="265">
    <w:name w:val="修订2"/>
    <w:hidden/>
    <w:semiHidden/>
    <w:uiPriority w:val="99"/>
    <w:rPr>
      <w:rFonts w:ascii="Tahoma" w:hAnsi="Tahoma" w:eastAsia="微软雅黑" w:cs="Times New Roman"/>
      <w:sz w:val="22"/>
      <w:szCs w:val="22"/>
      <w:lang w:val="en-US" w:eastAsia="zh-CN" w:bidi="ar-SA"/>
    </w:rPr>
  </w:style>
  <w:style w:type="paragraph" w:customStyle="1" w:styleId="266">
    <w:name w:val="修订3"/>
    <w:hidden/>
    <w:semiHidden/>
    <w:uiPriority w:val="99"/>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30327</Words>
  <Characters>31109</Characters>
  <Lines>254</Lines>
  <Paragraphs>71</Paragraphs>
  <TotalTime>0</TotalTime>
  <ScaleCrop>false</ScaleCrop>
  <LinksUpToDate>false</LinksUpToDate>
  <CharactersWithSpaces>33442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2022-06-20T02:02:00Z</dcterms:created>
  <dc:creator>Digital</dc:creator>
  <cp:lastModifiedBy>宝诚代理</cp:lastModifiedBy>
  <dcterms:modified xsi:type="dcterms:W3CDTF">2022-06-24T01:33:07Z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0F765DADC1C64BA182B69FC3755A0087</vt:lpwstr>
  </property>
</Properties>
</file>