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华文中宋"/>
          <w:b/>
          <w:bCs/>
          <w:sz w:val="72"/>
          <w:szCs w:val="72"/>
        </w:rPr>
      </w:pPr>
      <w:r>
        <w:rPr>
          <w:rFonts w:hint="eastAsia" w:ascii="黑体" w:hAnsi="黑体" w:eastAsia="黑体"/>
          <w:sz w:val="24"/>
        </w:rPr>
        <w:drawing>
          <wp:anchor distT="0" distB="0" distL="114300" distR="114300" simplePos="0" relativeHeight="251654144" behindDoc="0" locked="0" layoutInCell="1" allowOverlap="1">
            <wp:simplePos x="0" y="0"/>
            <wp:positionH relativeFrom="column">
              <wp:posOffset>20320</wp:posOffset>
            </wp:positionH>
            <wp:positionV relativeFrom="paragraph">
              <wp:posOffset>-248920</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8" cstate="print"/>
                    <a:stretch>
                      <a:fillRect/>
                    </a:stretch>
                  </pic:blipFill>
                  <pic:spPr>
                    <a:xfrm>
                      <a:off x="0" y="0"/>
                      <a:ext cx="563880" cy="563880"/>
                    </a:xfrm>
                    <a:prstGeom prst="rect">
                      <a:avLst/>
                    </a:prstGeom>
                    <a:noFill/>
                    <a:ln w="9525">
                      <a:noFill/>
                    </a:ln>
                  </pic:spPr>
                </pic:pic>
              </a:graphicData>
            </a:graphic>
          </wp:anchor>
        </w:drawing>
      </w:r>
    </w:p>
    <w:p>
      <w:pPr>
        <w:snapToGrid w:val="0"/>
        <w:jc w:val="center"/>
        <w:rPr>
          <w:rFonts w:ascii="宋体" w:hAnsi="宋体" w:cs="华文中宋"/>
          <w:b/>
          <w:bCs/>
          <w:color w:val="FF0000"/>
          <w:sz w:val="72"/>
          <w:szCs w:val="72"/>
        </w:rPr>
      </w:pPr>
    </w:p>
    <w:p>
      <w:pPr>
        <w:pStyle w:val="2"/>
      </w:pPr>
    </w:p>
    <w:p>
      <w:pPr>
        <w:snapToGrid w:val="0"/>
        <w:jc w:val="center"/>
        <w:rPr>
          <w:rFonts w:ascii="宋体" w:hAnsi="宋体" w:cs="华文中宋"/>
          <w:b/>
          <w:bCs/>
          <w:sz w:val="72"/>
          <w:szCs w:val="72"/>
        </w:rPr>
      </w:pPr>
    </w:p>
    <w:p>
      <w:pPr>
        <w:snapToGrid w:val="0"/>
        <w:jc w:val="center"/>
        <w:rPr>
          <w:rFonts w:ascii="宋体" w:hAnsi="宋体" w:cs="华文中宋"/>
          <w:b/>
          <w:bCs/>
          <w:sz w:val="72"/>
          <w:szCs w:val="72"/>
        </w:rPr>
      </w:pPr>
      <w:r>
        <w:rPr>
          <w:rFonts w:hint="eastAsia" w:ascii="宋体" w:hAnsi="宋体" w:cs="华文中宋"/>
          <w:b/>
          <w:bCs/>
          <w:sz w:val="72"/>
          <w:szCs w:val="72"/>
        </w:rPr>
        <w:t>货物类</w:t>
      </w:r>
    </w:p>
    <w:p>
      <w:pPr>
        <w:snapToGrid w:val="0"/>
        <w:jc w:val="center"/>
        <w:rPr>
          <w:rFonts w:ascii="宋体" w:hAns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hAnsi="宋体"/>
          <w:b/>
          <w:bCs/>
          <w:sz w:val="28"/>
          <w:szCs w:val="28"/>
        </w:rPr>
      </w:pPr>
    </w:p>
    <w:p>
      <w:pPr>
        <w:spacing w:line="48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5"/>
        <w:spacing w:line="360" w:lineRule="auto"/>
        <w:ind w:firstLine="745" w:firstLineChars="232"/>
        <w:jc w:val="left"/>
        <w:rPr>
          <w:rFonts w:ascii="宋体" w:hAnsi="宋体"/>
          <w:b/>
          <w:sz w:val="32"/>
        </w:rPr>
      </w:pPr>
      <w:r>
        <w:rPr>
          <w:rFonts w:hint="eastAsia" w:ascii="宋体" w:hAnsi="宋体"/>
          <w:b/>
          <w:sz w:val="32"/>
        </w:rPr>
        <w:t>项目编号：GZBC21HG01005</w:t>
      </w:r>
    </w:p>
    <w:p>
      <w:pPr>
        <w:pStyle w:val="5"/>
        <w:spacing w:line="360" w:lineRule="auto"/>
        <w:ind w:firstLine="745" w:firstLineChars="232"/>
        <w:jc w:val="left"/>
        <w:rPr>
          <w:rFonts w:ascii="宋体" w:hAnsi="宋体"/>
          <w:b/>
          <w:sz w:val="32"/>
        </w:rPr>
      </w:pPr>
      <w:r>
        <w:rPr>
          <w:rFonts w:hint="eastAsia" w:ascii="宋体" w:hAnsi="宋体"/>
          <w:b/>
          <w:sz w:val="32"/>
        </w:rPr>
        <w:t>项目名称：广州市地质灾害在册隐患点专业监测设备采购</w:t>
      </w:r>
    </w:p>
    <w:p>
      <w:pPr>
        <w:pStyle w:val="5"/>
        <w:spacing w:line="360" w:lineRule="auto"/>
        <w:rPr>
          <w:rFonts w:ascii="宋体" w:hAnsi="宋体"/>
          <w:b/>
          <w:sz w:val="32"/>
        </w:rPr>
      </w:pPr>
    </w:p>
    <w:p>
      <w:pPr>
        <w:spacing w:line="360" w:lineRule="auto"/>
        <w:rPr>
          <w:rFonts w:ascii="宋体" w:hAnsi="宋体"/>
          <w:sz w:val="30"/>
        </w:rPr>
      </w:pPr>
    </w:p>
    <w:p>
      <w:pPr>
        <w:snapToGrid w:val="0"/>
        <w:spacing w:line="360" w:lineRule="auto"/>
        <w:jc w:val="center"/>
        <w:rPr>
          <w:rFonts w:ascii="宋体" w:hAnsi="宋体" w:cs="华文中宋"/>
          <w:sz w:val="30"/>
          <w:szCs w:val="30"/>
        </w:rPr>
      </w:pPr>
      <w:r>
        <w:rPr>
          <w:rFonts w:hint="eastAsia" w:ascii="宋体" w:hAnsi="宋体" w:cs="华文中宋"/>
          <w:sz w:val="30"/>
          <w:szCs w:val="30"/>
        </w:rPr>
        <w:t>广州宝诚招标代理咨询有限公司</w:t>
      </w:r>
    </w:p>
    <w:p>
      <w:pPr>
        <w:jc w:val="center"/>
        <w:rPr>
          <w:rFonts w:ascii="宋体" w:hAnsi="宋体" w:cs="华文中宋"/>
          <w:sz w:val="30"/>
          <w:szCs w:val="30"/>
        </w:rPr>
      </w:pPr>
      <w:r>
        <w:rPr>
          <w:rFonts w:hint="eastAsia" w:ascii="宋体" w:hAnsi="宋体" w:cs="华文中宋"/>
          <w:sz w:val="30"/>
          <w:szCs w:val="30"/>
        </w:rPr>
        <w:t>发布日期：2021</w:t>
      </w:r>
      <w:r>
        <w:rPr>
          <w:rFonts w:ascii="宋体" w:hAnsi="宋体" w:cs="华文中宋"/>
          <w:sz w:val="30"/>
          <w:szCs w:val="30"/>
        </w:rPr>
        <w:t>年</w:t>
      </w:r>
      <w:r>
        <w:rPr>
          <w:rFonts w:hint="eastAsia" w:ascii="宋体" w:hAnsi="宋体" w:cs="华文中宋"/>
          <w:sz w:val="30"/>
          <w:szCs w:val="30"/>
          <w:lang w:val="en-US" w:eastAsia="zh-CN"/>
        </w:rPr>
        <w:t>3</w:t>
      </w:r>
      <w:r>
        <w:rPr>
          <w:rFonts w:ascii="宋体" w:hAnsi="宋体" w:cs="华文中宋"/>
          <w:sz w:val="30"/>
          <w:szCs w:val="30"/>
        </w:rPr>
        <w:t>月</w:t>
      </w:r>
      <w:r>
        <w:rPr>
          <w:rFonts w:hint="eastAsia" w:ascii="宋体" w:hAnsi="宋体" w:cs="华文中宋"/>
          <w:sz w:val="30"/>
          <w:szCs w:val="30"/>
          <w:lang w:val="en-US" w:eastAsia="zh-CN"/>
        </w:rPr>
        <w:t>4</w:t>
      </w:r>
      <w:r>
        <w:rPr>
          <w:rFonts w:hint="eastAsia" w:ascii="宋体" w:hAnsi="宋体" w:cs="华文中宋"/>
          <w:sz w:val="30"/>
          <w:szCs w:val="30"/>
        </w:rPr>
        <w:t>日</w:t>
      </w:r>
    </w:p>
    <w:p>
      <w:pPr>
        <w:autoSpaceDE w:val="0"/>
        <w:autoSpaceDN w:val="0"/>
        <w:adjustRightInd w:val="0"/>
        <w:snapToGrid w:val="0"/>
        <w:spacing w:before="156" w:beforeLines="50" w:after="156" w:afterLines="50" w:line="360" w:lineRule="auto"/>
        <w:jc w:val="center"/>
        <w:rPr>
          <w:rFonts w:ascii="宋体" w:hAnsi="宋体"/>
          <w:b/>
          <w:sz w:val="44"/>
          <w:szCs w:val="44"/>
        </w:rPr>
      </w:pPr>
      <w:r>
        <w:rPr>
          <w:rFonts w:hint="eastAsia" w:ascii="宋体" w:hAnsi="宋体"/>
          <w:b/>
          <w:sz w:val="44"/>
          <w:szCs w:val="44"/>
        </w:rPr>
        <w:br w:type="page"/>
      </w:r>
    </w:p>
    <w:p>
      <w:pPr>
        <w:autoSpaceDE w:val="0"/>
        <w:autoSpaceDN w:val="0"/>
        <w:adjustRightInd w:val="0"/>
        <w:snapToGrid w:val="0"/>
        <w:spacing w:before="156" w:beforeLines="50" w:after="156" w:afterLines="50" w:line="360" w:lineRule="auto"/>
        <w:jc w:val="center"/>
        <w:rPr>
          <w:rFonts w:ascii="宋体" w:hAnsi="宋体"/>
          <w:b/>
          <w:sz w:val="44"/>
          <w:szCs w:val="44"/>
        </w:rPr>
      </w:pPr>
      <w:r>
        <w:rPr>
          <w:rFonts w:hint="eastAsia" w:ascii="宋体" w:hAnsi="宋体"/>
          <w:b/>
          <w:sz w:val="44"/>
          <w:szCs w:val="44"/>
        </w:rPr>
        <w:t>温馨提示！！！</w:t>
      </w:r>
    </w:p>
    <w:p>
      <w:pPr>
        <w:tabs>
          <w:tab w:val="left" w:pos="0"/>
        </w:tabs>
        <w:adjustRightInd w:val="0"/>
        <w:snapToGrid w:val="0"/>
        <w:spacing w:line="360" w:lineRule="auto"/>
        <w:jc w:val="center"/>
        <w:rPr>
          <w:rFonts w:ascii="宋体" w:hAns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如无另行说明，提交投标文件时间为投标截止时间</w:t>
      </w:r>
      <w:r>
        <w:rPr>
          <w:rFonts w:hint="eastAsia" w:ascii="宋体" w:hAnsi="宋体"/>
          <w:b/>
          <w:szCs w:val="21"/>
          <w:u w:val="single"/>
        </w:rPr>
        <w:t>前30分钟</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投标人为中型、小型、微型企业的，请提交《中小企业声明函》。</w:t>
      </w:r>
    </w:p>
    <w:p>
      <w:pPr>
        <w:numPr>
          <w:ilvl w:val="0"/>
          <w:numId w:val="2"/>
        </w:numPr>
        <w:tabs>
          <w:tab w:val="left" w:pos="709"/>
        </w:tabs>
        <w:adjustRightInd w:val="0"/>
        <w:snapToGrid w:val="0"/>
        <w:spacing w:line="360" w:lineRule="auto"/>
        <w:ind w:left="700" w:hanging="700"/>
        <w:rPr>
          <w:rFonts w:ascii="宋体" w:hAnsi="宋体"/>
          <w:b/>
          <w:szCs w:val="21"/>
        </w:rPr>
      </w:pPr>
      <w:r>
        <w:rPr>
          <w:rFonts w:hint="eastAsia" w:ascii="宋体" w:hAnsi="宋体"/>
          <w:szCs w:val="21"/>
        </w:rPr>
        <w:t>投标人如需对项目提出询问或质疑，应在规定时间内按招标文件附件中的询问函和质疑函的格式提交。</w:t>
      </w:r>
    </w:p>
    <w:p>
      <w:pPr>
        <w:tabs>
          <w:tab w:val="left" w:pos="709"/>
        </w:tabs>
        <w:adjustRightInd w:val="0"/>
        <w:snapToGrid w:val="0"/>
        <w:spacing w:line="360" w:lineRule="auto"/>
        <w:ind w:left="632" w:hanging="632" w:hangingChars="300"/>
        <w:rPr>
          <w:rFonts w:ascii="宋体"/>
          <w:b/>
          <w:szCs w:val="21"/>
        </w:rPr>
      </w:pPr>
      <w:r>
        <w:rPr>
          <w:rFonts w:hint="eastAsia" w:ascii="宋体" w:hAnsi="宋体"/>
          <w:b/>
          <w:szCs w:val="21"/>
        </w:rPr>
        <w:t>九、招标代理服务费发票类型开具须知：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rPr>
          <w:rFonts w:ascii="宋体" w:hAnsi="宋体"/>
          <w:b/>
          <w:sz w:val="44"/>
          <w:szCs w:val="44"/>
        </w:rPr>
      </w:pPr>
    </w:p>
    <w:p>
      <w:pPr>
        <w:tabs>
          <w:tab w:val="left" w:pos="709"/>
        </w:tabs>
        <w:adjustRightInd w:val="0"/>
        <w:snapToGrid w:val="0"/>
        <w:spacing w:line="360" w:lineRule="auto"/>
        <w:jc w:val="center"/>
        <w:rPr>
          <w:rFonts w:ascii="宋体" w:hAnsi="宋体"/>
          <w:b/>
          <w:sz w:val="44"/>
          <w:szCs w:val="44"/>
        </w:rPr>
      </w:pPr>
      <w:r>
        <w:rPr>
          <w:rFonts w:hint="eastAsia" w:ascii="宋体" w:hAnsi="宋体"/>
          <w:b/>
          <w:sz w:val="44"/>
          <w:szCs w:val="44"/>
        </w:rPr>
        <w:br w:type="page"/>
      </w:r>
    </w:p>
    <w:p>
      <w:pPr>
        <w:tabs>
          <w:tab w:val="left" w:pos="709"/>
        </w:tabs>
        <w:adjustRightInd w:val="0"/>
        <w:snapToGrid w:val="0"/>
        <w:spacing w:line="360" w:lineRule="auto"/>
        <w:jc w:val="center"/>
        <w:rPr>
          <w:rFonts w:ascii="宋体" w:hAnsi="宋体"/>
          <w:b/>
          <w:sz w:val="44"/>
          <w:szCs w:val="44"/>
        </w:rPr>
      </w:pPr>
      <w:r>
        <w:rPr>
          <w:rFonts w:hint="eastAsia" w:ascii="宋体" w:hAnsi="宋体"/>
          <w:b/>
          <w:sz w:val="44"/>
          <w:szCs w:val="44"/>
        </w:rPr>
        <w:t>目 录</w:t>
      </w:r>
    </w:p>
    <w:p>
      <w:pPr>
        <w:pStyle w:val="13"/>
        <w:tabs>
          <w:tab w:val="right" w:leader="dot" w:pos="9746"/>
          <w:tab w:val="clear" w:pos="9060"/>
        </w:tabs>
      </w:pPr>
      <w:r>
        <w:rPr>
          <w:b w:val="0"/>
          <w:sz w:val="32"/>
          <w:szCs w:val="32"/>
        </w:rPr>
        <w:fldChar w:fldCharType="begin"/>
      </w:r>
      <w:r>
        <w:rPr>
          <w:rStyle w:val="22"/>
          <w:b w:val="0"/>
          <w:color w:val="auto"/>
          <w:sz w:val="32"/>
          <w:szCs w:val="32"/>
        </w:rPr>
        <w:instrText xml:space="preserve"> TOC \o "1-1" \h \z \u </w:instrText>
      </w:r>
      <w:r>
        <w:rPr>
          <w:b w:val="0"/>
          <w:sz w:val="32"/>
          <w:szCs w:val="32"/>
        </w:rPr>
        <w:fldChar w:fldCharType="separate"/>
      </w:r>
      <w:r>
        <w:fldChar w:fldCharType="begin"/>
      </w:r>
      <w:r>
        <w:instrText xml:space="preserve"> HYPERLINK \l "_Toc4954" </w:instrText>
      </w:r>
      <w:r>
        <w:fldChar w:fldCharType="separate"/>
      </w:r>
      <w:r>
        <w:rPr>
          <w:rFonts w:hint="eastAsia"/>
          <w:bCs/>
        </w:rPr>
        <w:t>第一章  投标邀请函</w:t>
      </w:r>
      <w:r>
        <w:tab/>
      </w:r>
      <w:r>
        <w:fldChar w:fldCharType="begin"/>
      </w:r>
      <w:r>
        <w:instrText xml:space="preserve"> PAGEREF _Toc4954 </w:instrText>
      </w:r>
      <w:r>
        <w:fldChar w:fldCharType="separate"/>
      </w:r>
      <w:r>
        <w:t>4</w:t>
      </w:r>
      <w:r>
        <w:fldChar w:fldCharType="end"/>
      </w:r>
      <w:r>
        <w:fldChar w:fldCharType="end"/>
      </w:r>
    </w:p>
    <w:p>
      <w:pPr>
        <w:pStyle w:val="13"/>
        <w:tabs>
          <w:tab w:val="right" w:leader="dot" w:pos="9746"/>
          <w:tab w:val="clear" w:pos="9060"/>
        </w:tabs>
      </w:pPr>
      <w:r>
        <w:fldChar w:fldCharType="begin"/>
      </w:r>
      <w:r>
        <w:instrText xml:space="preserve"> HYPERLINK \l "_Toc3939" </w:instrText>
      </w:r>
      <w:r>
        <w:fldChar w:fldCharType="separate"/>
      </w:r>
      <w:r>
        <w:rPr>
          <w:bCs/>
        </w:rPr>
        <w:t>第</w:t>
      </w:r>
      <w:r>
        <w:rPr>
          <w:rFonts w:hint="eastAsia"/>
          <w:bCs/>
        </w:rPr>
        <w:t>二</w:t>
      </w:r>
      <w:r>
        <w:rPr>
          <w:bCs/>
        </w:rPr>
        <w:t>章  投标资料表</w:t>
      </w:r>
      <w:r>
        <w:tab/>
      </w:r>
      <w:r>
        <w:fldChar w:fldCharType="begin"/>
      </w:r>
      <w:r>
        <w:instrText xml:space="preserve"> PAGEREF _Toc3939 </w:instrText>
      </w:r>
      <w:r>
        <w:fldChar w:fldCharType="separate"/>
      </w:r>
      <w:r>
        <w:t>7</w:t>
      </w:r>
      <w:r>
        <w:fldChar w:fldCharType="end"/>
      </w:r>
      <w:r>
        <w:fldChar w:fldCharType="end"/>
      </w:r>
    </w:p>
    <w:p>
      <w:pPr>
        <w:pStyle w:val="13"/>
        <w:tabs>
          <w:tab w:val="right" w:leader="dot" w:pos="9746"/>
          <w:tab w:val="clear" w:pos="9060"/>
        </w:tabs>
      </w:pPr>
      <w:r>
        <w:fldChar w:fldCharType="begin"/>
      </w:r>
      <w:r>
        <w:instrText xml:space="preserve"> HYPERLINK \l "_Toc16193" </w:instrText>
      </w:r>
      <w:r>
        <w:fldChar w:fldCharType="separate"/>
      </w:r>
      <w:r>
        <w:rPr>
          <w:rFonts w:hint="eastAsia"/>
          <w:bCs/>
        </w:rPr>
        <w:t>第三章  评分体系与标准</w:t>
      </w:r>
      <w:r>
        <w:tab/>
      </w:r>
      <w:r>
        <w:fldChar w:fldCharType="begin"/>
      </w:r>
      <w:r>
        <w:instrText xml:space="preserve"> PAGEREF _Toc16193 </w:instrText>
      </w:r>
      <w:r>
        <w:fldChar w:fldCharType="separate"/>
      </w:r>
      <w:r>
        <w:t>9</w:t>
      </w:r>
      <w:r>
        <w:fldChar w:fldCharType="end"/>
      </w:r>
      <w:r>
        <w:fldChar w:fldCharType="end"/>
      </w:r>
    </w:p>
    <w:p>
      <w:pPr>
        <w:pStyle w:val="13"/>
        <w:tabs>
          <w:tab w:val="right" w:leader="dot" w:pos="9746"/>
          <w:tab w:val="clear" w:pos="9060"/>
        </w:tabs>
      </w:pPr>
      <w:r>
        <w:fldChar w:fldCharType="begin"/>
      </w:r>
      <w:r>
        <w:instrText xml:space="preserve"> HYPERLINK \l "_Toc16012" </w:instrText>
      </w:r>
      <w:r>
        <w:fldChar w:fldCharType="separate"/>
      </w:r>
      <w:r>
        <w:rPr>
          <w:rFonts w:hint="eastAsia"/>
          <w:bCs/>
        </w:rPr>
        <w:t>第四章  用户需求书</w:t>
      </w:r>
      <w:r>
        <w:tab/>
      </w:r>
      <w:r>
        <w:fldChar w:fldCharType="begin"/>
      </w:r>
      <w:r>
        <w:instrText xml:space="preserve"> PAGEREF _Toc16012 </w:instrText>
      </w:r>
      <w:r>
        <w:fldChar w:fldCharType="separate"/>
      </w:r>
      <w:r>
        <w:t>19</w:t>
      </w:r>
      <w:r>
        <w:fldChar w:fldCharType="end"/>
      </w:r>
      <w:r>
        <w:fldChar w:fldCharType="end"/>
      </w:r>
    </w:p>
    <w:p>
      <w:pPr>
        <w:pStyle w:val="13"/>
        <w:tabs>
          <w:tab w:val="right" w:leader="dot" w:pos="9746"/>
          <w:tab w:val="clear" w:pos="9060"/>
        </w:tabs>
      </w:pPr>
      <w:r>
        <w:fldChar w:fldCharType="begin"/>
      </w:r>
      <w:r>
        <w:instrText xml:space="preserve"> HYPERLINK \l "_Toc12788" </w:instrText>
      </w:r>
      <w:r>
        <w:fldChar w:fldCharType="separate"/>
      </w:r>
      <w:r>
        <w:rPr>
          <w:rFonts w:hint="eastAsia"/>
          <w:bCs/>
        </w:rPr>
        <w:t>第五章  合同通用条款</w:t>
      </w:r>
      <w:r>
        <w:tab/>
      </w:r>
      <w:r>
        <w:fldChar w:fldCharType="begin"/>
      </w:r>
      <w:r>
        <w:instrText xml:space="preserve"> PAGEREF _Toc12788 </w:instrText>
      </w:r>
      <w:r>
        <w:fldChar w:fldCharType="separate"/>
      </w:r>
      <w:r>
        <w:t>34</w:t>
      </w:r>
      <w:r>
        <w:fldChar w:fldCharType="end"/>
      </w:r>
      <w:r>
        <w:fldChar w:fldCharType="end"/>
      </w:r>
    </w:p>
    <w:p>
      <w:pPr>
        <w:pStyle w:val="13"/>
        <w:tabs>
          <w:tab w:val="right" w:leader="dot" w:pos="9746"/>
          <w:tab w:val="clear" w:pos="9060"/>
        </w:tabs>
      </w:pPr>
      <w:r>
        <w:fldChar w:fldCharType="begin"/>
      </w:r>
      <w:r>
        <w:instrText xml:space="preserve"> HYPERLINK \l "_Toc30288" </w:instrText>
      </w:r>
      <w:r>
        <w:fldChar w:fldCharType="separate"/>
      </w:r>
      <w:r>
        <w:rPr>
          <w:rFonts w:hint="eastAsia"/>
          <w:bCs/>
        </w:rPr>
        <w:t>第六章  投标文件格式</w:t>
      </w:r>
      <w:r>
        <w:tab/>
      </w:r>
      <w:r>
        <w:fldChar w:fldCharType="begin"/>
      </w:r>
      <w:r>
        <w:instrText xml:space="preserve"> PAGEREF _Toc30288 </w:instrText>
      </w:r>
      <w:r>
        <w:fldChar w:fldCharType="separate"/>
      </w:r>
      <w:r>
        <w:t>38</w:t>
      </w:r>
      <w:r>
        <w:fldChar w:fldCharType="end"/>
      </w:r>
      <w:r>
        <w:fldChar w:fldCharType="end"/>
      </w:r>
    </w:p>
    <w:p>
      <w:pPr>
        <w:pStyle w:val="13"/>
        <w:tabs>
          <w:tab w:val="right" w:leader="dot" w:pos="9746"/>
          <w:tab w:val="clear" w:pos="9060"/>
        </w:tabs>
      </w:pPr>
      <w:r>
        <w:fldChar w:fldCharType="begin"/>
      </w:r>
      <w:r>
        <w:instrText xml:space="preserve"> HYPERLINK \l "_Toc8183" </w:instrText>
      </w:r>
      <w:r>
        <w:fldChar w:fldCharType="separate"/>
      </w:r>
      <w:r>
        <w:rPr>
          <w:rFonts w:hint="eastAsia"/>
          <w:bCs/>
        </w:rPr>
        <w:t>第七章  投标人须知（通用条款）</w:t>
      </w:r>
      <w:r>
        <w:tab/>
      </w:r>
      <w:r>
        <w:fldChar w:fldCharType="begin"/>
      </w:r>
      <w:r>
        <w:instrText xml:space="preserve"> PAGEREF _Toc8183 </w:instrText>
      </w:r>
      <w:r>
        <w:fldChar w:fldCharType="separate"/>
      </w:r>
      <w:r>
        <w:t>54</w:t>
      </w:r>
      <w:r>
        <w:fldChar w:fldCharType="end"/>
      </w:r>
      <w:r>
        <w:fldChar w:fldCharType="end"/>
      </w:r>
    </w:p>
    <w:p>
      <w:pPr>
        <w:ind w:left="2940" w:leftChars="1400"/>
        <w:jc w:val="left"/>
        <w:rPr>
          <w:rFonts w:cs="Calibri"/>
          <w:sz w:val="32"/>
          <w:szCs w:val="32"/>
          <w:shd w:val="clear" w:color="FFFFFF" w:fill="D9D9D9"/>
        </w:rPr>
      </w:pPr>
      <w:r>
        <w:rPr>
          <w:rFonts w:cs="Calibri"/>
          <w:szCs w:val="32"/>
        </w:rPr>
        <w:fldChar w:fldCharType="end"/>
      </w:r>
    </w:p>
    <w:p>
      <w:pPr>
        <w:rPr>
          <w:rFonts w:cs="Calibri"/>
          <w:sz w:val="32"/>
          <w:szCs w:val="32"/>
        </w:rPr>
      </w:pPr>
      <w:r>
        <w:rPr>
          <w:rFonts w:cs="Calibri"/>
          <w:sz w:val="32"/>
          <w:szCs w:val="32"/>
        </w:rPr>
        <w:br w:type="page"/>
      </w:r>
    </w:p>
    <w:p>
      <w:pPr>
        <w:pStyle w:val="13"/>
        <w:rPr>
          <w:sz w:val="24"/>
        </w:rPr>
      </w:pPr>
      <w:bookmarkStart w:id="0" w:name="_Toc480529433"/>
      <w:bookmarkStart w:id="1" w:name="_Toc463018928"/>
      <w:r>
        <w:rPr>
          <w:rFonts w:hint="eastAsia"/>
        </w:rPr>
        <w:t>（专用条款）</w:t>
      </w:r>
      <w:bookmarkEnd w:id="0"/>
      <w:bookmarkEnd w:id="1"/>
    </w:p>
    <w:p>
      <w:pPr>
        <w:adjustRightInd w:val="0"/>
        <w:snapToGrid w:val="0"/>
        <w:spacing w:before="156" w:beforeLines="50" w:after="156" w:afterLines="50"/>
        <w:jc w:val="center"/>
        <w:outlineLvl w:val="0"/>
        <w:rPr>
          <w:rFonts w:ascii="宋体" w:hAnsi="宋体"/>
          <w:b/>
          <w:bCs/>
          <w:sz w:val="30"/>
          <w:szCs w:val="30"/>
        </w:rPr>
      </w:pPr>
      <w:bookmarkStart w:id="2" w:name="_Toc480529434"/>
      <w:bookmarkStart w:id="3" w:name="_Toc4954"/>
      <w:bookmarkStart w:id="4" w:name="_Toc463018929"/>
      <w:r>
        <w:rPr>
          <w:rFonts w:hint="eastAsia" w:ascii="宋体" w:hAnsi="宋体"/>
          <w:b/>
          <w:bCs/>
          <w:sz w:val="28"/>
          <w:szCs w:val="28"/>
        </w:rPr>
        <w:t>第一章  投标邀请函</w:t>
      </w:r>
      <w:bookmarkEnd w:id="2"/>
      <w:bookmarkEnd w:id="3"/>
      <w:bookmarkEnd w:id="4"/>
    </w:p>
    <w:p>
      <w:pPr>
        <w:adjustRightInd w:val="0"/>
        <w:snapToGrid w:val="0"/>
        <w:spacing w:line="360" w:lineRule="auto"/>
        <w:ind w:firstLine="420" w:firstLineChars="200"/>
        <w:rPr>
          <w:rFonts w:ascii="宋体" w:hAnsi="宋体" w:cs="宋体"/>
          <w:bCs/>
          <w:szCs w:val="20"/>
        </w:rPr>
      </w:pPr>
      <w:r>
        <w:rPr>
          <w:rFonts w:hint="eastAsia" w:ascii="宋体" w:hAnsi="宋体"/>
          <w:bCs/>
          <w:szCs w:val="20"/>
        </w:rPr>
        <w:t>广州宝诚招标代理咨询有限公司（</w:t>
      </w:r>
      <w:r>
        <w:rPr>
          <w:rFonts w:ascii="宋体" w:hAnsi="宋体"/>
          <w:bCs/>
          <w:szCs w:val="20"/>
        </w:rPr>
        <w:t>以下简称</w:t>
      </w:r>
      <w:r>
        <w:rPr>
          <w:rFonts w:hint="eastAsia" w:ascii="宋体" w:hAnsi="宋体"/>
          <w:bCs/>
          <w:szCs w:val="20"/>
        </w:rPr>
        <w:t>‘</w:t>
      </w:r>
      <w:r>
        <w:rPr>
          <w:rFonts w:ascii="宋体" w:hAnsi="宋体"/>
          <w:bCs/>
          <w:szCs w:val="20"/>
        </w:rPr>
        <w:t>采购代理机构</w:t>
      </w:r>
      <w:r>
        <w:rPr>
          <w:rFonts w:hint="eastAsia" w:ascii="宋体" w:hAnsi="宋体"/>
          <w:bCs/>
          <w:szCs w:val="20"/>
        </w:rPr>
        <w:t>’）受</w:t>
      </w:r>
      <w:r>
        <w:rPr>
          <w:rFonts w:hint="eastAsia" w:ascii="宋体" w:hAnsi="宋体"/>
          <w:szCs w:val="21"/>
        </w:rPr>
        <w:t>广州市地质调查院</w:t>
      </w:r>
      <w:r>
        <w:rPr>
          <w:rFonts w:hint="eastAsia" w:ascii="宋体" w:hAnsi="宋体"/>
          <w:bCs/>
          <w:szCs w:val="20"/>
        </w:rPr>
        <w:t>（以下简称‘采购人’）的委托</w:t>
      </w:r>
      <w:r>
        <w:rPr>
          <w:rFonts w:hint="eastAsia" w:ascii="宋体" w:hAnsi="宋体"/>
          <w:bCs/>
          <w:szCs w:val="21"/>
        </w:rPr>
        <w:t>，对</w:t>
      </w:r>
      <w:r>
        <w:rPr>
          <w:rFonts w:hint="eastAsia" w:ascii="宋体" w:hAnsi="宋体"/>
          <w:szCs w:val="21"/>
        </w:rPr>
        <w:t>广州市地质灾害在册隐患点专业监测设备采购</w:t>
      </w:r>
      <w:r>
        <w:rPr>
          <w:rFonts w:hint="eastAsia" w:ascii="宋体" w:hAnsi="宋体"/>
          <w:bCs/>
          <w:szCs w:val="21"/>
        </w:rPr>
        <w:t>进行公开招标采购，</w:t>
      </w:r>
      <w:r>
        <w:rPr>
          <w:rFonts w:hint="eastAsia" w:ascii="宋体" w:hAnsi="宋体"/>
          <w:szCs w:val="21"/>
        </w:rPr>
        <w:t>欢迎</w:t>
      </w:r>
      <w:r>
        <w:rPr>
          <w:rFonts w:hint="eastAsia" w:ascii="宋体" w:hAnsi="宋体"/>
        </w:rPr>
        <w:t>符合条件的</w:t>
      </w:r>
      <w:r>
        <w:rPr>
          <w:rFonts w:hint="eastAsia" w:ascii="宋体" w:hAnsi="宋体"/>
          <w:bCs/>
          <w:szCs w:val="21"/>
        </w:rPr>
        <w:t>供应商</w:t>
      </w:r>
      <w:r>
        <w:rPr>
          <w:rFonts w:hint="eastAsia" w:ascii="宋体" w:hAnsi="宋体"/>
        </w:rPr>
        <w:t>投标。</w:t>
      </w:r>
    </w:p>
    <w:p>
      <w:pPr>
        <w:numPr>
          <w:ilvl w:val="0"/>
          <w:numId w:val="3"/>
        </w:numPr>
        <w:adjustRightInd w:val="0"/>
        <w:snapToGrid w:val="0"/>
        <w:spacing w:line="360" w:lineRule="auto"/>
        <w:rPr>
          <w:rFonts w:ascii="宋体" w:hAnsi="宋体"/>
        </w:rPr>
      </w:pPr>
      <w:r>
        <w:rPr>
          <w:rFonts w:hint="eastAsia" w:ascii="宋体" w:hAnsi="宋体"/>
          <w:bCs/>
          <w:szCs w:val="20"/>
        </w:rPr>
        <w:t>采购项目编号：</w:t>
      </w:r>
      <w:r>
        <w:rPr>
          <w:rFonts w:hint="eastAsia" w:ascii="宋体" w:hAnsi="宋体"/>
        </w:rPr>
        <w:t>GZBC21HG01005</w:t>
      </w:r>
    </w:p>
    <w:p>
      <w:pPr>
        <w:numPr>
          <w:ilvl w:val="0"/>
          <w:numId w:val="3"/>
        </w:numPr>
        <w:adjustRightInd w:val="0"/>
        <w:snapToGrid w:val="0"/>
        <w:spacing w:line="360" w:lineRule="auto"/>
        <w:rPr>
          <w:rFonts w:ascii="宋体" w:hAnsi="宋体"/>
        </w:rPr>
      </w:pPr>
      <w:r>
        <w:rPr>
          <w:rFonts w:hint="eastAsia" w:ascii="宋体" w:hAnsi="宋体"/>
          <w:bCs/>
          <w:szCs w:val="20"/>
        </w:rPr>
        <w:t>采购项目名称：</w:t>
      </w:r>
      <w:r>
        <w:rPr>
          <w:rFonts w:hint="eastAsia" w:ascii="宋体" w:hAnsi="宋体"/>
        </w:rPr>
        <w:t>广州市地质灾害在册隐患点专业监测设备采购</w:t>
      </w:r>
    </w:p>
    <w:p>
      <w:pPr>
        <w:numPr>
          <w:ilvl w:val="0"/>
          <w:numId w:val="3"/>
        </w:numPr>
        <w:adjustRightInd w:val="0"/>
        <w:snapToGrid w:val="0"/>
        <w:spacing w:line="360" w:lineRule="auto"/>
        <w:rPr>
          <w:rFonts w:ascii="宋体" w:hAnsi="宋体"/>
          <w:bCs/>
          <w:szCs w:val="20"/>
        </w:rPr>
      </w:pPr>
      <w:r>
        <w:rPr>
          <w:rFonts w:hint="eastAsia" w:ascii="宋体" w:hAnsi="宋体" w:cs="宋体"/>
          <w:szCs w:val="21"/>
        </w:rPr>
        <w:t>采购项目预算金额：人民币1505.9万元</w:t>
      </w:r>
    </w:p>
    <w:p>
      <w:pPr>
        <w:numPr>
          <w:ilvl w:val="0"/>
          <w:numId w:val="3"/>
        </w:numPr>
        <w:adjustRightInd w:val="0"/>
        <w:snapToGrid w:val="0"/>
        <w:spacing w:line="360" w:lineRule="auto"/>
        <w:rPr>
          <w:rFonts w:ascii="宋体" w:hAnsi="宋体"/>
          <w:bCs/>
          <w:szCs w:val="20"/>
        </w:rPr>
      </w:pPr>
      <w:r>
        <w:rPr>
          <w:rFonts w:hint="eastAsia" w:ascii="宋体" w:hAnsi="宋体"/>
          <w:bCs/>
          <w:szCs w:val="20"/>
        </w:rPr>
        <w:t>采购数量：1项</w:t>
      </w:r>
    </w:p>
    <w:p>
      <w:pPr>
        <w:numPr>
          <w:ilvl w:val="0"/>
          <w:numId w:val="3"/>
        </w:numPr>
        <w:adjustRightInd w:val="0"/>
        <w:snapToGrid w:val="0"/>
        <w:spacing w:line="360" w:lineRule="auto"/>
        <w:rPr>
          <w:rFonts w:ascii="宋体" w:hAnsi="宋体"/>
          <w:bCs/>
          <w:szCs w:val="20"/>
        </w:rPr>
      </w:pPr>
      <w:r>
        <w:rPr>
          <w:rFonts w:hint="eastAsia" w:ascii="宋体" w:hAnsi="宋体"/>
          <w:bCs/>
          <w:szCs w:val="20"/>
        </w:rPr>
        <w:t>采购项目内容及需求 (采购项目技术规格、参数及要求，需要落实的政府采购政策)：</w:t>
      </w:r>
    </w:p>
    <w:p>
      <w:pPr>
        <w:numPr>
          <w:ilvl w:val="0"/>
          <w:numId w:val="4"/>
        </w:numPr>
        <w:adjustRightInd w:val="0"/>
        <w:snapToGrid w:val="0"/>
        <w:spacing w:line="360" w:lineRule="auto"/>
        <w:rPr>
          <w:rFonts w:ascii="宋体" w:hAns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0" w:type="dxa"/>
          <w:left w:w="108" w:type="dxa"/>
          <w:bottom w:w="0" w:type="dxa"/>
          <w:right w:w="108" w:type="dxa"/>
        </w:tblCellMar>
      </w:tblPr>
      <w:tblGrid>
        <w:gridCol w:w="2721"/>
        <w:gridCol w:w="2000"/>
        <w:gridCol w:w="3151"/>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108" w:type="dxa"/>
            <w:bottom w:w="0" w:type="dxa"/>
            <w:right w:w="108" w:type="dxa"/>
          </w:tblCellMar>
        </w:tblPrEx>
        <w:trPr>
          <w:cantSplit/>
          <w:trHeight w:val="607" w:hRule="atLeast"/>
          <w:jc w:val="center"/>
        </w:trPr>
        <w:tc>
          <w:tcPr>
            <w:tcW w:w="1366" w:type="pct"/>
            <w:shd w:val="clear" w:color="auto" w:fill="auto"/>
            <w:vAlign w:val="center"/>
          </w:tcPr>
          <w:p>
            <w:pPr>
              <w:widowControl/>
              <w:snapToGrid w:val="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项目名称</w:t>
            </w:r>
          </w:p>
        </w:tc>
        <w:tc>
          <w:tcPr>
            <w:tcW w:w="1004" w:type="pct"/>
            <w:shd w:val="clear" w:color="auto" w:fill="auto"/>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采购类型</w:t>
            </w:r>
          </w:p>
        </w:tc>
        <w:tc>
          <w:tcPr>
            <w:tcW w:w="1582" w:type="pct"/>
            <w:shd w:val="clear" w:color="auto" w:fill="auto"/>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服务期限</w:t>
            </w:r>
          </w:p>
        </w:tc>
        <w:tc>
          <w:tcPr>
            <w:tcW w:w="1046" w:type="pct"/>
            <w:shd w:val="clear" w:color="auto" w:fill="auto"/>
            <w:vAlign w:val="center"/>
          </w:tcPr>
          <w:p>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108" w:type="dxa"/>
            <w:bottom w:w="0" w:type="dxa"/>
            <w:right w:w="108" w:type="dxa"/>
          </w:tblCellMar>
        </w:tblPrEx>
        <w:trPr>
          <w:cantSplit/>
          <w:trHeight w:val="868" w:hRule="atLeast"/>
          <w:jc w:val="center"/>
        </w:trPr>
        <w:tc>
          <w:tcPr>
            <w:tcW w:w="1366" w:type="pct"/>
            <w:shd w:val="clear" w:color="auto" w:fill="auto"/>
            <w:vAlign w:val="center"/>
          </w:tcPr>
          <w:p>
            <w:pPr>
              <w:widowControl/>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广州市地质灾害在册隐患点专业监测设备采购</w:t>
            </w:r>
          </w:p>
        </w:tc>
        <w:tc>
          <w:tcPr>
            <w:tcW w:w="1004" w:type="pct"/>
            <w:shd w:val="clear" w:color="auto" w:fill="auto"/>
            <w:vAlign w:val="center"/>
          </w:tcPr>
          <w:p>
            <w:pPr>
              <w:keepNext/>
              <w:adjustRightInd w:val="0"/>
              <w:ind w:firstLine="12"/>
              <w:jc w:val="center"/>
              <w:textAlignment w:val="center"/>
              <w:rPr>
                <w:rFonts w:asciiTheme="minorEastAsia" w:hAnsiTheme="minorEastAsia" w:eastAsiaTheme="minorEastAsia" w:cstheme="minorEastAsia"/>
                <w:kern w:val="28"/>
                <w:szCs w:val="21"/>
              </w:rPr>
            </w:pPr>
            <w:r>
              <w:rPr>
                <w:rFonts w:hint="eastAsia" w:asciiTheme="minorEastAsia" w:hAnsiTheme="minorEastAsia" w:eastAsiaTheme="minorEastAsia" w:cstheme="minorEastAsia"/>
                <w:kern w:val="28"/>
                <w:szCs w:val="21"/>
              </w:rPr>
              <w:t>货物</w:t>
            </w:r>
          </w:p>
        </w:tc>
        <w:tc>
          <w:tcPr>
            <w:tcW w:w="1582" w:type="pct"/>
            <w:shd w:val="clear" w:color="auto" w:fill="auto"/>
            <w:vAlign w:val="center"/>
          </w:tcPr>
          <w:p>
            <w:pPr>
              <w:keepNext/>
              <w:adjustRightInd w:val="0"/>
              <w:ind w:firstLine="12"/>
              <w:jc w:val="left"/>
              <w:textAlignment w:val="center"/>
              <w:rPr>
                <w:rFonts w:asciiTheme="minorEastAsia" w:hAnsiTheme="minorEastAsia" w:eastAsiaTheme="minorEastAsia" w:cstheme="minorEastAsia"/>
                <w:kern w:val="28"/>
                <w:szCs w:val="21"/>
              </w:rPr>
            </w:pPr>
            <w:r>
              <w:rPr>
                <w:rFonts w:hint="eastAsia" w:asciiTheme="minorEastAsia" w:hAnsiTheme="minorEastAsia" w:eastAsiaTheme="minorEastAsia" w:cstheme="minorEastAsia"/>
                <w:kern w:val="28"/>
                <w:szCs w:val="21"/>
              </w:rPr>
              <w:t>建设期：从签订合同日至2022年12月31日；</w:t>
            </w:r>
          </w:p>
          <w:p>
            <w:pPr>
              <w:keepNext/>
              <w:adjustRightInd w:val="0"/>
              <w:ind w:firstLine="12"/>
              <w:jc w:val="left"/>
              <w:textAlignment w:val="center"/>
              <w:rPr>
                <w:rFonts w:asciiTheme="minorEastAsia" w:hAnsiTheme="minorEastAsia" w:eastAsiaTheme="minorEastAsia" w:cstheme="minorEastAsia"/>
                <w:kern w:val="28"/>
                <w:szCs w:val="21"/>
              </w:rPr>
            </w:pPr>
            <w:r>
              <w:rPr>
                <w:rFonts w:hint="eastAsia" w:asciiTheme="minorEastAsia" w:hAnsiTheme="minorEastAsia" w:eastAsiaTheme="minorEastAsia" w:cstheme="minorEastAsia"/>
                <w:kern w:val="28"/>
                <w:szCs w:val="21"/>
              </w:rPr>
              <w:t>质保期：竣工验收之日后三年</w:t>
            </w:r>
          </w:p>
        </w:tc>
        <w:tc>
          <w:tcPr>
            <w:tcW w:w="1046" w:type="pct"/>
            <w:shd w:val="clear" w:color="auto" w:fill="auto"/>
            <w:vAlign w:val="center"/>
          </w:tcPr>
          <w:p>
            <w:pPr>
              <w:keepNext/>
              <w:adjustRightInd w:val="0"/>
              <w:ind w:firstLine="120"/>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人民币壹仟伍佰零伍万玖仟元整</w:t>
            </w:r>
          </w:p>
        </w:tc>
      </w:tr>
    </w:tbl>
    <w:p>
      <w:pPr>
        <w:adjustRightInd w:val="0"/>
        <w:snapToGrid w:val="0"/>
        <w:spacing w:line="360" w:lineRule="auto"/>
        <w:rPr>
          <w:rFonts w:ascii="宋体" w:hAnsi="宋体"/>
          <w:bCs/>
          <w:szCs w:val="20"/>
        </w:rPr>
      </w:pPr>
    </w:p>
    <w:p>
      <w:pPr>
        <w:numPr>
          <w:ilvl w:val="0"/>
          <w:numId w:val="4"/>
        </w:numPr>
        <w:adjustRightInd w:val="0"/>
        <w:snapToGrid w:val="0"/>
        <w:spacing w:line="360" w:lineRule="auto"/>
        <w:rPr>
          <w:rFonts w:ascii="宋体" w:hAnsi="宋体"/>
          <w:bCs/>
          <w:szCs w:val="20"/>
        </w:rPr>
      </w:pPr>
      <w:r>
        <w:rPr>
          <w:rFonts w:hint="eastAsia" w:ascii="宋体" w:hAnsi="宋体"/>
          <w:bCs/>
          <w:szCs w:val="20"/>
        </w:rPr>
        <w:t>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等。</w:t>
      </w:r>
    </w:p>
    <w:p>
      <w:pPr>
        <w:numPr>
          <w:ilvl w:val="0"/>
          <w:numId w:val="4"/>
        </w:numPr>
        <w:adjustRightInd w:val="0"/>
        <w:snapToGrid w:val="0"/>
        <w:spacing w:line="360" w:lineRule="auto"/>
        <w:rPr>
          <w:rFonts w:ascii="宋体" w:hAnsi="宋体"/>
          <w:bCs/>
          <w:szCs w:val="20"/>
        </w:rPr>
      </w:pPr>
      <w:r>
        <w:rPr>
          <w:rFonts w:hint="eastAsia" w:ascii="宋体" w:hAnsi="宋体"/>
          <w:bCs/>
          <w:szCs w:val="20"/>
        </w:rPr>
        <w:t xml:space="preserve">本项目属于政府采购项目。 </w:t>
      </w:r>
    </w:p>
    <w:p>
      <w:pPr>
        <w:numPr>
          <w:ilvl w:val="0"/>
          <w:numId w:val="3"/>
        </w:numPr>
        <w:tabs>
          <w:tab w:val="center" w:pos="4156"/>
        </w:tabs>
        <w:adjustRightInd w:val="0"/>
        <w:snapToGrid w:val="0"/>
        <w:spacing w:line="360" w:lineRule="auto"/>
        <w:rPr>
          <w:rFonts w:ascii="宋体" w:hAnsi="宋体"/>
          <w:bCs/>
          <w:szCs w:val="20"/>
        </w:rPr>
      </w:pPr>
      <w:r>
        <w:rPr>
          <w:rFonts w:hint="eastAsia" w:ascii="宋体" w:hAnsi="宋体"/>
          <w:bCs/>
          <w:szCs w:val="20"/>
        </w:rPr>
        <w:t>供应商资格：</w:t>
      </w:r>
      <w:r>
        <w:rPr>
          <w:rFonts w:hint="eastAsia" w:ascii="宋体" w:hAnsi="宋体"/>
          <w:bCs/>
          <w:szCs w:val="20"/>
        </w:rPr>
        <w:tab/>
      </w:r>
    </w:p>
    <w:p>
      <w:pPr>
        <w:numPr>
          <w:ilvl w:val="0"/>
          <w:numId w:val="5"/>
        </w:numPr>
        <w:adjustRightInd w:val="0"/>
        <w:snapToGrid w:val="0"/>
        <w:spacing w:line="360" w:lineRule="auto"/>
        <w:rPr>
          <w:rFonts w:ascii="宋体" w:hAnsi="宋体"/>
          <w:bCs/>
          <w:szCs w:val="20"/>
        </w:rPr>
      </w:pPr>
      <w:r>
        <w:rPr>
          <w:rFonts w:hint="eastAsia" w:ascii="宋体" w:hAnsi="宋体"/>
          <w:bCs/>
          <w:szCs w:val="20"/>
        </w:rPr>
        <w:t>供应商应具备《中华人民共和国政府采购法》第二十二条规定的条件：</w:t>
      </w:r>
    </w:p>
    <w:p>
      <w:pPr>
        <w:numPr>
          <w:ilvl w:val="0"/>
          <w:numId w:val="6"/>
        </w:numPr>
        <w:tabs>
          <w:tab w:val="left" w:pos="567"/>
        </w:tabs>
        <w:adjustRightInd w:val="0"/>
        <w:snapToGrid w:val="0"/>
        <w:spacing w:line="360" w:lineRule="auto"/>
        <w:ind w:left="567" w:hanging="425"/>
        <w:rPr>
          <w:rFonts w:ascii="宋体" w:hAnsi="宋体"/>
          <w:bCs/>
          <w:szCs w:val="21"/>
        </w:rPr>
      </w:pPr>
      <w:r>
        <w:rPr>
          <w:rFonts w:ascii="宋体" w:hAnsi="宋体" w:cs="宋体"/>
          <w:szCs w:val="21"/>
        </w:rPr>
        <w:t>供应商具有独立承担民事责任能力的在中华人民共和国境内注册的法人或其他组织（提供企业法人或者其他组织营业执照（或事业法人登记证或身份证等相关证明）副本复印件，分支机构投标，须取得具有法人资格的总公司出具给分支机构的授权书，并提供总公司和分支机构的营业执照复印件。已由总公司授权的，总公司取得的相关资质证书对分支机构有效，法律法规或者行业另有规定的除外</w:t>
      </w:r>
      <w:r>
        <w:rPr>
          <w:rFonts w:hint="eastAsia" w:ascii="宋体" w:hAnsi="宋体"/>
          <w:bCs/>
          <w:szCs w:val="21"/>
        </w:rPr>
        <w:t>；</w:t>
      </w:r>
    </w:p>
    <w:p>
      <w:pPr>
        <w:numPr>
          <w:ilvl w:val="0"/>
          <w:numId w:val="6"/>
        </w:numPr>
        <w:tabs>
          <w:tab w:val="left" w:pos="567"/>
        </w:tabs>
        <w:adjustRightInd w:val="0"/>
        <w:snapToGrid w:val="0"/>
        <w:spacing w:line="360" w:lineRule="auto"/>
        <w:ind w:left="567" w:hanging="425"/>
        <w:rPr>
          <w:rFonts w:ascii="宋体" w:hAnsi="宋体"/>
          <w:bCs/>
          <w:szCs w:val="20"/>
        </w:rPr>
      </w:pPr>
      <w:r>
        <w:rPr>
          <w:rFonts w:ascii="宋体" w:hAnsi="宋体" w:cs="宋体"/>
          <w:szCs w:val="21"/>
        </w:rPr>
        <w:t>供应商必须具有良好的商业信誉和健全的财务会计制度（提供 2019 年的财务状况报告或者 2020 年基本户开户银行出具的资信证明）</w:t>
      </w:r>
      <w:r>
        <w:rPr>
          <w:rFonts w:hint="eastAsia" w:ascii="宋体" w:hAnsi="宋体"/>
          <w:bCs/>
          <w:szCs w:val="21"/>
        </w:rPr>
        <w:t>；</w:t>
      </w:r>
    </w:p>
    <w:p>
      <w:pPr>
        <w:numPr>
          <w:ilvl w:val="0"/>
          <w:numId w:val="6"/>
        </w:numPr>
        <w:tabs>
          <w:tab w:val="left" w:pos="567"/>
        </w:tabs>
        <w:adjustRightInd w:val="0"/>
        <w:snapToGrid w:val="0"/>
        <w:spacing w:line="360" w:lineRule="auto"/>
        <w:ind w:left="567" w:hanging="425"/>
        <w:rPr>
          <w:rFonts w:ascii="宋体" w:hAnsi="宋体"/>
          <w:bCs/>
          <w:szCs w:val="20"/>
        </w:rPr>
      </w:pPr>
      <w:r>
        <w:rPr>
          <w:rFonts w:ascii="宋体" w:hAnsi="宋体" w:cs="宋体"/>
          <w:szCs w:val="21"/>
        </w:rPr>
        <w:t>供应商有依法缴纳税收和社会保障资金的良好记录（提供磋商截止之日前 6 个月任意 1 个月依法缴纳税收和社会保障资金相关证明材料；如依法免税和依法不需要缴纳社会保障资金，则须提供相应文件证明其依法免税和不需要缴纳社会保障资金）</w:t>
      </w:r>
      <w:r>
        <w:rPr>
          <w:rFonts w:hint="eastAsia" w:ascii="宋体" w:hAnsi="宋体"/>
          <w:bCs/>
          <w:szCs w:val="20"/>
        </w:rPr>
        <w:t>；</w:t>
      </w:r>
    </w:p>
    <w:p>
      <w:pPr>
        <w:numPr>
          <w:ilvl w:val="0"/>
          <w:numId w:val="5"/>
        </w:numPr>
        <w:adjustRightInd w:val="0"/>
        <w:snapToGrid w:val="0"/>
        <w:spacing w:line="360" w:lineRule="auto"/>
        <w:rPr>
          <w:rFonts w:ascii="宋体" w:hAnsi="宋体" w:cs="宋体"/>
          <w:bCs/>
          <w:kern w:val="0"/>
          <w:szCs w:val="21"/>
        </w:rPr>
      </w:pPr>
      <w:r>
        <w:rPr>
          <w:rFonts w:hint="eastAsia" w:ascii="宋体" w:hAnsi="宋体"/>
          <w:bCs/>
          <w:szCs w:val="20"/>
        </w:rPr>
        <w:t>供应商</w:t>
      </w:r>
      <w:r>
        <w:rPr>
          <w:rFonts w:ascii="宋体" w:hAnsi="宋体" w:cs="宋体"/>
          <w:szCs w:val="21"/>
        </w:rPr>
        <w:t>已登记并领</w:t>
      </w:r>
      <w:r>
        <w:rPr>
          <w:rFonts w:hint="eastAsia" w:ascii="宋体" w:hAnsi="宋体" w:cs="宋体"/>
          <w:szCs w:val="21"/>
        </w:rPr>
        <w:t>取</w:t>
      </w:r>
      <w:r>
        <w:rPr>
          <w:rFonts w:ascii="宋体" w:hAnsi="宋体" w:cs="宋体"/>
          <w:szCs w:val="21"/>
        </w:rPr>
        <w:t>本项目磋商文件</w:t>
      </w:r>
      <w:r>
        <w:rPr>
          <w:rFonts w:hint="eastAsia" w:ascii="宋体" w:hAnsi="宋体" w:cs="宋体"/>
          <w:bCs/>
          <w:kern w:val="0"/>
          <w:szCs w:val="21"/>
        </w:rPr>
        <w:t>。</w:t>
      </w:r>
    </w:p>
    <w:p>
      <w:pPr>
        <w:numPr>
          <w:ilvl w:val="0"/>
          <w:numId w:val="5"/>
        </w:numPr>
        <w:adjustRightInd w:val="0"/>
        <w:snapToGrid w:val="0"/>
        <w:spacing w:line="360" w:lineRule="auto"/>
        <w:rPr>
          <w:rFonts w:ascii="宋体" w:hAnsi="宋体"/>
          <w:szCs w:val="21"/>
        </w:rPr>
      </w:pPr>
      <w:r>
        <w:rPr>
          <w:rFonts w:hint="eastAsia" w:asciiTheme="minorEastAsia" w:hAnsiTheme="minorEastAsia" w:eastAsiaTheme="minorEastAsia" w:cstheme="minorEastAsia"/>
          <w:kern w:val="28"/>
          <w:szCs w:val="21"/>
        </w:rPr>
        <w:t>本项目不接受联合体投标。</w:t>
      </w:r>
    </w:p>
    <w:p>
      <w:pPr>
        <w:numPr>
          <w:ilvl w:val="0"/>
          <w:numId w:val="3"/>
        </w:numPr>
        <w:adjustRightInd w:val="0"/>
        <w:snapToGrid w:val="0"/>
        <w:spacing w:line="360" w:lineRule="auto"/>
        <w:rPr>
          <w:rFonts w:ascii="宋体" w:hAnsi="宋体" w:cs="宋体"/>
          <w:b/>
          <w:szCs w:val="21"/>
        </w:rPr>
      </w:pPr>
      <w:r>
        <w:rPr>
          <w:rFonts w:hint="eastAsia" w:ascii="宋体" w:hAnsi="宋体" w:cs="宋体"/>
          <w:b/>
          <w:kern w:val="0"/>
          <w:szCs w:val="21"/>
        </w:rPr>
        <w:t xml:space="preserve"> </w:t>
      </w:r>
      <w:r>
        <w:rPr>
          <w:rFonts w:hint="eastAsia" w:ascii="宋体" w:hAnsi="宋体"/>
          <w:b/>
          <w:szCs w:val="21"/>
        </w:rPr>
        <w:t>获取招标文件方式：</w:t>
      </w:r>
    </w:p>
    <w:p>
      <w:pPr>
        <w:numPr>
          <w:ilvl w:val="0"/>
          <w:numId w:val="7"/>
        </w:numPr>
        <w:tabs>
          <w:tab w:val="left" w:pos="426"/>
        </w:tabs>
        <w:adjustRightInd w:val="0"/>
        <w:snapToGrid w:val="0"/>
        <w:spacing w:line="360" w:lineRule="auto"/>
        <w:rPr>
          <w:rFonts w:ascii="宋体" w:hAnsi="宋体"/>
          <w:bCs/>
          <w:kern w:val="0"/>
          <w:szCs w:val="21"/>
        </w:rPr>
      </w:pPr>
      <w:r>
        <w:rPr>
          <w:rFonts w:hint="eastAsia" w:ascii="宋体" w:hAnsi="宋体"/>
          <w:bCs/>
          <w:kern w:val="0"/>
          <w:szCs w:val="21"/>
        </w:rPr>
        <w:t>购买招标文件经办人，需提供：</w:t>
      </w:r>
    </w:p>
    <w:p>
      <w:pPr>
        <w:pStyle w:val="5"/>
        <w:ind w:left="420" w:leftChars="200"/>
        <w:rPr>
          <w:rFonts w:ascii="宋体" w:hAnsi="宋体"/>
          <w:bCs/>
          <w:sz w:val="21"/>
          <w:szCs w:val="21"/>
        </w:rPr>
      </w:pPr>
      <w:r>
        <w:rPr>
          <w:rFonts w:hint="eastAsia" w:ascii="宋体" w:hAnsi="宋体"/>
          <w:bCs/>
          <w:sz w:val="21"/>
          <w:szCs w:val="21"/>
        </w:rPr>
        <w:t>A）有效的营业执照（或事业单位法人证书,或社会团体法人登记证书,或执业许可证）复印件；如投标人为自然人的需提供自然人身份证明；</w:t>
      </w:r>
    </w:p>
    <w:p>
      <w:pPr>
        <w:pStyle w:val="15"/>
        <w:widowControl w:val="0"/>
        <w:adjustRightInd w:val="0"/>
        <w:snapToGrid w:val="0"/>
        <w:spacing w:before="0" w:beforeAutospacing="0" w:after="0" w:afterAutospacing="0" w:line="360" w:lineRule="auto"/>
        <w:ind w:firstLine="420" w:firstLineChars="200"/>
        <w:jc w:val="both"/>
        <w:rPr>
          <w:bCs/>
          <w:sz w:val="21"/>
          <w:szCs w:val="21"/>
        </w:rPr>
      </w:pPr>
      <w:r>
        <w:rPr>
          <w:rFonts w:hint="eastAsia"/>
          <w:bCs/>
          <w:sz w:val="21"/>
          <w:szCs w:val="21"/>
        </w:rPr>
        <w:t>B)经办人如是法定代表人，需提供法定代表人证明书及法定代表人身份证复印件；</w:t>
      </w:r>
    </w:p>
    <w:p>
      <w:pPr>
        <w:pStyle w:val="15"/>
        <w:widowControl w:val="0"/>
        <w:adjustRightInd w:val="0"/>
        <w:snapToGrid w:val="0"/>
        <w:spacing w:before="0" w:beforeAutospacing="0" w:after="0" w:afterAutospacing="0" w:line="360" w:lineRule="auto"/>
        <w:ind w:firstLine="630" w:firstLineChars="300"/>
        <w:jc w:val="both"/>
        <w:rPr>
          <w:bCs/>
          <w:sz w:val="21"/>
          <w:szCs w:val="21"/>
        </w:rPr>
      </w:pPr>
      <w:r>
        <w:rPr>
          <w:rFonts w:hint="eastAsia"/>
          <w:bCs/>
          <w:sz w:val="21"/>
          <w:szCs w:val="21"/>
        </w:rPr>
        <w:t>经办人如是投标人授权代表，需提供法定代表人授权委托书及授权代表身份证复印件；</w:t>
      </w:r>
    </w:p>
    <w:p>
      <w:pPr>
        <w:pStyle w:val="15"/>
        <w:widowControl w:val="0"/>
        <w:adjustRightInd w:val="0"/>
        <w:snapToGrid w:val="0"/>
        <w:spacing w:before="0" w:beforeAutospacing="0" w:after="0" w:afterAutospacing="0" w:line="360" w:lineRule="auto"/>
        <w:ind w:left="420" w:leftChars="200"/>
        <w:jc w:val="both"/>
        <w:rPr>
          <w:b/>
          <w:sz w:val="21"/>
          <w:szCs w:val="21"/>
        </w:rPr>
      </w:pPr>
      <w:r>
        <w:rPr>
          <w:rFonts w:hint="eastAsia"/>
          <w:bCs/>
          <w:sz w:val="21"/>
          <w:szCs w:val="21"/>
        </w:rPr>
        <w:t xml:space="preserve">C)供应商应登入采购代理机构网站（ </w:t>
      </w:r>
      <w:r>
        <w:fldChar w:fldCharType="begin"/>
      </w:r>
      <w:r>
        <w:instrText xml:space="preserve"> HYPERLINK "http://www.baochengdaili.com/），点击网站左下方" </w:instrText>
      </w:r>
      <w:r>
        <w:fldChar w:fldCharType="separate"/>
      </w:r>
      <w:r>
        <w:rPr>
          <w:rFonts w:hint="eastAsia"/>
          <w:bCs/>
          <w:sz w:val="21"/>
          <w:szCs w:val="21"/>
        </w:rPr>
        <w:t>http://www.baochengdaili.com/），点击网站左下方“文件下载”的更多，选择最后一页中的“《购买文件登记表》”下载。</w:t>
      </w:r>
      <w:r>
        <w:rPr>
          <w:rFonts w:hint="eastAsia"/>
          <w:bCs/>
          <w:sz w:val="21"/>
          <w:szCs w:val="21"/>
        </w:rPr>
        <w:fldChar w:fldCharType="end"/>
      </w:r>
    </w:p>
    <w:p>
      <w:pPr>
        <w:numPr>
          <w:ilvl w:val="0"/>
          <w:numId w:val="7"/>
        </w:numPr>
        <w:tabs>
          <w:tab w:val="left" w:pos="426"/>
        </w:tabs>
        <w:adjustRightInd w:val="0"/>
        <w:snapToGrid w:val="0"/>
        <w:spacing w:line="360" w:lineRule="auto"/>
        <w:rPr>
          <w:rFonts w:ascii="宋体" w:hAnsi="宋体"/>
          <w:b/>
          <w:szCs w:val="21"/>
        </w:rPr>
      </w:pPr>
      <w:r>
        <w:rPr>
          <w:rFonts w:hint="eastAsia" w:ascii="宋体" w:hAnsi="宋体"/>
          <w:bCs/>
          <w:szCs w:val="21"/>
        </w:rPr>
        <w:t>采购代理机构在招标文件发售期间</w:t>
      </w:r>
      <w:r>
        <w:rPr>
          <w:rFonts w:ascii="宋体" w:hAnsi="宋体"/>
          <w:bCs/>
          <w:szCs w:val="21"/>
        </w:rPr>
        <w:t>通过“</w:t>
      </w:r>
      <w:r>
        <w:rPr>
          <w:rFonts w:ascii="宋体" w:hAnsi="宋体"/>
          <w:b/>
          <w:szCs w:val="21"/>
          <w:u w:val="single"/>
        </w:rPr>
        <w:t>信用中国</w:t>
      </w:r>
      <w:r>
        <w:rPr>
          <w:rFonts w:ascii="宋体" w:hAnsi="宋体"/>
          <w:bCs/>
          <w:szCs w:val="21"/>
        </w:rPr>
        <w:t>”（www.creditchina.gov.cn）</w:t>
      </w:r>
      <w:r>
        <w:rPr>
          <w:rFonts w:hint="eastAsia" w:ascii="宋体" w:hAnsi="宋体"/>
          <w:bCs/>
          <w:szCs w:val="21"/>
        </w:rPr>
        <w:t>和</w:t>
      </w:r>
      <w:r>
        <w:rPr>
          <w:rFonts w:hint="eastAsia" w:ascii="宋体" w:hAnsi="宋体"/>
          <w:b/>
          <w:szCs w:val="21"/>
          <w:u w:val="single"/>
        </w:rPr>
        <w:t>“</w:t>
      </w:r>
      <w:r>
        <w:rPr>
          <w:rFonts w:ascii="宋体" w:hAnsi="宋体"/>
          <w:b/>
          <w:szCs w:val="21"/>
          <w:u w:val="single"/>
        </w:rPr>
        <w:t>中国政府采购网</w:t>
      </w:r>
      <w:r>
        <w:rPr>
          <w:rFonts w:hint="eastAsia" w:ascii="宋体" w:hAnsi="宋体"/>
          <w:b/>
          <w:szCs w:val="21"/>
          <w:u w:val="single"/>
        </w:rPr>
        <w:t>”</w:t>
      </w:r>
      <w:r>
        <w:rPr>
          <w:rFonts w:ascii="宋体" w:hAnsi="宋体"/>
          <w:bCs/>
          <w:szCs w:val="21"/>
        </w:rPr>
        <w:t>（www.ccgp.gov.cn）查询</w:t>
      </w:r>
      <w:r>
        <w:rPr>
          <w:rFonts w:hint="eastAsia" w:ascii="宋体" w:hAnsi="宋体"/>
          <w:bCs/>
          <w:szCs w:val="21"/>
        </w:rPr>
        <w:t>供应商信用记录。采购代理机构</w:t>
      </w:r>
      <w:r>
        <w:rPr>
          <w:rFonts w:ascii="宋体" w:hAnsi="宋体"/>
          <w:bCs/>
          <w:szCs w:val="21"/>
        </w:rPr>
        <w:t>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bCs/>
          <w:szCs w:val="21"/>
        </w:rPr>
        <w:t>（处罚期限届满的除外）</w:t>
      </w:r>
      <w:r>
        <w:rPr>
          <w:rFonts w:ascii="宋体" w:hAnsi="宋体"/>
          <w:bCs/>
          <w:szCs w:val="21"/>
        </w:rPr>
        <w:t>。</w:t>
      </w:r>
    </w:p>
    <w:p>
      <w:pPr>
        <w:pStyle w:val="29"/>
        <w:tabs>
          <w:tab w:val="left" w:pos="426"/>
        </w:tabs>
        <w:adjustRightInd w:val="0"/>
        <w:snapToGrid w:val="0"/>
        <w:spacing w:line="360" w:lineRule="auto"/>
        <w:ind w:left="420" w:firstLine="0" w:firstLineChars="0"/>
      </w:pPr>
      <w:r>
        <w:rPr>
          <w:rFonts w:hint="eastAsia" w:ascii="宋体" w:hAnsi="宋体"/>
          <w:b/>
          <w:szCs w:val="21"/>
        </w:rPr>
        <w:t>注1：已办理报名并成功购买招标文件的供应商参加投标的，不代表通过资格、符合性评审。</w:t>
      </w:r>
    </w:p>
    <w:p>
      <w:pPr>
        <w:numPr>
          <w:ilvl w:val="0"/>
          <w:numId w:val="3"/>
        </w:numPr>
        <w:adjustRightInd w:val="0"/>
        <w:snapToGrid w:val="0"/>
        <w:spacing w:line="360" w:lineRule="auto"/>
        <w:rPr>
          <w:rFonts w:hAnsi="宋体"/>
          <w:szCs w:val="18"/>
        </w:rPr>
      </w:pPr>
      <w:r>
        <w:rPr>
          <w:rFonts w:hint="eastAsia" w:ascii="宋体" w:hAnsi="宋体"/>
          <w:szCs w:val="21"/>
        </w:rPr>
        <w:t>符合资格的供应商应当在</w:t>
      </w:r>
      <w:r>
        <w:rPr>
          <w:rFonts w:hint="eastAsia" w:ascii="宋体" w:hAnsi="宋体"/>
          <w:color w:val="FF0000"/>
          <w:szCs w:val="21"/>
        </w:rPr>
        <w:t>2021年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bCs/>
          <w:color w:val="FF0000"/>
          <w:szCs w:val="21"/>
          <w:lang w:val="en-US" w:eastAsia="zh-CN"/>
        </w:rPr>
        <w:t>4</w:t>
      </w:r>
      <w:r>
        <w:rPr>
          <w:rFonts w:hint="eastAsia" w:ascii="宋体" w:hAnsi="宋体"/>
          <w:bCs/>
          <w:color w:val="FF0000"/>
          <w:szCs w:val="21"/>
        </w:rPr>
        <w:t>日</w:t>
      </w:r>
      <w:r>
        <w:rPr>
          <w:rFonts w:hint="eastAsia" w:ascii="宋体" w:hAnsi="宋体"/>
          <w:color w:val="FF0000"/>
          <w:szCs w:val="21"/>
        </w:rPr>
        <w:t>至2021年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color w:val="FF0000"/>
          <w:szCs w:val="21"/>
          <w:lang w:val="en-US" w:eastAsia="zh-CN"/>
        </w:rPr>
        <w:t>11</w:t>
      </w:r>
      <w:r>
        <w:rPr>
          <w:rFonts w:hint="eastAsia" w:ascii="宋体" w:hAnsi="宋体"/>
          <w:bCs/>
          <w:color w:val="FF0000"/>
          <w:szCs w:val="21"/>
        </w:rPr>
        <w:t>日</w:t>
      </w:r>
      <w:r>
        <w:rPr>
          <w:rFonts w:hint="eastAsia" w:ascii="宋体" w:hAnsi="宋体"/>
          <w:szCs w:val="21"/>
        </w:rPr>
        <w:t>期间（办公时间内：工作日9：00-17：30，法定节假日除外，不少于5个工作日）到广州宝诚招标代理咨询有限公司（详细地址：</w:t>
      </w:r>
      <w:r>
        <w:rPr>
          <w:rFonts w:hint="eastAsia" w:ascii="宋体" w:hAnsi="宋体"/>
          <w:szCs w:val="21"/>
          <w:lang w:eastAsia="zh-CN"/>
        </w:rPr>
        <w:t>广州市番禺区南村镇捷顺路9号二栋1806房（敏捷上城国际1期2栋1806）</w:t>
      </w:r>
      <w:r>
        <w:rPr>
          <w:rFonts w:hint="eastAsia" w:ascii="宋体" w:hAnsi="宋体"/>
          <w:szCs w:val="21"/>
        </w:rPr>
        <w:t>。购买招标文件，招标文件每套售价人民币300.00元，售后不退。</w:t>
      </w:r>
      <w:r>
        <w:rPr>
          <w:rFonts w:hint="eastAsia" w:hAnsi="宋体"/>
          <w:szCs w:val="18"/>
        </w:rPr>
        <w:t>如采用汇款方式购买招标文件请汇至以下账户：</w:t>
      </w:r>
    </w:p>
    <w:p>
      <w:pPr>
        <w:pStyle w:val="9"/>
        <w:spacing w:line="360" w:lineRule="auto"/>
        <w:ind w:firstLine="420" w:firstLineChars="200"/>
        <w:rPr>
          <w:rFonts w:ascii="Times New Roman" w:hAnsi="宋体"/>
          <w:kern w:val="2"/>
          <w:sz w:val="21"/>
          <w:szCs w:val="18"/>
        </w:rPr>
      </w:pPr>
      <w:r>
        <w:rPr>
          <w:rFonts w:hint="eastAsia" w:ascii="Times New Roman" w:hAnsi="宋体"/>
          <w:kern w:val="2"/>
          <w:sz w:val="21"/>
          <w:szCs w:val="18"/>
        </w:rPr>
        <w:t>收款人名称：广州宝诚招标代理咨询有限公司</w:t>
      </w:r>
      <w:bookmarkStart w:id="142" w:name="_GoBack"/>
      <w:bookmarkEnd w:id="142"/>
    </w:p>
    <w:p>
      <w:pPr>
        <w:pStyle w:val="9"/>
        <w:spacing w:line="360" w:lineRule="auto"/>
        <w:ind w:firstLine="420" w:firstLineChars="200"/>
        <w:rPr>
          <w:rFonts w:ascii="Times New Roman" w:hAnsi="宋体"/>
          <w:kern w:val="2"/>
          <w:sz w:val="21"/>
          <w:szCs w:val="18"/>
        </w:rPr>
      </w:pPr>
      <w:r>
        <w:rPr>
          <w:rFonts w:hint="eastAsia" w:ascii="Times New Roman" w:hAnsi="宋体"/>
          <w:kern w:val="2"/>
          <w:sz w:val="21"/>
          <w:szCs w:val="18"/>
        </w:rPr>
        <w:t>开户银行：中国民生银行股份有限公司广州华南支行（人民币）</w:t>
      </w:r>
    </w:p>
    <w:p>
      <w:pPr>
        <w:pStyle w:val="9"/>
        <w:spacing w:line="360" w:lineRule="auto"/>
        <w:ind w:firstLine="420" w:firstLineChars="200"/>
      </w:pPr>
      <w:r>
        <w:rPr>
          <w:rFonts w:hint="eastAsia" w:ascii="Times New Roman" w:hAnsi="宋体"/>
          <w:kern w:val="2"/>
          <w:sz w:val="21"/>
          <w:szCs w:val="18"/>
        </w:rPr>
        <w:t>账    号：696614971</w:t>
      </w:r>
    </w:p>
    <w:p>
      <w:pPr>
        <w:numPr>
          <w:ilvl w:val="0"/>
          <w:numId w:val="3"/>
        </w:numPr>
        <w:adjustRightInd w:val="0"/>
        <w:snapToGrid w:val="0"/>
        <w:spacing w:line="360" w:lineRule="auto"/>
        <w:rPr>
          <w:rFonts w:ascii="宋体" w:hAnsi="宋体" w:cs="宋体"/>
          <w:bCs/>
          <w:kern w:val="0"/>
          <w:szCs w:val="21"/>
        </w:rPr>
      </w:pPr>
      <w:r>
        <w:rPr>
          <w:rFonts w:hint="eastAsia" w:ascii="宋体" w:hAnsi="宋体"/>
          <w:bCs/>
          <w:szCs w:val="20"/>
        </w:rPr>
        <w:t>投标截止时间：</w:t>
      </w:r>
      <w:r>
        <w:rPr>
          <w:rFonts w:hint="eastAsia" w:ascii="宋体" w:hAnsi="宋体"/>
          <w:bCs/>
          <w:color w:val="FF0000"/>
          <w:szCs w:val="20"/>
        </w:rPr>
        <w:t>2021年</w:t>
      </w:r>
      <w:r>
        <w:rPr>
          <w:rFonts w:hint="eastAsia" w:ascii="宋体" w:hAnsi="宋体"/>
          <w:bCs/>
          <w:color w:val="FF0000"/>
          <w:szCs w:val="20"/>
          <w:lang w:val="en-US" w:eastAsia="zh-CN"/>
        </w:rPr>
        <w:t>3</w:t>
      </w:r>
      <w:r>
        <w:rPr>
          <w:rFonts w:hint="eastAsia" w:ascii="宋体" w:hAnsi="宋体"/>
          <w:bCs/>
          <w:color w:val="FF0000"/>
          <w:szCs w:val="20"/>
        </w:rPr>
        <w:t>月</w:t>
      </w:r>
      <w:r>
        <w:rPr>
          <w:rFonts w:hint="eastAsia" w:ascii="宋体" w:hAnsi="宋体"/>
          <w:bCs/>
          <w:color w:val="FF0000"/>
          <w:szCs w:val="20"/>
          <w:lang w:val="en-US" w:eastAsia="zh-CN"/>
        </w:rPr>
        <w:t>25</w:t>
      </w:r>
      <w:r>
        <w:rPr>
          <w:rFonts w:hint="eastAsia" w:ascii="宋体" w:hAnsi="宋体"/>
          <w:bCs/>
          <w:color w:val="FF0000"/>
          <w:szCs w:val="20"/>
        </w:rPr>
        <w:t>日10时00分</w:t>
      </w:r>
      <w:r>
        <w:rPr>
          <w:rFonts w:hint="eastAsia" w:ascii="宋体" w:hAnsi="宋体"/>
          <w:bCs/>
          <w:szCs w:val="20"/>
        </w:rPr>
        <w:t>。</w:t>
      </w:r>
    </w:p>
    <w:p>
      <w:pPr>
        <w:numPr>
          <w:ilvl w:val="0"/>
          <w:numId w:val="3"/>
        </w:numPr>
        <w:adjustRightInd w:val="0"/>
        <w:snapToGrid w:val="0"/>
        <w:spacing w:line="360" w:lineRule="auto"/>
        <w:rPr>
          <w:rFonts w:ascii="宋体" w:hAnsi="宋体" w:cs="宋体"/>
          <w:bCs/>
          <w:kern w:val="0"/>
          <w:szCs w:val="21"/>
        </w:rPr>
      </w:pPr>
      <w:r>
        <w:rPr>
          <w:rFonts w:hint="eastAsia" w:ascii="宋体" w:hAnsi="宋体"/>
          <w:bCs/>
          <w:szCs w:val="20"/>
        </w:rPr>
        <w:t>提交投标文件地点：</w:t>
      </w:r>
      <w:r>
        <w:rPr>
          <w:rFonts w:hint="eastAsia" w:ascii="宋体" w:hAnsi="宋体" w:cs="宋体"/>
          <w:bCs/>
          <w:kern w:val="0"/>
          <w:szCs w:val="21"/>
          <w:lang w:eastAsia="zh-CN"/>
        </w:rPr>
        <w:t>广州市番禺区南村镇捷顺路9号二栋1806房（敏捷上城国际1期2栋1806）</w:t>
      </w:r>
      <w:r>
        <w:rPr>
          <w:rFonts w:hint="eastAsia" w:ascii="宋体" w:hAnsi="宋体" w:cs="宋体"/>
          <w:bCs/>
          <w:kern w:val="0"/>
          <w:szCs w:val="21"/>
        </w:rPr>
        <w:t>。广州宝诚招标代理咨询有限公司会议室。</w:t>
      </w:r>
    </w:p>
    <w:p>
      <w:pPr>
        <w:numPr>
          <w:ilvl w:val="0"/>
          <w:numId w:val="3"/>
        </w:numPr>
        <w:tabs>
          <w:tab w:val="left" w:pos="567"/>
          <w:tab w:val="clear" w:pos="425"/>
        </w:tabs>
        <w:adjustRightInd w:val="0"/>
        <w:snapToGrid w:val="0"/>
        <w:spacing w:line="360" w:lineRule="auto"/>
        <w:ind w:left="728" w:hanging="728"/>
        <w:rPr>
          <w:rFonts w:ascii="宋体" w:hAnsi="宋体"/>
          <w:bCs/>
          <w:szCs w:val="20"/>
        </w:rPr>
      </w:pPr>
      <w:r>
        <w:rPr>
          <w:rFonts w:hint="eastAsia" w:ascii="宋体" w:hAnsi="宋体"/>
          <w:bCs/>
          <w:szCs w:val="20"/>
        </w:rPr>
        <w:t>开标时间：</w:t>
      </w:r>
      <w:r>
        <w:rPr>
          <w:rFonts w:hint="eastAsia" w:ascii="宋体" w:hAnsi="宋体"/>
          <w:bCs/>
          <w:color w:val="FF0000"/>
          <w:szCs w:val="20"/>
        </w:rPr>
        <w:t>2021年</w:t>
      </w:r>
      <w:r>
        <w:rPr>
          <w:rFonts w:hint="eastAsia" w:ascii="宋体" w:hAnsi="宋体"/>
          <w:bCs/>
          <w:color w:val="FF0000"/>
          <w:szCs w:val="20"/>
          <w:lang w:val="en-US" w:eastAsia="zh-CN"/>
        </w:rPr>
        <w:t>3</w:t>
      </w:r>
      <w:r>
        <w:rPr>
          <w:rFonts w:hint="eastAsia" w:ascii="宋体" w:hAnsi="宋体"/>
          <w:bCs/>
          <w:color w:val="FF0000"/>
          <w:szCs w:val="20"/>
        </w:rPr>
        <w:t>月</w:t>
      </w:r>
      <w:r>
        <w:rPr>
          <w:rFonts w:hint="eastAsia" w:ascii="宋体" w:hAnsi="宋体"/>
          <w:bCs/>
          <w:color w:val="FF0000"/>
          <w:szCs w:val="20"/>
          <w:lang w:val="en-US" w:eastAsia="zh-CN"/>
        </w:rPr>
        <w:t>25</w:t>
      </w:r>
      <w:r>
        <w:rPr>
          <w:rFonts w:hint="eastAsia" w:ascii="宋体" w:hAnsi="宋体"/>
          <w:bCs/>
          <w:color w:val="FF0000"/>
          <w:szCs w:val="20"/>
        </w:rPr>
        <w:t>日10时00分</w:t>
      </w:r>
      <w:r>
        <w:rPr>
          <w:rFonts w:hint="eastAsia" w:ascii="宋体" w:hAnsi="宋体"/>
          <w:bCs/>
          <w:szCs w:val="20"/>
        </w:rPr>
        <w:t>。</w:t>
      </w:r>
    </w:p>
    <w:p>
      <w:pPr>
        <w:numPr>
          <w:ilvl w:val="0"/>
          <w:numId w:val="3"/>
        </w:numPr>
        <w:tabs>
          <w:tab w:val="left" w:pos="567"/>
          <w:tab w:val="clear" w:pos="425"/>
        </w:tabs>
        <w:adjustRightInd w:val="0"/>
        <w:snapToGrid w:val="0"/>
        <w:spacing w:line="360" w:lineRule="auto"/>
        <w:ind w:left="728" w:hanging="728"/>
        <w:rPr>
          <w:rFonts w:ascii="宋体" w:hAnsi="宋体"/>
          <w:bCs/>
          <w:szCs w:val="20"/>
        </w:rPr>
      </w:pPr>
      <w:r>
        <w:rPr>
          <w:rFonts w:hint="eastAsia" w:ascii="宋体" w:hAnsi="宋体"/>
          <w:bCs/>
          <w:szCs w:val="20"/>
        </w:rPr>
        <w:t>开标地点：</w:t>
      </w:r>
      <w:r>
        <w:rPr>
          <w:rFonts w:hint="eastAsia" w:ascii="宋体" w:hAnsi="宋体"/>
          <w:szCs w:val="21"/>
          <w:lang w:eastAsia="zh-CN"/>
        </w:rPr>
        <w:t>广州市番禺区南村镇捷顺路9号二栋1806房（敏捷上城国际1期2栋1806）</w:t>
      </w:r>
      <w:r>
        <w:rPr>
          <w:rFonts w:hint="eastAsia" w:ascii="宋体" w:hAnsi="宋体"/>
          <w:szCs w:val="21"/>
        </w:rPr>
        <w:t>。</w:t>
      </w:r>
      <w:r>
        <w:rPr>
          <w:rFonts w:hint="eastAsia" w:ascii="宋体" w:hAnsi="宋体" w:cs="宋体"/>
          <w:bCs/>
          <w:kern w:val="0"/>
          <w:szCs w:val="21"/>
        </w:rPr>
        <w:t>广州宝诚招标代理咨询有限公司会议室。</w:t>
      </w:r>
      <w:r>
        <w:rPr>
          <w:rFonts w:hint="eastAsia" w:ascii="宋体" w:hAnsi="宋体"/>
          <w:bCs/>
          <w:szCs w:val="20"/>
        </w:rPr>
        <w:t xml:space="preserve"> </w:t>
      </w:r>
    </w:p>
    <w:p>
      <w:pPr>
        <w:numPr>
          <w:ilvl w:val="0"/>
          <w:numId w:val="3"/>
        </w:numPr>
        <w:tabs>
          <w:tab w:val="left" w:pos="567"/>
          <w:tab w:val="clear" w:pos="425"/>
        </w:tabs>
        <w:adjustRightInd w:val="0"/>
        <w:snapToGrid w:val="0"/>
        <w:spacing w:line="360" w:lineRule="auto"/>
        <w:ind w:left="728" w:hanging="728"/>
        <w:rPr>
          <w:rFonts w:ascii="宋体" w:hAnsi="宋体"/>
          <w:b/>
          <w:bCs/>
          <w:szCs w:val="20"/>
        </w:rPr>
      </w:pPr>
      <w:r>
        <w:rPr>
          <w:rFonts w:hint="eastAsia" w:ascii="宋体" w:hAnsi="宋体"/>
          <w:bCs/>
          <w:szCs w:val="20"/>
        </w:rPr>
        <w:t>本公告期限（5个工作日）自</w:t>
      </w:r>
      <w:r>
        <w:rPr>
          <w:rFonts w:hint="eastAsia" w:ascii="宋体" w:hAnsi="宋体"/>
          <w:color w:val="FF0000"/>
          <w:szCs w:val="21"/>
        </w:rPr>
        <w:t>2021年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bCs/>
          <w:color w:val="FF0000"/>
          <w:szCs w:val="21"/>
          <w:lang w:val="en-US" w:eastAsia="zh-CN"/>
        </w:rPr>
        <w:t>5</w:t>
      </w:r>
      <w:r>
        <w:rPr>
          <w:rFonts w:hint="eastAsia" w:ascii="宋体" w:hAnsi="宋体"/>
          <w:bCs/>
          <w:color w:val="FF0000"/>
          <w:szCs w:val="21"/>
        </w:rPr>
        <w:t>日</w:t>
      </w:r>
      <w:r>
        <w:rPr>
          <w:rFonts w:hint="eastAsia" w:ascii="宋体" w:hAnsi="宋体"/>
          <w:color w:val="FF0000"/>
          <w:szCs w:val="21"/>
        </w:rPr>
        <w:t>至2021年</w:t>
      </w:r>
      <w:r>
        <w:rPr>
          <w:rFonts w:hint="eastAsia" w:ascii="宋体" w:hAnsi="宋体"/>
          <w:color w:val="FF0000"/>
          <w:szCs w:val="21"/>
          <w:lang w:val="en-US" w:eastAsia="zh-CN"/>
        </w:rPr>
        <w:t>3</w:t>
      </w:r>
      <w:r>
        <w:rPr>
          <w:rFonts w:hint="eastAsia" w:ascii="宋体" w:hAnsi="宋体"/>
          <w:bCs/>
          <w:color w:val="FF0000"/>
          <w:szCs w:val="21"/>
        </w:rPr>
        <w:t>月</w:t>
      </w:r>
      <w:r>
        <w:rPr>
          <w:rFonts w:hint="eastAsia" w:ascii="宋体" w:hAnsi="宋体"/>
          <w:bCs/>
          <w:color w:val="FF0000"/>
          <w:szCs w:val="21"/>
          <w:lang w:val="en-US" w:eastAsia="zh-CN"/>
        </w:rPr>
        <w:t>11</w:t>
      </w:r>
      <w:r>
        <w:rPr>
          <w:rFonts w:hint="eastAsia" w:ascii="宋体" w:hAnsi="宋体"/>
          <w:bCs/>
          <w:color w:val="FF0000"/>
          <w:szCs w:val="21"/>
        </w:rPr>
        <w:t>日</w:t>
      </w:r>
      <w:r>
        <w:rPr>
          <w:rFonts w:hint="eastAsia" w:ascii="宋体" w:hAnsi="宋体"/>
          <w:bCs/>
          <w:szCs w:val="20"/>
        </w:rPr>
        <w:t>止。</w:t>
      </w:r>
    </w:p>
    <w:p>
      <w:pPr>
        <w:numPr>
          <w:ilvl w:val="0"/>
          <w:numId w:val="3"/>
        </w:numPr>
        <w:tabs>
          <w:tab w:val="left" w:pos="728"/>
        </w:tabs>
        <w:adjustRightInd w:val="0"/>
        <w:snapToGrid w:val="0"/>
        <w:spacing w:line="360" w:lineRule="auto"/>
        <w:rPr>
          <w:rFonts w:ascii="宋体" w:hAnsi="宋体"/>
          <w:b/>
          <w:bCs/>
          <w:szCs w:val="20"/>
        </w:rPr>
      </w:pPr>
      <w:r>
        <w:rPr>
          <w:rFonts w:hint="eastAsia" w:ascii="宋体" w:hAnsi="宋体"/>
          <w:b/>
          <w:bCs/>
          <w:szCs w:val="20"/>
        </w:rPr>
        <w:t>本项目相关公告在以下媒体发布：</w:t>
      </w:r>
    </w:p>
    <w:p>
      <w:pPr>
        <w:adjustRightInd w:val="0"/>
        <w:snapToGrid w:val="0"/>
        <w:spacing w:line="360" w:lineRule="auto"/>
        <w:ind w:firstLine="420" w:firstLineChars="200"/>
        <w:rPr>
          <w:rFonts w:ascii="宋体" w:hAnsi="宋体"/>
          <w:bCs/>
          <w:szCs w:val="21"/>
        </w:rPr>
      </w:pPr>
      <w:r>
        <w:rPr>
          <w:rFonts w:hint="eastAsia" w:ascii="宋体" w:hAnsi="宋体"/>
          <w:szCs w:val="21"/>
        </w:rPr>
        <w:t>采购代理机构网站（</w:t>
      </w:r>
      <w:r>
        <w:rPr>
          <w:rFonts w:hint="eastAsia" w:ascii="宋体" w:hAnsi="宋体"/>
          <w:bCs/>
          <w:szCs w:val="21"/>
        </w:rPr>
        <w:t xml:space="preserve"> http://www.baochengdaili.com/）。</w:t>
      </w:r>
    </w:p>
    <w:p>
      <w:pPr>
        <w:tabs>
          <w:tab w:val="left" w:pos="728"/>
        </w:tabs>
        <w:adjustRightInd w:val="0"/>
        <w:snapToGrid w:val="0"/>
        <w:spacing w:line="360" w:lineRule="auto"/>
        <w:ind w:firstLine="420" w:firstLineChars="200"/>
        <w:rPr>
          <w:rFonts w:ascii="宋体" w:hAnsi="宋体" w:cs="宋体"/>
          <w:b/>
          <w:bCs/>
          <w:szCs w:val="21"/>
        </w:rPr>
      </w:pPr>
      <w:r>
        <w:rPr>
          <w:rFonts w:hint="eastAsia" w:ascii="宋体" w:hAnsi="宋体"/>
          <w:bCs/>
          <w:szCs w:val="20"/>
        </w:rPr>
        <w:t>法定媒体：中国政府采购网、广东政府采购智慧云平台。相关公告在法定媒体上公布之日即视为有效送达，不再另行通知。</w:t>
      </w:r>
    </w:p>
    <w:p>
      <w:pPr>
        <w:numPr>
          <w:ilvl w:val="0"/>
          <w:numId w:val="3"/>
        </w:numPr>
        <w:tabs>
          <w:tab w:val="left" w:pos="728"/>
        </w:tabs>
        <w:adjustRightInd w:val="0"/>
        <w:snapToGrid w:val="0"/>
        <w:spacing w:line="360" w:lineRule="auto"/>
        <w:rPr>
          <w:rFonts w:ascii="宋体" w:hAnsi="宋体" w:cs="宋体"/>
          <w:b/>
          <w:bCs/>
          <w:szCs w:val="21"/>
        </w:rPr>
      </w:pPr>
      <w:r>
        <w:rPr>
          <w:rFonts w:ascii="宋体" w:hAnsi="宋体"/>
          <w:b/>
          <w:szCs w:val="21"/>
        </w:rPr>
        <w:t>联系</w:t>
      </w:r>
      <w:r>
        <w:rPr>
          <w:rFonts w:hint="eastAsia" w:ascii="宋体" w:hAnsi="宋体"/>
          <w:b/>
          <w:szCs w:val="21"/>
        </w:rPr>
        <w:t>事项：</w:t>
      </w:r>
    </w:p>
    <w:tbl>
      <w:tblPr>
        <w:tblStyle w:val="17"/>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shd w:val="clear" w:color="auto" w:fill="F8FCFF"/>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6"/>
              <w:numPr>
                <w:ilvl w:val="0"/>
                <w:numId w:val="0"/>
              </w:numPr>
              <w:adjustRightInd w:val="0"/>
              <w:snapToGrid w:val="0"/>
              <w:spacing w:line="360" w:lineRule="auto"/>
              <w:ind w:left="514" w:right="111" w:rightChars="53" w:hanging="514" w:hangingChars="245"/>
              <w:rPr>
                <w:rFonts w:ascii="宋体" w:hAnsi="宋体"/>
                <w:szCs w:val="21"/>
              </w:rPr>
            </w:pPr>
            <w:r>
              <w:rPr>
                <w:rFonts w:hint="eastAsia" w:ascii="宋体" w:hAnsi="宋体"/>
                <w:szCs w:val="21"/>
              </w:rPr>
              <w:t>(一)采购代理机构：广州宝诚招标代理咨询有限公司</w:t>
            </w:r>
          </w:p>
        </w:tc>
        <w:tc>
          <w:tcPr>
            <w:tcW w:w="4650" w:type="dxa"/>
            <w:shd w:val="clear" w:color="auto" w:fill="F8FCFF"/>
            <w:vAlign w:val="center"/>
          </w:tcPr>
          <w:p>
            <w:pPr>
              <w:pStyle w:val="26"/>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地址：</w:t>
            </w:r>
            <w:r>
              <w:rPr>
                <w:rFonts w:hint="eastAsia" w:ascii="宋体" w:hAnsi="宋体"/>
                <w:szCs w:val="21"/>
                <w:lang w:eastAsia="zh-CN"/>
              </w:rPr>
              <w:t>广州市番禺区南村镇捷顺路9号二栋1806房（敏捷上城国际1期2栋1806）</w:t>
            </w:r>
            <w:r>
              <w:rPr>
                <w:rFonts w:hint="eastAsia" w:ascii="宋体" w:hAnsi="宋体"/>
                <w:szCs w:val="21"/>
              </w:rPr>
              <w:t>。</w:t>
            </w:r>
          </w:p>
        </w:tc>
      </w:tr>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6"/>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联系人：高先生</w:t>
            </w:r>
          </w:p>
        </w:tc>
        <w:tc>
          <w:tcPr>
            <w:tcW w:w="4650" w:type="dxa"/>
            <w:shd w:val="clear" w:color="auto" w:fill="F8FCFF"/>
            <w:vAlign w:val="center"/>
          </w:tcPr>
          <w:p>
            <w:pPr>
              <w:pStyle w:val="26"/>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联系电话：020-37887429</w:t>
            </w:r>
          </w:p>
        </w:tc>
      </w:tr>
      <w:tr>
        <w:tblPrEx>
          <w:shd w:val="clear" w:color="auto" w:fill="F8FCFF"/>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6"/>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传真：020-37887429</w:t>
            </w:r>
          </w:p>
        </w:tc>
        <w:tc>
          <w:tcPr>
            <w:tcW w:w="4650" w:type="dxa"/>
            <w:shd w:val="clear" w:color="auto" w:fill="F8FCFF"/>
            <w:vAlign w:val="center"/>
          </w:tcPr>
          <w:p>
            <w:pPr>
              <w:pStyle w:val="26"/>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邮编：510650</w:t>
            </w:r>
          </w:p>
        </w:tc>
      </w:tr>
    </w:tbl>
    <w:p>
      <w:pPr>
        <w:rPr>
          <w:rFonts w:ascii="宋体" w:hAnsi="宋体" w:cs="宋体"/>
          <w:bCs/>
          <w:kern w:val="0"/>
          <w:szCs w:val="21"/>
        </w:rPr>
      </w:pPr>
    </w:p>
    <w:tbl>
      <w:tblPr>
        <w:tblStyle w:val="17"/>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shd w:val="clear" w:color="auto" w:fill="F8FCFF"/>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6"/>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(二)采购人： 广州市地质调查院</w:t>
            </w:r>
          </w:p>
        </w:tc>
        <w:tc>
          <w:tcPr>
            <w:tcW w:w="4650" w:type="dxa"/>
            <w:shd w:val="clear" w:color="auto" w:fill="F8FCFF"/>
            <w:vAlign w:val="center"/>
          </w:tcPr>
          <w:p>
            <w:pPr>
              <w:pStyle w:val="26"/>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地址：广东省广州市白云区园坛岭路200号</w:t>
            </w:r>
          </w:p>
        </w:tc>
      </w:tr>
      <w:tr>
        <w:tblPrEx>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6"/>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联系人： 高杨</w:t>
            </w:r>
          </w:p>
        </w:tc>
        <w:tc>
          <w:tcPr>
            <w:tcW w:w="4650" w:type="dxa"/>
            <w:shd w:val="clear" w:color="auto" w:fill="F8FCFF"/>
            <w:vAlign w:val="center"/>
          </w:tcPr>
          <w:p>
            <w:pPr>
              <w:pStyle w:val="26"/>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联系电话： 020-86093724</w:t>
            </w:r>
          </w:p>
        </w:tc>
      </w:tr>
      <w:tr>
        <w:tblPrEx>
          <w:shd w:val="clear" w:color="auto" w:fill="F8FCFF"/>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26"/>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传真：/</w:t>
            </w:r>
          </w:p>
        </w:tc>
        <w:tc>
          <w:tcPr>
            <w:tcW w:w="4650" w:type="dxa"/>
            <w:shd w:val="clear" w:color="auto" w:fill="F8FCFF"/>
            <w:vAlign w:val="center"/>
          </w:tcPr>
          <w:p>
            <w:pPr>
              <w:pStyle w:val="26"/>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邮编： /</w:t>
            </w:r>
          </w:p>
        </w:tc>
      </w:tr>
    </w:tbl>
    <w:p>
      <w:pPr>
        <w:tabs>
          <w:tab w:val="right" w:pos="9180"/>
        </w:tabs>
        <w:adjustRightInd w:val="0"/>
        <w:snapToGrid w:val="0"/>
        <w:spacing w:line="360" w:lineRule="auto"/>
        <w:ind w:firstLine="435"/>
        <w:jc w:val="right"/>
        <w:rPr>
          <w:rFonts w:ascii="宋体" w:hAnsi="宋体"/>
          <w:b/>
        </w:rPr>
      </w:pPr>
    </w:p>
    <w:p>
      <w:pPr>
        <w:rPr>
          <w:rFonts w:ascii="宋体" w:hAnsi="宋体"/>
          <w:color w:val="FF0000"/>
        </w:rPr>
        <w:sectPr>
          <w:headerReference r:id="rId4" w:type="first"/>
          <w:footerReference r:id="rId6" w:type="first"/>
          <w:headerReference r:id="rId3" w:type="default"/>
          <w:footerReference r:id="rId5" w:type="default"/>
          <w:pgSz w:w="11906" w:h="16838"/>
          <w:pgMar w:top="1440" w:right="1080" w:bottom="1440" w:left="1080" w:header="623" w:footer="567" w:gutter="0"/>
          <w:cols w:space="720" w:num="1"/>
          <w:titlePg/>
          <w:docGrid w:type="lines" w:linePitch="312" w:charSpace="0"/>
        </w:sectPr>
      </w:pPr>
    </w:p>
    <w:p>
      <w:pPr>
        <w:adjustRightInd w:val="0"/>
        <w:snapToGrid w:val="0"/>
        <w:spacing w:before="156" w:beforeLines="50" w:after="156" w:afterLines="50"/>
        <w:jc w:val="center"/>
        <w:outlineLvl w:val="0"/>
        <w:rPr>
          <w:rFonts w:ascii="宋体" w:hAnsi="宋体"/>
          <w:b/>
          <w:bCs/>
          <w:sz w:val="28"/>
          <w:szCs w:val="28"/>
        </w:rPr>
      </w:pPr>
      <w:bookmarkStart w:id="5" w:name="_Toc3939"/>
      <w:r>
        <w:rPr>
          <w:rFonts w:ascii="宋体" w:hAnsi="宋体"/>
          <w:b/>
          <w:bCs/>
          <w:sz w:val="28"/>
          <w:szCs w:val="28"/>
        </w:rPr>
        <w:t>第</w:t>
      </w:r>
      <w:r>
        <w:rPr>
          <w:rFonts w:hint="eastAsia" w:ascii="宋体" w:hAnsi="宋体"/>
          <w:b/>
          <w:bCs/>
          <w:sz w:val="28"/>
          <w:szCs w:val="28"/>
        </w:rPr>
        <w:t>二</w:t>
      </w:r>
      <w:r>
        <w:rPr>
          <w:rFonts w:ascii="宋体" w:hAnsi="宋体"/>
          <w:b/>
          <w:bCs/>
          <w:sz w:val="28"/>
          <w:szCs w:val="28"/>
        </w:rPr>
        <w:t>章  投标资料表</w:t>
      </w:r>
      <w:bookmarkEnd w:id="5"/>
    </w:p>
    <w:p>
      <w:pPr>
        <w:spacing w:line="360" w:lineRule="auto"/>
        <w:ind w:right="-174" w:rightChars="-83"/>
        <w:rPr>
          <w:rFonts w:ascii="宋体" w:hAns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17"/>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szCs w:val="21"/>
              </w:rPr>
            </w:pPr>
            <w:r>
              <w:rPr>
                <w:rFonts w:ascii="宋体" w:hAnsi="宋体"/>
                <w:b/>
                <w:szCs w:val="21"/>
              </w:rPr>
              <w:t>条款号</w:t>
            </w:r>
          </w:p>
        </w:tc>
        <w:tc>
          <w:tcPr>
            <w:tcW w:w="2016" w:type="dxa"/>
            <w:vAlign w:val="center"/>
          </w:tcPr>
          <w:p>
            <w:pPr>
              <w:adjustRightInd w:val="0"/>
              <w:snapToGrid w:val="0"/>
              <w:spacing w:line="320" w:lineRule="exact"/>
              <w:jc w:val="center"/>
              <w:rPr>
                <w:rFonts w:ascii="宋体" w:hAnsi="宋体"/>
                <w:b/>
                <w:szCs w:val="21"/>
              </w:rPr>
            </w:pPr>
            <w:r>
              <w:rPr>
                <w:rFonts w:hint="eastAsia" w:ascii="宋体" w:hAnsi="宋体"/>
                <w:b/>
                <w:szCs w:val="21"/>
              </w:rPr>
              <w:t>内容</w:t>
            </w:r>
          </w:p>
        </w:tc>
        <w:tc>
          <w:tcPr>
            <w:tcW w:w="6592" w:type="dxa"/>
            <w:vAlign w:val="center"/>
          </w:tcPr>
          <w:p>
            <w:pPr>
              <w:adjustRightInd w:val="0"/>
              <w:snapToGrid w:val="0"/>
              <w:spacing w:line="320" w:lineRule="exact"/>
              <w:jc w:val="center"/>
              <w:rPr>
                <w:rFonts w:ascii="宋体" w:hAns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1.1</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采购人名称</w:t>
            </w:r>
          </w:p>
        </w:tc>
        <w:tc>
          <w:tcPr>
            <w:tcW w:w="6592" w:type="dxa"/>
            <w:vAlign w:val="center"/>
          </w:tcPr>
          <w:p>
            <w:pPr>
              <w:adjustRightInd w:val="0"/>
              <w:snapToGrid w:val="0"/>
              <w:spacing w:line="320" w:lineRule="exact"/>
              <w:rPr>
                <w:rFonts w:ascii="宋体" w:hAnsi="宋体" w:cs="宋体"/>
                <w:szCs w:val="21"/>
              </w:rPr>
            </w:pPr>
            <w:r>
              <w:rPr>
                <w:rFonts w:hint="eastAsia" w:ascii="宋体" w:hAnsi="宋体"/>
                <w:szCs w:val="21"/>
              </w:rPr>
              <w:t>广州市地质调查院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1.2</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采购代理机构</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名称：广州宝诚招标代理咨询有限公司</w:t>
            </w:r>
          </w:p>
          <w:p>
            <w:pPr>
              <w:adjustRightInd w:val="0"/>
              <w:snapToGrid w:val="0"/>
              <w:spacing w:line="320" w:lineRule="exact"/>
              <w:rPr>
                <w:rFonts w:hint="eastAsia" w:ascii="宋体" w:hAnsi="宋体" w:eastAsia="宋体"/>
                <w:szCs w:val="21"/>
                <w:lang w:eastAsia="zh-CN"/>
              </w:rPr>
            </w:pPr>
            <w:r>
              <w:rPr>
                <w:rFonts w:ascii="宋体" w:hAnsi="宋体"/>
                <w:szCs w:val="21"/>
              </w:rPr>
              <w:t>地址：</w:t>
            </w:r>
            <w:r>
              <w:rPr>
                <w:rFonts w:hint="eastAsia" w:ascii="宋体" w:hAnsi="宋体"/>
                <w:szCs w:val="21"/>
                <w:lang w:eastAsia="zh-CN"/>
              </w:rPr>
              <w:t>广州市番禺区南村镇捷顺路9号二栋1806房（敏捷上城国际1期2栋1806）</w:t>
            </w:r>
          </w:p>
          <w:p>
            <w:pPr>
              <w:adjustRightInd w:val="0"/>
              <w:snapToGrid w:val="0"/>
              <w:spacing w:line="320" w:lineRule="exact"/>
              <w:rPr>
                <w:rFonts w:ascii="宋体" w:hAnsi="宋体"/>
                <w:szCs w:val="21"/>
              </w:rPr>
            </w:pPr>
            <w:r>
              <w:rPr>
                <w:rFonts w:ascii="宋体" w:hAnsi="宋体"/>
                <w:szCs w:val="21"/>
              </w:rPr>
              <w:t>电话：</w:t>
            </w:r>
            <w:r>
              <w:rPr>
                <w:rFonts w:hint="eastAsia" w:ascii="宋体" w:hAnsi="宋体"/>
                <w:szCs w:val="21"/>
              </w:rPr>
              <w:t>020-37887429</w:t>
            </w:r>
          </w:p>
          <w:p>
            <w:pPr>
              <w:adjustRightInd w:val="0"/>
              <w:snapToGrid w:val="0"/>
              <w:spacing w:line="320" w:lineRule="exact"/>
              <w:rPr>
                <w:rFonts w:ascii="宋体" w:hAnsi="宋体"/>
                <w:szCs w:val="21"/>
              </w:rPr>
            </w:pPr>
            <w:r>
              <w:rPr>
                <w:rFonts w:ascii="宋体" w:hAnsi="宋体"/>
                <w:szCs w:val="21"/>
              </w:rPr>
              <w:t>传真：</w:t>
            </w:r>
            <w:r>
              <w:rPr>
                <w:rFonts w:hint="eastAsia" w:ascii="宋体" w:hAnsi="宋体"/>
                <w:szCs w:val="21"/>
              </w:rPr>
              <w:t>020-37887429</w:t>
            </w:r>
          </w:p>
          <w:p>
            <w:pPr>
              <w:adjustRightInd w:val="0"/>
              <w:snapToGrid w:val="0"/>
              <w:spacing w:line="320" w:lineRule="exact"/>
              <w:rPr>
                <w:rFonts w:ascii="宋体" w:hAnsi="宋体"/>
                <w:szCs w:val="21"/>
              </w:rPr>
            </w:pPr>
            <w:r>
              <w:rPr>
                <w:rFonts w:hint="eastAsia" w:ascii="宋体" w:hAnsi="宋体"/>
                <w:szCs w:val="21"/>
              </w:rPr>
              <w:t>电子邮箱：GZBCZB</w:t>
            </w:r>
            <w:r>
              <w:rPr>
                <w:rFonts w:ascii="宋体" w:hAnsi="宋体"/>
                <w:szCs w:val="21"/>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ascii="宋体" w:hAnsi="宋体"/>
                <w:szCs w:val="21"/>
              </w:rPr>
            </w:pPr>
            <w:r>
              <w:rPr>
                <w:rFonts w:hint="eastAsia" w:ascii="宋体" w:hAnsi="宋体" w:cs="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hAns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1.5</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推荐担保机构及联系方式：</w:t>
            </w:r>
          </w:p>
          <w:tbl>
            <w:tblPr>
              <w:tblStyle w:val="17"/>
              <w:tblW w:w="6366" w:type="dxa"/>
              <w:tblInd w:w="0" w:type="dxa"/>
              <w:tblLayout w:type="fixed"/>
              <w:tblCellMar>
                <w:top w:w="0" w:type="dxa"/>
                <w:left w:w="108" w:type="dxa"/>
                <w:bottom w:w="0" w:type="dxa"/>
                <w:right w:w="108" w:type="dxa"/>
              </w:tblCellMar>
            </w:tblPr>
            <w:tblGrid>
              <w:gridCol w:w="1283"/>
              <w:gridCol w:w="1537"/>
              <w:gridCol w:w="2480"/>
              <w:gridCol w:w="1066"/>
            </w:tblGrid>
            <w:tr>
              <w:tblPrEx>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6"/>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6"/>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6"/>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6"/>
                    <w:jc w:val="center"/>
                    <w:rPr>
                      <w:rFonts w:hAnsi="宋体"/>
                      <w:color w:val="auto"/>
                      <w:sz w:val="21"/>
                      <w:szCs w:val="21"/>
                    </w:rPr>
                  </w:pPr>
                  <w:r>
                    <w:rPr>
                      <w:rFonts w:hint="eastAsia" w:hAnsi="宋体"/>
                      <w:color w:val="auto"/>
                      <w:sz w:val="21"/>
                      <w:szCs w:val="21"/>
                    </w:rPr>
                    <w:t>联系人</w:t>
                  </w:r>
                </w:p>
              </w:tc>
            </w:tr>
            <w:tr>
              <w:tblPrEx>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6"/>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6"/>
                    <w:jc w:val="center"/>
                    <w:rPr>
                      <w:rFonts w:hAnsi="宋体"/>
                      <w:color w:val="auto"/>
                      <w:sz w:val="21"/>
                      <w:szCs w:val="21"/>
                    </w:rPr>
                  </w:pPr>
                  <w:r>
                    <w:rPr>
                      <w:rFonts w:hint="eastAsia" w:hAnsi="宋体"/>
                      <w:color w:val="auto"/>
                      <w:sz w:val="21"/>
                      <w:szCs w:val="21"/>
                    </w:rPr>
                    <w:t>北京市海淀区西三环北路100号金玉大厦九楼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6"/>
                    <w:jc w:val="center"/>
                    <w:rPr>
                      <w:rFonts w:hAnsi="宋体"/>
                      <w:color w:val="auto"/>
                      <w:sz w:val="21"/>
                      <w:szCs w:val="21"/>
                    </w:rPr>
                  </w:pPr>
                  <w:r>
                    <w:rPr>
                      <w:rFonts w:hint="eastAsia" w:hAnsi="宋体"/>
                      <w:color w:val="auto"/>
                      <w:sz w:val="21"/>
                      <w:szCs w:val="21"/>
                    </w:rPr>
                    <w:t>010-88822892/</w:t>
                  </w:r>
                </w:p>
                <w:p>
                  <w:pPr>
                    <w:pStyle w:val="6"/>
                    <w:jc w:val="center"/>
                    <w:rPr>
                      <w:rFonts w:hAnsi="宋体"/>
                      <w:color w:val="auto"/>
                      <w:sz w:val="21"/>
                      <w:szCs w:val="21"/>
                    </w:rPr>
                  </w:pPr>
                  <w:r>
                    <w:rPr>
                      <w:rFonts w:hint="eastAsia" w:hAnsi="宋体"/>
                      <w:color w:val="auto"/>
                      <w:sz w:val="21"/>
                      <w:szCs w:val="21"/>
                    </w:rPr>
                    <w:t>15011155178 010-88822659/</w:t>
                  </w:r>
                </w:p>
                <w:p>
                  <w:pPr>
                    <w:pStyle w:val="6"/>
                    <w:jc w:val="center"/>
                    <w:rPr>
                      <w:rFonts w:hAnsi="宋体"/>
                      <w:color w:val="auto"/>
                      <w:sz w:val="21"/>
                      <w:szCs w:val="21"/>
                    </w:rPr>
                  </w:pPr>
                  <w:r>
                    <w:rPr>
                      <w:rFonts w:hint="eastAsia"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6"/>
                    <w:jc w:val="center"/>
                    <w:rPr>
                      <w:rFonts w:hAnsi="宋体"/>
                      <w:color w:val="auto"/>
                      <w:sz w:val="21"/>
                      <w:szCs w:val="21"/>
                    </w:rPr>
                  </w:pPr>
                  <w:r>
                    <w:rPr>
                      <w:rFonts w:hint="eastAsia" w:hAnsi="宋体"/>
                      <w:color w:val="auto"/>
                      <w:sz w:val="21"/>
                      <w:szCs w:val="21"/>
                    </w:rPr>
                    <w:t>安国山</w:t>
                  </w:r>
                </w:p>
                <w:p>
                  <w:pPr>
                    <w:pStyle w:val="6"/>
                    <w:jc w:val="center"/>
                    <w:rPr>
                      <w:rFonts w:hAnsi="宋体"/>
                      <w:color w:val="auto"/>
                      <w:sz w:val="21"/>
                      <w:szCs w:val="21"/>
                    </w:rPr>
                  </w:pPr>
                  <w:r>
                    <w:rPr>
                      <w:rFonts w:hint="eastAsia" w:hAnsi="宋体"/>
                      <w:color w:val="auto"/>
                      <w:sz w:val="21"/>
                      <w:szCs w:val="21"/>
                    </w:rPr>
                    <w:t>何 嘉</w:t>
                  </w:r>
                </w:p>
              </w:tc>
            </w:tr>
            <w:tr>
              <w:tblPrEx>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6"/>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6"/>
                    <w:jc w:val="center"/>
                    <w:rPr>
                      <w:rFonts w:hAnsi="宋体"/>
                      <w:color w:val="auto"/>
                      <w:sz w:val="21"/>
                      <w:szCs w:val="21"/>
                    </w:rPr>
                  </w:pPr>
                  <w:r>
                    <w:rPr>
                      <w:rFonts w:hint="eastAsia" w:hAnsi="宋体"/>
                      <w:color w:val="auto"/>
                      <w:sz w:val="21"/>
                      <w:szCs w:val="21"/>
                    </w:rPr>
                    <w:t>广州市东风中路481号粤财大厦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6"/>
                    <w:jc w:val="center"/>
                    <w:rPr>
                      <w:rFonts w:hAnsi="宋体"/>
                      <w:color w:val="auto"/>
                      <w:sz w:val="21"/>
                      <w:szCs w:val="21"/>
                    </w:rPr>
                  </w:pPr>
                  <w:r>
                    <w:rPr>
                      <w:rFonts w:hint="eastAsia" w:hAnsi="宋体"/>
                      <w:color w:val="auto"/>
                      <w:sz w:val="21"/>
                      <w:szCs w:val="21"/>
                    </w:rPr>
                    <w:t>020-83063201</w:t>
                  </w:r>
                </w:p>
                <w:p>
                  <w:pPr>
                    <w:pStyle w:val="6"/>
                    <w:jc w:val="center"/>
                    <w:rPr>
                      <w:rFonts w:hAnsi="宋体"/>
                      <w:color w:val="auto"/>
                      <w:sz w:val="21"/>
                      <w:szCs w:val="21"/>
                    </w:rPr>
                  </w:pPr>
                  <w:r>
                    <w:rPr>
                      <w:rFonts w:hint="eastAsia"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6"/>
                    <w:jc w:val="center"/>
                    <w:rPr>
                      <w:rFonts w:hAnsi="宋体"/>
                      <w:color w:val="auto"/>
                      <w:sz w:val="21"/>
                      <w:szCs w:val="21"/>
                    </w:rPr>
                  </w:pPr>
                  <w:r>
                    <w:rPr>
                      <w:rFonts w:hint="eastAsia" w:hAnsi="宋体"/>
                      <w:color w:val="auto"/>
                      <w:sz w:val="21"/>
                      <w:szCs w:val="21"/>
                    </w:rPr>
                    <w:t>李世杰</w:t>
                  </w:r>
                </w:p>
              </w:tc>
            </w:tr>
            <w:tr>
              <w:tblPrEx>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6"/>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6"/>
                    <w:jc w:val="center"/>
                    <w:rPr>
                      <w:rFonts w:hAnsi="宋体"/>
                      <w:color w:val="auto"/>
                      <w:sz w:val="21"/>
                      <w:szCs w:val="21"/>
                    </w:rPr>
                  </w:pPr>
                  <w:r>
                    <w:rPr>
                      <w:rFonts w:hint="eastAsia" w:hAnsi="宋体"/>
                      <w:color w:val="auto"/>
                      <w:sz w:val="21"/>
                      <w:szCs w:val="21"/>
                    </w:rPr>
                    <w:t>东莞市东城区君豪商业中心9楼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6"/>
                    <w:jc w:val="center"/>
                    <w:rPr>
                      <w:rFonts w:hAnsi="宋体"/>
                      <w:color w:val="auto"/>
                      <w:sz w:val="21"/>
                      <w:szCs w:val="21"/>
                    </w:rPr>
                  </w:pPr>
                  <w:r>
                    <w:rPr>
                      <w:rFonts w:hint="eastAsia" w:hAnsi="宋体"/>
                      <w:color w:val="auto"/>
                      <w:sz w:val="21"/>
                      <w:szCs w:val="21"/>
                    </w:rPr>
                    <w:t>13729920608</w:t>
                  </w:r>
                </w:p>
                <w:p>
                  <w:pPr>
                    <w:pStyle w:val="6"/>
                    <w:jc w:val="center"/>
                    <w:rPr>
                      <w:rFonts w:hAnsi="宋体"/>
                      <w:color w:val="auto"/>
                      <w:sz w:val="21"/>
                      <w:szCs w:val="21"/>
                    </w:rPr>
                  </w:pPr>
                  <w:r>
                    <w:rPr>
                      <w:rFonts w:hint="eastAsia" w:hAnsi="宋体"/>
                      <w:color w:val="auto"/>
                      <w:sz w:val="21"/>
                      <w:szCs w:val="21"/>
                    </w:rPr>
                    <w:t>13712393608</w:t>
                  </w:r>
                </w:p>
                <w:p>
                  <w:pPr>
                    <w:pStyle w:val="6"/>
                    <w:jc w:val="center"/>
                    <w:rPr>
                      <w:rFonts w:hAnsi="宋体"/>
                      <w:color w:val="auto"/>
                      <w:sz w:val="21"/>
                      <w:szCs w:val="21"/>
                    </w:rPr>
                  </w:pPr>
                  <w:r>
                    <w:rPr>
                      <w:rFonts w:hint="eastAsia" w:hAnsi="宋体"/>
                      <w:color w:val="auto"/>
                      <w:sz w:val="21"/>
                      <w:szCs w:val="21"/>
                    </w:rPr>
                    <w:t>0769-2332688-8013</w:t>
                  </w:r>
                </w:p>
                <w:p>
                  <w:pPr>
                    <w:pStyle w:val="6"/>
                    <w:jc w:val="center"/>
                    <w:rPr>
                      <w:rFonts w:hAnsi="宋体"/>
                      <w:color w:val="auto"/>
                      <w:sz w:val="21"/>
                      <w:szCs w:val="21"/>
                    </w:rPr>
                  </w:pPr>
                  <w:r>
                    <w:rPr>
                      <w:rFonts w:hint="eastAsia" w:hAnsi="宋体"/>
                      <w:color w:val="auto"/>
                      <w:sz w:val="21"/>
                      <w:szCs w:val="21"/>
                    </w:rPr>
                    <w:t>传真：0769-23326788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6"/>
                    <w:jc w:val="center"/>
                    <w:rPr>
                      <w:rFonts w:hAnsi="宋体"/>
                      <w:color w:val="auto"/>
                      <w:sz w:val="21"/>
                      <w:szCs w:val="21"/>
                    </w:rPr>
                  </w:pPr>
                  <w:r>
                    <w:rPr>
                      <w:rFonts w:hint="eastAsia" w:hAnsi="宋体"/>
                      <w:color w:val="auto"/>
                      <w:sz w:val="21"/>
                      <w:szCs w:val="21"/>
                    </w:rPr>
                    <w:t>谭彪</w:t>
                  </w:r>
                </w:p>
                <w:p>
                  <w:pPr>
                    <w:pStyle w:val="6"/>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2.1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hAnsi="宋体"/>
                <w:szCs w:val="21"/>
              </w:rPr>
            </w:pPr>
            <w:r>
              <w:rPr>
                <w:rFonts w:hint="eastAsia" w:ascii="宋体" w:hAnsi="宋体" w:cs="宋体"/>
                <w:szCs w:val="21"/>
              </w:rPr>
              <w:t>包含但不仅仅限于以下内容：</w:t>
            </w:r>
          </w:p>
          <w:p>
            <w:pPr>
              <w:numPr>
                <w:ilvl w:val="0"/>
                <w:numId w:val="8"/>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招标文件要求全部服务所需的费用；</w:t>
            </w:r>
          </w:p>
          <w:p>
            <w:pPr>
              <w:numPr>
                <w:ilvl w:val="0"/>
                <w:numId w:val="8"/>
              </w:numPr>
              <w:tabs>
                <w:tab w:val="left" w:pos="334"/>
              </w:tabs>
              <w:autoSpaceDE w:val="0"/>
              <w:autoSpaceDN w:val="0"/>
              <w:adjustRightInd w:val="0"/>
              <w:snapToGrid w:val="0"/>
              <w:spacing w:line="360" w:lineRule="auto"/>
              <w:jc w:val="left"/>
              <w:rPr>
                <w:rFonts w:ascii="宋体" w:hAnsi="宋体"/>
                <w:szCs w:val="21"/>
              </w:rPr>
            </w:pPr>
            <w:r>
              <w:rPr>
                <w:rFonts w:hint="eastAsia" w:ascii="宋体" w:hAnsi="宋体" w:cs="宋体"/>
                <w:szCs w:val="21"/>
              </w:rPr>
              <w:t>履行合同所有相关服务所需的费用；</w:t>
            </w:r>
          </w:p>
          <w:p>
            <w:pPr>
              <w:numPr>
                <w:ilvl w:val="0"/>
                <w:numId w:val="8"/>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所有的税费；</w:t>
            </w:r>
          </w:p>
          <w:p>
            <w:pPr>
              <w:numPr>
                <w:ilvl w:val="0"/>
                <w:numId w:val="8"/>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hAns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ascii="宋体" w:hAnsi="宋体"/>
                <w:color w:val="FF0000"/>
                <w:szCs w:val="21"/>
              </w:rPr>
            </w:pPr>
            <w:r>
              <w:rPr>
                <w:rFonts w:hint="eastAsia" w:ascii="宋体" w:hAnsi="宋体"/>
                <w:szCs w:val="21"/>
              </w:rPr>
              <w:t>3.5</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投标保证金</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本项目无须递交投标保证金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3.6</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投标有效期</w:t>
            </w:r>
          </w:p>
        </w:tc>
        <w:tc>
          <w:tcPr>
            <w:tcW w:w="6592" w:type="dxa"/>
            <w:vAlign w:val="center"/>
          </w:tcPr>
          <w:p>
            <w:pPr>
              <w:adjustRightInd w:val="0"/>
              <w:snapToGrid w:val="0"/>
              <w:spacing w:line="320" w:lineRule="exact"/>
              <w:rPr>
                <w:rFonts w:ascii="宋体" w:hAnsi="宋体"/>
                <w:szCs w:val="21"/>
              </w:rPr>
            </w:pPr>
            <w:r>
              <w:rPr>
                <w:rFonts w:ascii="宋体" w:hAnsi="宋体"/>
                <w:szCs w:val="21"/>
              </w:rPr>
              <w:t>90天</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3.7</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投标文件份数</w:t>
            </w:r>
          </w:p>
        </w:tc>
        <w:tc>
          <w:tcPr>
            <w:tcW w:w="6592" w:type="dxa"/>
            <w:vAlign w:val="center"/>
          </w:tcPr>
          <w:p>
            <w:pPr>
              <w:adjustRightInd w:val="0"/>
              <w:snapToGrid w:val="0"/>
              <w:spacing w:line="320" w:lineRule="exact"/>
              <w:jc w:val="left"/>
              <w:rPr>
                <w:rFonts w:ascii="宋体" w:hAnsi="宋体"/>
                <w:szCs w:val="21"/>
              </w:rPr>
            </w:pPr>
            <w:r>
              <w:rPr>
                <w:rFonts w:hint="eastAsia" w:ascii="宋体" w:hAnsi="宋体"/>
                <w:szCs w:val="21"/>
              </w:rPr>
              <w:t xml:space="preserve">1.响应文件正本 1 套，副本 4 套； </w:t>
            </w:r>
          </w:p>
          <w:p>
            <w:pPr>
              <w:adjustRightInd w:val="0"/>
              <w:snapToGrid w:val="0"/>
              <w:spacing w:line="320" w:lineRule="exact"/>
              <w:jc w:val="left"/>
              <w:rPr>
                <w:rFonts w:ascii="宋体" w:hAnsi="宋体"/>
                <w:szCs w:val="21"/>
              </w:rPr>
            </w:pPr>
            <w:r>
              <w:rPr>
                <w:rFonts w:hint="eastAsia" w:ascii="宋体" w:hAnsi="宋体"/>
                <w:szCs w:val="21"/>
              </w:rPr>
              <w:t xml:space="preserve">2.报价信封 1 份（含签字盖章的报价函、首轮报价一览表、报价明细表、 中小微企业声明函（含属于监狱企业的证明文件及《残疾人福利性单位声明函》）单独密封提交，并在封套上标明“报价信封”字样。报价信封内的文件无需装订或热熔））； </w:t>
            </w:r>
          </w:p>
          <w:p>
            <w:pPr>
              <w:adjustRightInd w:val="0"/>
              <w:snapToGrid w:val="0"/>
              <w:spacing w:line="320" w:lineRule="exact"/>
              <w:jc w:val="left"/>
              <w:rPr>
                <w:rFonts w:ascii="宋体" w:hAnsi="宋体"/>
                <w:szCs w:val="21"/>
              </w:rPr>
            </w:pPr>
            <w:r>
              <w:rPr>
                <w:rFonts w:hint="eastAsia" w:ascii="宋体" w:hAnsi="宋体"/>
                <w:szCs w:val="21"/>
              </w:rPr>
              <w:t>3.电子文件 1 份（电子文件为 U 盘介质，内含 WORD 文档一份，PDF 格式一份，PDF 内容必须是纸质响应文件正本扫描件（含盖章、签署）， 不留密码，无病毒，不压缩。）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5.1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szCs w:val="21"/>
              </w:rPr>
              <w:t>评标委员会组成</w:t>
            </w:r>
          </w:p>
        </w:tc>
        <w:tc>
          <w:tcPr>
            <w:tcW w:w="6592" w:type="dxa"/>
            <w:vAlign w:val="center"/>
          </w:tcPr>
          <w:p>
            <w:pPr>
              <w:adjustRightInd w:val="0"/>
              <w:snapToGrid w:val="0"/>
              <w:spacing w:line="320" w:lineRule="exact"/>
              <w:rPr>
                <w:rFonts w:ascii="宋体" w:hAnsi="宋体" w:cs="宋体"/>
                <w:kern w:val="0"/>
                <w:szCs w:val="21"/>
              </w:rPr>
            </w:pPr>
            <w:r>
              <w:rPr>
                <w:rFonts w:hint="eastAsia" w:ascii="宋体" w:hAnsi="宋体"/>
                <w:bCs/>
                <w:szCs w:val="21"/>
              </w:rPr>
              <w:t>评标委员会由7人组成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5.2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hAns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5.3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hAnsi="宋体"/>
                <w:bCs/>
              </w:rPr>
            </w:pPr>
            <w:r>
              <w:rPr>
                <w:rFonts w:hint="eastAsia" w:ascii="宋体" w:hAnsi="宋体"/>
                <w:bCs/>
              </w:rPr>
              <w:t>推荐综合得分排名第一的投标人为第一中标候选人，排名第二的投标人为第二中标候选人。</w:t>
            </w:r>
          </w:p>
          <w:p>
            <w:pPr>
              <w:adjustRightInd w:val="0"/>
              <w:snapToGrid w:val="0"/>
              <w:spacing w:line="320" w:lineRule="exact"/>
              <w:rPr>
                <w:rFonts w:ascii="宋体" w:hAnsi="宋体"/>
                <w:bCs/>
              </w:rPr>
            </w:pPr>
            <w:r>
              <w:rPr>
                <w:rFonts w:hint="eastAsia" w:ascii="宋体" w:hAnsi="宋体"/>
                <w:bCs/>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6.1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6.2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履约保证金</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详见用户需求书、合同</w:t>
            </w:r>
          </w:p>
        </w:tc>
      </w:tr>
    </w:tbl>
    <w:p>
      <w:pPr>
        <w:rPr>
          <w:rFonts w:ascii="宋体" w:hAnsi="宋体" w:cs="宋体"/>
          <w:bCs/>
          <w:kern w:val="0"/>
          <w:szCs w:val="21"/>
        </w:rPr>
      </w:pPr>
      <w:r>
        <w:rPr>
          <w:rFonts w:hint="eastAsia" w:ascii="宋体" w:hAnsi="宋体" w:cs="宋体"/>
          <w:bCs/>
          <w:kern w:val="0"/>
          <w:szCs w:val="21"/>
        </w:rPr>
        <w:br w:type="page"/>
      </w:r>
    </w:p>
    <w:p>
      <w:pPr>
        <w:spacing w:line="360" w:lineRule="auto"/>
        <w:jc w:val="center"/>
        <w:outlineLvl w:val="0"/>
        <w:rPr>
          <w:rFonts w:ascii="宋体" w:hAnsi="宋体"/>
          <w:b/>
          <w:bCs/>
          <w:sz w:val="28"/>
        </w:rPr>
      </w:pPr>
      <w:bookmarkStart w:id="6" w:name="_Toc433648010"/>
      <w:bookmarkStart w:id="7" w:name="_Toc480529436"/>
      <w:bookmarkStart w:id="8" w:name="_Toc16193"/>
      <w:r>
        <w:rPr>
          <w:rFonts w:hint="eastAsia" w:ascii="宋体" w:hAnsi="宋体"/>
          <w:b/>
          <w:bCs/>
          <w:sz w:val="28"/>
          <w:szCs w:val="28"/>
        </w:rPr>
        <w:t>第三章  评分体系与标准</w:t>
      </w:r>
      <w:bookmarkEnd w:id="6"/>
      <w:bookmarkEnd w:id="7"/>
      <w:bookmarkEnd w:id="8"/>
    </w:p>
    <w:p>
      <w:pPr>
        <w:numPr>
          <w:ilvl w:val="0"/>
          <w:numId w:val="9"/>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本评标办法采用综合评分法。</w:t>
      </w:r>
    </w:p>
    <w:p>
      <w:pPr>
        <w:numPr>
          <w:ilvl w:val="0"/>
          <w:numId w:val="9"/>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评标步骤：代理机构对投标文件进行资格性审查，评标委员会对投标文件符合性审查，对通过初审的投标文件进行技术、商务及价格的详细评审，最后评标委员会出具评标报告。（初审分资格审核和符合性审查）</w:t>
      </w:r>
    </w:p>
    <w:p>
      <w:pPr>
        <w:numPr>
          <w:ilvl w:val="0"/>
          <w:numId w:val="9"/>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szCs w:val="21"/>
        </w:rPr>
        <w:t>评标委员会成员对需要共同认定的事项存在争议的，按照少数服从多数的原则作出结论。</w:t>
      </w:r>
    </w:p>
    <w:p>
      <w:pPr>
        <w:numPr>
          <w:ilvl w:val="0"/>
          <w:numId w:val="9"/>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9"/>
        </w:numPr>
        <w:tabs>
          <w:tab w:val="left" w:pos="630"/>
        </w:tabs>
        <w:autoSpaceDE w:val="0"/>
        <w:autoSpaceDN w:val="0"/>
        <w:adjustRightInd w:val="0"/>
        <w:snapToGrid w:val="0"/>
        <w:spacing w:line="360" w:lineRule="auto"/>
        <w:rPr>
          <w:rFonts w:ascii="宋体" w:hAnsi="宋体" w:cs="宋体"/>
          <w:b/>
          <w:szCs w:val="21"/>
        </w:rPr>
      </w:pPr>
      <w:r>
        <w:rPr>
          <w:rFonts w:hint="eastAsia" w:ascii="宋体" w:hAnsi="宋体" w:cs="SimSun-Identity-H"/>
          <w:b/>
          <w:kern w:val="0"/>
          <w:szCs w:val="21"/>
        </w:rPr>
        <w:t>评分权值</w:t>
      </w:r>
    </w:p>
    <w:tbl>
      <w:tblPr>
        <w:tblStyle w:val="17"/>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238" w:type="dxa"/>
            <w:vAlign w:val="center"/>
          </w:tcPr>
          <w:p>
            <w:pPr>
              <w:snapToGrid w:val="0"/>
              <w:spacing w:line="360" w:lineRule="auto"/>
              <w:jc w:val="center"/>
              <w:rPr>
                <w:rFonts w:ascii="宋体" w:hAnsi="宋体"/>
                <w:b/>
                <w:bCs/>
              </w:rPr>
            </w:pPr>
            <w:r>
              <w:rPr>
                <w:rFonts w:hint="eastAsia" w:ascii="宋体" w:hAnsi="宋体"/>
                <w:b/>
                <w:bCs/>
              </w:rPr>
              <w:t>技术部分</w:t>
            </w:r>
          </w:p>
        </w:tc>
        <w:tc>
          <w:tcPr>
            <w:tcW w:w="3312" w:type="dxa"/>
            <w:vAlign w:val="center"/>
          </w:tcPr>
          <w:p>
            <w:pPr>
              <w:snapToGrid w:val="0"/>
              <w:spacing w:line="360" w:lineRule="auto"/>
              <w:jc w:val="center"/>
              <w:rPr>
                <w:rFonts w:ascii="宋体" w:hAnsi="宋体"/>
                <w:b/>
                <w:bCs/>
              </w:rPr>
            </w:pPr>
            <w:r>
              <w:rPr>
                <w:rFonts w:hint="eastAsia" w:ascii="宋体" w:hAnsi="宋体"/>
                <w:b/>
                <w:bCs/>
              </w:rPr>
              <w:t>商务部分</w:t>
            </w:r>
          </w:p>
        </w:tc>
        <w:tc>
          <w:tcPr>
            <w:tcW w:w="3412" w:type="dxa"/>
            <w:vAlign w:val="center"/>
          </w:tcPr>
          <w:p>
            <w:pPr>
              <w:snapToGrid w:val="0"/>
              <w:spacing w:line="360" w:lineRule="auto"/>
              <w:jc w:val="center"/>
              <w:rPr>
                <w:rFonts w:ascii="宋体" w:hAnsi="宋体"/>
                <w:b/>
                <w:bCs/>
              </w:rPr>
            </w:pPr>
            <w:r>
              <w:rPr>
                <w:rFonts w:hint="eastAsia" w:ascii="宋体" w:hAnsi="宋体"/>
                <w:b/>
                <w:bCs/>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38" w:type="dxa"/>
            <w:vAlign w:val="center"/>
          </w:tcPr>
          <w:p>
            <w:pPr>
              <w:snapToGrid w:val="0"/>
              <w:jc w:val="center"/>
              <w:rPr>
                <w:rFonts w:ascii="宋体" w:hAnsi="宋体"/>
                <w:b/>
                <w:bCs/>
              </w:rPr>
            </w:pPr>
            <w:r>
              <w:rPr>
                <w:rFonts w:hint="eastAsia" w:ascii="宋体" w:hAnsi="宋体"/>
                <w:b/>
                <w:bCs/>
              </w:rPr>
              <w:t>40%</w:t>
            </w:r>
          </w:p>
        </w:tc>
        <w:tc>
          <w:tcPr>
            <w:tcW w:w="3312" w:type="dxa"/>
            <w:vAlign w:val="center"/>
          </w:tcPr>
          <w:p>
            <w:pPr>
              <w:snapToGrid w:val="0"/>
              <w:jc w:val="center"/>
              <w:rPr>
                <w:rFonts w:ascii="宋体" w:hAnsi="宋体"/>
                <w:b/>
                <w:bCs/>
              </w:rPr>
            </w:pPr>
            <w:r>
              <w:rPr>
                <w:rFonts w:hint="eastAsia" w:ascii="宋体" w:hAnsi="宋体"/>
                <w:b/>
                <w:bCs/>
              </w:rPr>
              <w:t>30%</w:t>
            </w:r>
          </w:p>
        </w:tc>
        <w:tc>
          <w:tcPr>
            <w:tcW w:w="3412" w:type="dxa"/>
            <w:vAlign w:val="center"/>
          </w:tcPr>
          <w:p>
            <w:pPr>
              <w:snapToGrid w:val="0"/>
              <w:jc w:val="center"/>
              <w:rPr>
                <w:rFonts w:ascii="宋体" w:hAnsi="宋体"/>
                <w:b/>
                <w:bCs/>
              </w:rPr>
            </w:pPr>
            <w:r>
              <w:rPr>
                <w:rFonts w:hint="eastAsia" w:ascii="宋体" w:hAnsi="宋体"/>
                <w:b/>
                <w:bCs/>
              </w:rPr>
              <w:t>30%</w:t>
            </w:r>
          </w:p>
        </w:tc>
      </w:tr>
    </w:tbl>
    <w:p>
      <w:pPr>
        <w:numPr>
          <w:ilvl w:val="0"/>
          <w:numId w:val="9"/>
        </w:numPr>
        <w:snapToGrid w:val="0"/>
        <w:spacing w:line="360" w:lineRule="auto"/>
        <w:rPr>
          <w:rFonts w:ascii="宋体" w:hAns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9"/>
        </w:numPr>
        <w:snapToGrid w:val="0"/>
        <w:spacing w:line="360" w:lineRule="auto"/>
        <w:rPr>
          <w:rFonts w:ascii="宋体" w:hAns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hAnsi="宋体"/>
          <w:b/>
          <w:sz w:val="24"/>
        </w:rPr>
      </w:pPr>
      <w:r>
        <w:rPr>
          <w:rFonts w:hint="eastAsia" w:ascii="宋体" w:hAnsi="宋体"/>
          <w:b/>
          <w:sz w:val="24"/>
        </w:rPr>
        <w:t>资格性审查表</w:t>
      </w:r>
    </w:p>
    <w:tbl>
      <w:tblPr>
        <w:tblStyle w:val="17"/>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szCs w:val="21"/>
              </w:rPr>
            </w:pPr>
            <w:r>
              <w:rPr>
                <w:rFonts w:hint="eastAsia" w:ascii="宋体" w:hAnsi="宋体"/>
                <w:b/>
                <w:szCs w:val="21"/>
              </w:rPr>
              <w:t>序号</w:t>
            </w:r>
          </w:p>
        </w:tc>
        <w:tc>
          <w:tcPr>
            <w:tcW w:w="9001" w:type="dxa"/>
            <w:tcBorders>
              <w:tl2br w:val="nil"/>
              <w:tr2bl w:val="nil"/>
            </w:tcBorders>
            <w:vAlign w:val="center"/>
          </w:tcPr>
          <w:p>
            <w:pPr>
              <w:spacing w:line="360" w:lineRule="auto"/>
              <w:jc w:val="center"/>
              <w:rPr>
                <w:rFonts w:ascii="宋体" w:hAnsi="宋体"/>
                <w:b/>
                <w:szCs w:val="21"/>
              </w:rPr>
            </w:pPr>
            <w:r>
              <w:rPr>
                <w:rFonts w:hint="eastAsia" w:ascii="宋体" w:hAnsi="宋体"/>
                <w:b/>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1</w:t>
            </w:r>
          </w:p>
        </w:tc>
        <w:tc>
          <w:tcPr>
            <w:tcW w:w="9001" w:type="dxa"/>
            <w:tcBorders>
              <w:tl2br w:val="nil"/>
              <w:tr2bl w:val="nil"/>
            </w:tcBorders>
            <w:vAlign w:val="center"/>
          </w:tcPr>
          <w:p>
            <w:pPr>
              <w:spacing w:line="360" w:lineRule="auto"/>
              <w:rPr>
                <w:rFonts w:ascii="宋体" w:hAnsi="宋体"/>
                <w:bCs/>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2</w:t>
            </w:r>
          </w:p>
        </w:tc>
        <w:tc>
          <w:tcPr>
            <w:tcW w:w="9001" w:type="dxa"/>
            <w:tcBorders>
              <w:tl2br w:val="nil"/>
              <w:tr2bl w:val="nil"/>
            </w:tcBorders>
            <w:vAlign w:val="center"/>
          </w:tcPr>
          <w:p>
            <w:pPr>
              <w:spacing w:line="360" w:lineRule="auto"/>
              <w:rPr>
                <w:rFonts w:ascii="宋体" w:hAnsi="宋体"/>
                <w:bCs/>
                <w:szCs w:val="21"/>
              </w:rPr>
            </w:pPr>
            <w:r>
              <w:rPr>
                <w:rFonts w:ascii="宋体" w:hAnsi="宋体" w:cs="宋体"/>
                <w:szCs w:val="21"/>
              </w:rPr>
              <w:t>供应商已登记并领</w:t>
            </w:r>
            <w:r>
              <w:rPr>
                <w:rFonts w:hint="eastAsia" w:ascii="宋体" w:hAnsi="宋体" w:cs="宋体"/>
                <w:szCs w:val="21"/>
              </w:rPr>
              <w:t>取</w:t>
            </w:r>
            <w:r>
              <w:rPr>
                <w:rFonts w:ascii="宋体" w:hAnsi="宋体" w:cs="宋体"/>
                <w:szCs w:val="21"/>
              </w:rPr>
              <w:t>本项目磋商文件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Cs w:val="21"/>
              </w:rPr>
            </w:pPr>
            <w:r>
              <w:rPr>
                <w:rFonts w:hint="eastAsia" w:ascii="宋体" w:hAnsi="宋体"/>
                <w:szCs w:val="21"/>
              </w:rPr>
              <w:t>3</w:t>
            </w:r>
          </w:p>
        </w:tc>
        <w:tc>
          <w:tcPr>
            <w:tcW w:w="9001" w:type="dxa"/>
            <w:tcBorders>
              <w:tl2br w:val="nil"/>
              <w:tr2bl w:val="nil"/>
            </w:tcBorders>
            <w:vAlign w:val="center"/>
          </w:tcPr>
          <w:p>
            <w:pPr>
              <w:spacing w:line="360" w:lineRule="auto"/>
              <w:rPr>
                <w:rFonts w:ascii="宋体" w:hAnsi="宋体"/>
                <w:bCs/>
                <w:szCs w:val="21"/>
              </w:rPr>
            </w:pPr>
            <w:r>
              <w:rPr>
                <w:rFonts w:hint="eastAsia" w:ascii="宋体" w:hAnsi="宋体" w:cs="宋体"/>
                <w:szCs w:val="21"/>
              </w:rPr>
              <w:t>本项目不接受联合体投标</w:t>
            </w:r>
          </w:p>
        </w:tc>
      </w:tr>
    </w:tbl>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ascii="宋体" w:hAnsi="宋体"/>
          <w:b/>
          <w:sz w:val="24"/>
        </w:rPr>
      </w:pPr>
      <w:r>
        <w:rPr>
          <w:rFonts w:hint="eastAsia" w:ascii="宋体" w:hAnsi="宋体"/>
          <w:b/>
          <w:sz w:val="24"/>
        </w:rPr>
        <w:t>符合性审查表</w:t>
      </w:r>
    </w:p>
    <w:tbl>
      <w:tblPr>
        <w:tblStyle w:val="17"/>
        <w:tblW w:w="996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szCs w:val="21"/>
              </w:rPr>
            </w:pPr>
            <w:r>
              <w:rPr>
                <w:rFonts w:hint="eastAsia" w:ascii="宋体" w:hAnsi="宋体"/>
                <w:b/>
                <w:szCs w:val="21"/>
              </w:rPr>
              <w:t>序号</w:t>
            </w:r>
          </w:p>
        </w:tc>
        <w:tc>
          <w:tcPr>
            <w:tcW w:w="9170" w:type="dxa"/>
            <w:tcBorders>
              <w:top w:val="single" w:color="auto" w:sz="12" w:space="0"/>
            </w:tcBorders>
            <w:vAlign w:val="center"/>
          </w:tcPr>
          <w:p>
            <w:pPr>
              <w:spacing w:line="360" w:lineRule="auto"/>
              <w:jc w:val="center"/>
              <w:rPr>
                <w:rFonts w:ascii="宋体" w:hAnsi="宋体"/>
                <w:b/>
                <w:szCs w:val="21"/>
              </w:rPr>
            </w:pPr>
            <w:r>
              <w:rPr>
                <w:rFonts w:hint="eastAsia" w:ascii="宋体" w:hAnsi="宋体"/>
                <w:b/>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9170" w:type="dxa"/>
            <w:vAlign w:val="center"/>
          </w:tcPr>
          <w:p>
            <w:pPr>
              <w:outlineLvl w:val="2"/>
              <w:rPr>
                <w:rFonts w:ascii="宋体" w:hAnsi="宋体"/>
                <w:szCs w:val="21"/>
              </w:rPr>
            </w:pPr>
            <w:r>
              <w:rPr>
                <w:rFonts w:hint="eastAsia" w:ascii="宋体" w:hAnsi="宋体" w:cs="宋体"/>
                <w:szCs w:val="21"/>
              </w:rPr>
              <w:t>投标函、投标人资格声明函已提交并按照招标文件规定要求签署、盖章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9170" w:type="dxa"/>
            <w:vAlign w:val="center"/>
          </w:tcPr>
          <w:p>
            <w:pPr>
              <w:outlineLvl w:val="2"/>
              <w:rPr>
                <w:rFonts w:ascii="宋体" w:hAnsi="宋体" w:cs="宋体"/>
                <w:szCs w:val="21"/>
              </w:rPr>
            </w:pPr>
            <w:r>
              <w:rPr>
                <w:rFonts w:hint="eastAsia" w:ascii="宋体" w:hAnsi="宋体" w:cs="宋体"/>
                <w:szCs w:val="21"/>
              </w:rPr>
              <w:t>法定代表人证明书或法定代表人授权委托书已提交并按照招标文件规定要求签署、盖章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3</w:t>
            </w:r>
          </w:p>
        </w:tc>
        <w:tc>
          <w:tcPr>
            <w:tcW w:w="9170" w:type="dxa"/>
            <w:vAlign w:val="center"/>
          </w:tcPr>
          <w:p>
            <w:pPr>
              <w:outlineLvl w:val="2"/>
              <w:rPr>
                <w:rFonts w:hint="eastAsia" w:ascii="宋体" w:hAnsi="宋体" w:cs="宋体"/>
                <w:szCs w:val="21"/>
              </w:rPr>
            </w:pPr>
            <w:r>
              <w:rPr>
                <w:rFonts w:hint="eastAsia" w:ascii="宋体" w:hAnsi="宋体" w:cs="宋体"/>
                <w:szCs w:val="21"/>
              </w:rPr>
              <w:t>公平竞争承诺书已提交并按照招标文件规定盖章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4</w:t>
            </w:r>
          </w:p>
        </w:tc>
        <w:tc>
          <w:tcPr>
            <w:tcW w:w="9170" w:type="dxa"/>
            <w:vAlign w:val="center"/>
          </w:tcPr>
          <w:p>
            <w:pPr>
              <w:spacing w:line="360" w:lineRule="auto"/>
              <w:rPr>
                <w:rFonts w:ascii="宋体" w:hAnsi="宋体"/>
                <w:szCs w:val="21"/>
              </w:rPr>
            </w:pPr>
            <w:r>
              <w:rPr>
                <w:rFonts w:hint="eastAsia" w:ascii="宋体" w:hAnsi="宋体"/>
                <w:szCs w:val="21"/>
              </w:rPr>
              <w:t>投标报价是固定价且未超过本项目采购预算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5</w:t>
            </w:r>
          </w:p>
        </w:tc>
        <w:tc>
          <w:tcPr>
            <w:tcW w:w="9170" w:type="dxa"/>
            <w:vAlign w:val="center"/>
          </w:tcPr>
          <w:p>
            <w:pPr>
              <w:spacing w:line="360" w:lineRule="auto"/>
              <w:rPr>
                <w:rFonts w:ascii="宋体" w:hAnsi="宋体"/>
                <w:szCs w:val="21"/>
              </w:rPr>
            </w:pPr>
            <w:r>
              <w:rPr>
                <w:rFonts w:hint="eastAsia" w:ascii="宋体" w:hAnsi="宋体" w:cs="宋体"/>
                <w:szCs w:val="21"/>
              </w:rPr>
              <w:t>服务期满足招标文件要求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9170" w:type="dxa"/>
            <w:vAlign w:val="center"/>
          </w:tcPr>
          <w:p>
            <w:pPr>
              <w:spacing w:line="360" w:lineRule="auto"/>
              <w:rPr>
                <w:rFonts w:ascii="宋体" w:hAnsi="宋体" w:cs="宋体"/>
                <w:szCs w:val="21"/>
              </w:rPr>
            </w:pPr>
            <w:r>
              <w:rPr>
                <w:rFonts w:hint="eastAsia" w:ascii="宋体" w:hAnsi="宋体"/>
                <w:szCs w:val="21"/>
              </w:rPr>
              <w:t>能满足用户需求的主要参数（带“★”号条款）(如有)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9170" w:type="dxa"/>
            <w:vAlign w:val="center"/>
          </w:tcPr>
          <w:p>
            <w:pPr>
              <w:spacing w:line="360" w:lineRule="auto"/>
              <w:rPr>
                <w:rFonts w:ascii="宋体" w:hAnsi="宋体" w:cs="宋体"/>
                <w:szCs w:val="21"/>
              </w:rPr>
            </w:pPr>
            <w:r>
              <w:rPr>
                <w:rFonts w:hint="eastAsia" w:ascii="宋体" w:hAnsi="宋体" w:cs="宋体"/>
                <w:szCs w:val="21"/>
              </w:rPr>
              <w:t>未出现恶意竞争低于成本价的情形投标人投标报价合理的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9170" w:type="dxa"/>
            <w:vAlign w:val="center"/>
          </w:tcPr>
          <w:p>
            <w:pPr>
              <w:spacing w:line="360" w:lineRule="auto"/>
              <w:rPr>
                <w:rFonts w:ascii="宋体" w:hAnsi="宋体" w:cs="宋体"/>
                <w:szCs w:val="21"/>
              </w:rPr>
            </w:pPr>
            <w:r>
              <w:rPr>
                <w:rFonts w:hint="eastAsia" w:ascii="宋体" w:hAnsi="宋体"/>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9170" w:type="dxa"/>
            <w:tcBorders>
              <w:bottom w:val="single" w:color="auto" w:sz="12" w:space="0"/>
            </w:tcBorders>
            <w:vAlign w:val="center"/>
          </w:tcPr>
          <w:p>
            <w:pPr>
              <w:spacing w:line="360" w:lineRule="auto"/>
              <w:rPr>
                <w:rFonts w:ascii="宋体" w:hAnsi="宋体"/>
                <w:szCs w:val="21"/>
              </w:rPr>
            </w:pPr>
            <w:r>
              <w:rPr>
                <w:rFonts w:hint="eastAsia" w:ascii="宋体" w:hAnsi="宋体"/>
                <w:szCs w:val="21"/>
              </w:rPr>
              <w:t>未出现法律、法规、规章规定属于投标无效的其他情形</w:t>
            </w:r>
          </w:p>
        </w:tc>
      </w:tr>
    </w:tbl>
    <w:p>
      <w:pPr>
        <w:spacing w:line="360" w:lineRule="auto"/>
        <w:ind w:left="420"/>
        <w:jc w:val="center"/>
        <w:outlineLvl w:val="0"/>
        <w:rPr>
          <w:rFonts w:ascii="宋体" w:hAnsi="宋体"/>
          <w:b/>
          <w:bCs/>
          <w:sz w:val="28"/>
          <w:szCs w:val="28"/>
        </w:rPr>
      </w:pPr>
      <w:r>
        <w:rPr>
          <w:rFonts w:hint="eastAsia" w:ascii="宋体" w:hAnsi="宋体"/>
          <w:b/>
          <w:bCs/>
          <w:sz w:val="28"/>
          <w:szCs w:val="28"/>
        </w:rPr>
        <w:br w:type="page"/>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56"/>
        <w:gridCol w:w="7148"/>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9" w:type="pct"/>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bookmarkStart w:id="9" w:name="_Toc17196"/>
            <w:bookmarkStart w:id="10" w:name="_Toc7324"/>
            <w:bookmarkStart w:id="11" w:name="_Toc26151"/>
            <w:r>
              <w:rPr>
                <w:rStyle w:val="37"/>
                <w:rFonts w:ascii="宋体" w:hAnsi="宋体"/>
                <w:szCs w:val="21"/>
              </w:rPr>
              <w:t>技术分</w:t>
            </w:r>
          </w:p>
          <w:p>
            <w:pPr>
              <w:spacing w:line="360" w:lineRule="auto"/>
              <w:jc w:val="center"/>
              <w:textAlignment w:val="baseline"/>
              <w:rPr>
                <w:rStyle w:val="37"/>
                <w:rFonts w:ascii="宋体" w:hAnsi="宋体"/>
                <w:szCs w:val="21"/>
              </w:rPr>
            </w:pPr>
            <w:r>
              <w:rPr>
                <w:rStyle w:val="37"/>
                <w:rFonts w:ascii="宋体" w:hAnsi="宋体"/>
                <w:szCs w:val="21"/>
              </w:rPr>
              <w:t>(满分40分)</w:t>
            </w:r>
          </w:p>
        </w:tc>
        <w:tc>
          <w:tcPr>
            <w:tcW w:w="3665" w:type="pct"/>
            <w:tcBorders>
              <w:top w:val="single" w:color="000000" w:sz="4" w:space="0"/>
              <w:left w:val="single" w:color="000000" w:sz="4" w:space="0"/>
              <w:bottom w:val="single" w:color="000000" w:sz="4" w:space="0"/>
              <w:right w:val="single" w:color="000000" w:sz="4" w:space="0"/>
            </w:tcBorders>
          </w:tcPr>
          <w:p>
            <w:pPr>
              <w:spacing w:line="360" w:lineRule="auto"/>
              <w:textAlignment w:val="baseline"/>
              <w:rPr>
                <w:rStyle w:val="37"/>
                <w:rFonts w:ascii="宋体" w:hAnsi="宋体"/>
                <w:b/>
                <w:bCs/>
                <w:szCs w:val="21"/>
              </w:rPr>
            </w:pPr>
            <w:r>
              <w:rPr>
                <w:rStyle w:val="37"/>
                <w:rFonts w:ascii="宋体" w:hAnsi="宋体"/>
                <w:b/>
                <w:bCs/>
                <w:szCs w:val="21"/>
              </w:rPr>
              <w:t>样品评分：</w:t>
            </w:r>
          </w:p>
          <w:p>
            <w:pPr>
              <w:spacing w:line="360" w:lineRule="auto"/>
              <w:ind w:firstLine="210" w:firstLineChars="100"/>
              <w:textAlignment w:val="baseline"/>
              <w:rPr>
                <w:rStyle w:val="37"/>
                <w:rFonts w:ascii="宋体" w:hAnsi="宋体"/>
                <w:szCs w:val="21"/>
              </w:rPr>
            </w:pPr>
            <w:r>
              <w:rPr>
                <w:rStyle w:val="37"/>
                <w:rFonts w:ascii="宋体" w:hAnsi="宋体"/>
                <w:szCs w:val="21"/>
              </w:rPr>
              <w:t>（GNSS（含天线）、倾斜传感器、加速度传感器、静力水准仪、裂缝传感器）</w:t>
            </w:r>
          </w:p>
          <w:p>
            <w:pPr>
              <w:spacing w:line="360" w:lineRule="auto"/>
              <w:ind w:firstLine="210" w:firstLineChars="100"/>
              <w:textAlignment w:val="baseline"/>
              <w:rPr>
                <w:rStyle w:val="37"/>
                <w:rFonts w:ascii="宋体" w:hAnsi="宋体"/>
                <w:szCs w:val="21"/>
              </w:rPr>
            </w:pPr>
            <w:r>
              <w:rPr>
                <w:rStyle w:val="37"/>
                <w:rFonts w:ascii="宋体" w:hAnsi="宋体"/>
                <w:szCs w:val="21"/>
              </w:rPr>
              <w:t>提交的样品标识标牌情况、产品生产工艺、产品相关配件完善性、产品说明书完善性等进行评价。0-5分。</w:t>
            </w:r>
          </w:p>
        </w:tc>
        <w:tc>
          <w:tcPr>
            <w:tcW w:w="484"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r>
              <w:rPr>
                <w:rStyle w:val="37"/>
                <w:rFonts w:ascii="宋体" w:hAnsi="宋体"/>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9"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p>
        </w:tc>
        <w:tc>
          <w:tcPr>
            <w:tcW w:w="3665" w:type="pct"/>
            <w:tcBorders>
              <w:top w:val="single" w:color="000000" w:sz="4" w:space="0"/>
              <w:left w:val="single" w:color="000000" w:sz="4" w:space="0"/>
              <w:bottom w:val="single" w:color="000000" w:sz="4" w:space="0"/>
              <w:right w:val="single" w:color="000000" w:sz="4" w:space="0"/>
            </w:tcBorders>
          </w:tcPr>
          <w:p>
            <w:pPr>
              <w:spacing w:line="360" w:lineRule="auto"/>
              <w:textAlignment w:val="baseline"/>
              <w:rPr>
                <w:rStyle w:val="37"/>
                <w:rFonts w:ascii="宋体" w:hAnsi="Calibri" w:cs="宋体"/>
                <w:b/>
                <w:bCs/>
                <w:kern w:val="0"/>
                <w:szCs w:val="21"/>
              </w:rPr>
            </w:pPr>
            <w:r>
              <w:rPr>
                <w:rStyle w:val="37"/>
                <w:rFonts w:ascii="宋体" w:hAnsi="Calibri" w:cs="宋体"/>
                <w:b/>
                <w:bCs/>
                <w:kern w:val="0"/>
                <w:szCs w:val="21"/>
              </w:rPr>
              <w:t>现场阐述：</w:t>
            </w:r>
          </w:p>
          <w:p>
            <w:pPr>
              <w:spacing w:line="360" w:lineRule="auto"/>
              <w:ind w:firstLine="210" w:firstLineChars="100"/>
              <w:textAlignment w:val="baseline"/>
              <w:rPr>
                <w:rStyle w:val="37"/>
                <w:rFonts w:ascii="宋体" w:hAnsi="Calibri"/>
                <w:kern w:val="0"/>
                <w:szCs w:val="21"/>
              </w:rPr>
            </w:pPr>
            <w:r>
              <w:rPr>
                <w:rStyle w:val="37"/>
                <w:rFonts w:ascii="宋体" w:hAnsi="Calibri"/>
                <w:kern w:val="0"/>
                <w:szCs w:val="21"/>
              </w:rPr>
              <w:t>供应商项目负责人针对本项目进行现场阐述，内容包括但不限于：①对项目的理解分析；②对项目的组织实施；③对项目的进度计划安排；④对项目的实施保障；⑤协助采购方开发平台、监测预警模块的措施及案例；⑥对项目的风险评估及应对措施；⑦售后服务等。</w:t>
            </w:r>
          </w:p>
          <w:p>
            <w:pPr>
              <w:spacing w:line="360" w:lineRule="auto"/>
              <w:ind w:firstLine="210" w:firstLineChars="100"/>
              <w:textAlignment w:val="baseline"/>
              <w:rPr>
                <w:rStyle w:val="37"/>
                <w:rFonts w:ascii="宋体" w:hAnsi="Calibri"/>
                <w:kern w:val="0"/>
                <w:szCs w:val="21"/>
              </w:rPr>
            </w:pPr>
            <w:r>
              <w:rPr>
                <w:rStyle w:val="37"/>
                <w:rFonts w:ascii="宋体" w:hAnsi="Calibri"/>
                <w:kern w:val="0"/>
                <w:szCs w:val="21"/>
              </w:rPr>
              <w:t>1、评标委员会针对阐述情况进行综合评分0-5分；</w:t>
            </w:r>
          </w:p>
          <w:p>
            <w:pPr>
              <w:spacing w:line="360" w:lineRule="auto"/>
              <w:ind w:firstLine="210" w:firstLineChars="100"/>
              <w:textAlignment w:val="baseline"/>
              <w:rPr>
                <w:rStyle w:val="37"/>
                <w:rFonts w:ascii="宋体" w:hAnsi="Calibri"/>
                <w:kern w:val="0"/>
                <w:szCs w:val="21"/>
              </w:rPr>
            </w:pPr>
            <w:r>
              <w:rPr>
                <w:rStyle w:val="37"/>
                <w:rFonts w:ascii="宋体" w:hAnsi="Calibri"/>
                <w:kern w:val="0"/>
                <w:szCs w:val="21"/>
              </w:rPr>
              <w:t>2、评标委员会针对本项目进行提问，根据项目负责人作答情况进行综合评分0-5分。</w:t>
            </w:r>
          </w:p>
          <w:p>
            <w:pPr>
              <w:spacing w:line="360" w:lineRule="auto"/>
              <w:ind w:firstLine="210" w:firstLineChars="100"/>
              <w:textAlignment w:val="baseline"/>
              <w:rPr>
                <w:rStyle w:val="37"/>
                <w:rFonts w:ascii="宋体" w:hAnsi="Calibri"/>
                <w:kern w:val="0"/>
                <w:szCs w:val="21"/>
              </w:rPr>
            </w:pPr>
            <w:r>
              <w:rPr>
                <w:rStyle w:val="37"/>
                <w:rFonts w:ascii="宋体" w:hAnsi="Calibri"/>
                <w:kern w:val="0"/>
                <w:szCs w:val="21"/>
              </w:rPr>
              <w:t>注：</w:t>
            </w:r>
          </w:p>
          <w:p>
            <w:pPr>
              <w:spacing w:line="360" w:lineRule="auto"/>
              <w:ind w:firstLine="210" w:firstLineChars="100"/>
              <w:textAlignment w:val="baseline"/>
              <w:rPr>
                <w:rStyle w:val="37"/>
                <w:rFonts w:ascii="宋体" w:hAnsi="宋体"/>
                <w:szCs w:val="21"/>
              </w:rPr>
            </w:pPr>
            <w:r>
              <w:rPr>
                <w:rStyle w:val="37"/>
                <w:rFonts w:ascii="宋体" w:hAnsi="Calibri"/>
                <w:kern w:val="0"/>
                <w:szCs w:val="21"/>
              </w:rPr>
              <w:t>①每家供应商阐述时间不超过15分钟，且当评标委员会一致认为其述标内容不符合项目述标要求时，可终止该供应商的阐述。</w:t>
            </w:r>
          </w:p>
          <w:p>
            <w:pPr>
              <w:spacing w:line="360" w:lineRule="auto"/>
              <w:ind w:firstLine="210" w:firstLineChars="100"/>
              <w:textAlignment w:val="baseline"/>
              <w:rPr>
                <w:rStyle w:val="37"/>
                <w:rFonts w:ascii="宋体" w:hAnsi="宋体"/>
                <w:szCs w:val="21"/>
              </w:rPr>
            </w:pPr>
            <w:r>
              <w:rPr>
                <w:rStyle w:val="37"/>
                <w:rFonts w:ascii="宋体" w:hAnsi="Calibri"/>
                <w:kern w:val="0"/>
                <w:szCs w:val="21"/>
              </w:rPr>
              <w:t>②阐述前，由现场评委对供应商项目负责人进行身份验证，项目负责人进场需随身携带身份证原件。</w:t>
            </w:r>
          </w:p>
        </w:tc>
        <w:tc>
          <w:tcPr>
            <w:tcW w:w="484"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r>
              <w:rPr>
                <w:rStyle w:val="37"/>
                <w:rFonts w:ascii="宋体" w:hAnsi="宋体"/>
                <w:szCs w:val="21"/>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9"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p>
        </w:tc>
        <w:tc>
          <w:tcPr>
            <w:tcW w:w="3665" w:type="pct"/>
            <w:tcBorders>
              <w:top w:val="single" w:color="000000" w:sz="4" w:space="0"/>
              <w:left w:val="single" w:color="000000" w:sz="4" w:space="0"/>
              <w:bottom w:val="single" w:color="000000" w:sz="4" w:space="0"/>
              <w:right w:val="single" w:color="000000" w:sz="4" w:space="0"/>
            </w:tcBorders>
          </w:tcPr>
          <w:p>
            <w:pPr>
              <w:spacing w:line="360" w:lineRule="auto"/>
              <w:textAlignment w:val="baseline"/>
              <w:rPr>
                <w:rStyle w:val="37"/>
                <w:rFonts w:ascii="宋体" w:hAnsi="宋体"/>
                <w:b/>
                <w:bCs/>
                <w:szCs w:val="21"/>
              </w:rPr>
            </w:pPr>
            <w:r>
              <w:rPr>
                <w:rStyle w:val="37"/>
                <w:rFonts w:ascii="宋体" w:hAnsi="宋体"/>
                <w:b/>
                <w:bCs/>
                <w:szCs w:val="21"/>
              </w:rPr>
              <w:t>投标产品技术要求及参数响应：</w:t>
            </w:r>
          </w:p>
          <w:p>
            <w:pPr>
              <w:spacing w:line="360" w:lineRule="auto"/>
              <w:textAlignment w:val="baseline"/>
              <w:rPr>
                <w:rStyle w:val="37"/>
                <w:rFonts w:ascii="宋体" w:hAnsi="宋体"/>
                <w:szCs w:val="21"/>
              </w:rPr>
            </w:pPr>
            <w:r>
              <w:rPr>
                <w:rStyle w:val="37"/>
                <w:rFonts w:ascii="宋体" w:hAnsi="宋体"/>
                <w:szCs w:val="21"/>
              </w:rPr>
              <w:t>以对招标文件“第六部分采购设备技术要求”的响应情况为依据，进行评分。</w:t>
            </w:r>
          </w:p>
          <w:p>
            <w:pPr>
              <w:spacing w:line="360" w:lineRule="auto"/>
              <w:textAlignment w:val="baseline"/>
              <w:rPr>
                <w:rStyle w:val="37"/>
                <w:rFonts w:ascii="宋体" w:hAnsi="宋体"/>
                <w:szCs w:val="21"/>
              </w:rPr>
            </w:pPr>
            <w:r>
              <w:rPr>
                <w:rStyle w:val="37"/>
                <w:rFonts w:ascii="宋体" w:hAnsi="宋体"/>
                <w:szCs w:val="21"/>
              </w:rPr>
              <w:t>1、完全满足招标产品技术参数，得20分；</w:t>
            </w:r>
          </w:p>
          <w:p>
            <w:pPr>
              <w:spacing w:line="360" w:lineRule="auto"/>
              <w:textAlignment w:val="baseline"/>
              <w:rPr>
                <w:rStyle w:val="37"/>
                <w:rFonts w:ascii="宋体" w:hAnsi="宋体"/>
                <w:szCs w:val="21"/>
              </w:rPr>
            </w:pPr>
            <w:r>
              <w:rPr>
                <w:rStyle w:val="37"/>
                <w:rFonts w:ascii="宋体" w:hAnsi="宋体"/>
                <w:szCs w:val="21"/>
              </w:rPr>
              <w:t>2、若所投产品的响应与1项非“▲”技术参数（规格）要求条款存在负偏离扣2分，1项“▲”技术参数（规格）要求条款存在负偏离扣3分。</w:t>
            </w:r>
          </w:p>
          <w:p>
            <w:pPr>
              <w:spacing w:line="360" w:lineRule="auto"/>
              <w:textAlignment w:val="baseline"/>
              <w:rPr>
                <w:rStyle w:val="37"/>
                <w:rFonts w:ascii="宋体" w:hAnsi="宋体"/>
                <w:szCs w:val="21"/>
              </w:rPr>
            </w:pPr>
            <w:r>
              <w:rPr>
                <w:rStyle w:val="37"/>
                <w:rFonts w:ascii="宋体" w:hAnsi="宋体"/>
                <w:szCs w:val="21"/>
              </w:rPr>
              <w:t>3、供应商须</w:t>
            </w:r>
            <w:r>
              <w:rPr>
                <w:rStyle w:val="37"/>
                <w:rFonts w:ascii="宋体" w:hAnsi="Calibri"/>
                <w:kern w:val="0"/>
                <w:szCs w:val="21"/>
              </w:rPr>
              <w:t>保证监测数据按要求接入采购方指定平台，</w:t>
            </w:r>
            <w:r>
              <w:rPr>
                <w:rStyle w:val="37"/>
                <w:rFonts w:ascii="宋体" w:hAnsi="宋体"/>
                <w:szCs w:val="21"/>
              </w:rPr>
              <w:t>免费</w:t>
            </w:r>
            <w:r>
              <w:rPr>
                <w:rStyle w:val="37"/>
                <w:rFonts w:ascii="宋体" w:hAnsi="Calibri"/>
                <w:kern w:val="0"/>
                <w:szCs w:val="21"/>
              </w:rPr>
              <w:t>协助采购方建设平台专业监测相关功能模块，为实现设备管理、数据采集分析、监测预警等功能所需的软件、程序、代码、参数等相关资料需永久免费提供给采购方使用，</w:t>
            </w:r>
            <w:r>
              <w:rPr>
                <w:rStyle w:val="37"/>
                <w:rFonts w:ascii="宋体" w:hAnsi="宋体"/>
                <w:szCs w:val="21"/>
              </w:rPr>
              <w:t>需附供应商承诺函原件及人员和技术保障证明文件（如：平台开发能力证明</w:t>
            </w:r>
            <w:r>
              <w:rPr>
                <w:rStyle w:val="37"/>
                <w:rFonts w:hint="eastAsia" w:ascii="宋体" w:hAnsi="宋体"/>
                <w:szCs w:val="21"/>
              </w:rPr>
              <w:t>、地质灾害监测预警类的软件著作权证书</w:t>
            </w:r>
            <w:r>
              <w:rPr>
                <w:rStyle w:val="37"/>
                <w:rFonts w:ascii="宋体" w:hAnsi="宋体"/>
                <w:szCs w:val="21"/>
              </w:rPr>
              <w:t>、案例等</w:t>
            </w:r>
            <w:r>
              <w:rPr>
                <w:rStyle w:val="37"/>
                <w:rFonts w:hint="eastAsia" w:ascii="宋体" w:hAnsi="宋体"/>
                <w:szCs w:val="21"/>
              </w:rPr>
              <w:t>其中一项或多项</w:t>
            </w:r>
            <w:r>
              <w:rPr>
                <w:rStyle w:val="37"/>
                <w:rFonts w:ascii="宋体" w:hAnsi="宋体"/>
                <w:szCs w:val="21"/>
              </w:rPr>
              <w:t>），未提供不得分。</w:t>
            </w:r>
          </w:p>
          <w:p>
            <w:pPr>
              <w:spacing w:line="360" w:lineRule="auto"/>
              <w:textAlignment w:val="baseline"/>
              <w:rPr>
                <w:rStyle w:val="37"/>
                <w:rFonts w:ascii="宋体" w:hAnsi="宋体"/>
                <w:szCs w:val="21"/>
              </w:rPr>
            </w:pPr>
            <w:r>
              <w:rPr>
                <w:rStyle w:val="37"/>
                <w:rFonts w:ascii="宋体" w:hAnsi="宋体"/>
                <w:szCs w:val="21"/>
              </w:rPr>
              <w:t>4、若采购方指定平台租赁的云服务器不能满足本项目</w:t>
            </w:r>
            <w:r>
              <w:rPr>
                <w:rStyle w:val="37"/>
                <w:rFonts w:ascii="宋体" w:hAnsi="Calibri"/>
                <w:kern w:val="0"/>
                <w:szCs w:val="21"/>
              </w:rPr>
              <w:t>专业监测</w:t>
            </w:r>
            <w:r>
              <w:rPr>
                <w:rStyle w:val="37"/>
                <w:rFonts w:ascii="宋体" w:hAnsi="宋体"/>
                <w:szCs w:val="21"/>
              </w:rPr>
              <w:t>相关功能的需要，供应商需承诺质保期内免费提供满足本项目</w:t>
            </w:r>
            <w:r>
              <w:rPr>
                <w:rStyle w:val="37"/>
                <w:rFonts w:ascii="宋体" w:hAnsi="Calibri"/>
                <w:kern w:val="0"/>
                <w:szCs w:val="21"/>
              </w:rPr>
              <w:t>专业监测</w:t>
            </w:r>
            <w:r>
              <w:rPr>
                <w:rStyle w:val="37"/>
                <w:rFonts w:ascii="宋体" w:hAnsi="宋体"/>
                <w:szCs w:val="21"/>
              </w:rPr>
              <w:t>相关功能的云服务器给采购方使用，需附供应商承诺函原件，未提供不得分。</w:t>
            </w:r>
          </w:p>
          <w:p>
            <w:pPr>
              <w:spacing w:line="360" w:lineRule="auto"/>
              <w:textAlignment w:val="baseline"/>
              <w:rPr>
                <w:rStyle w:val="37"/>
                <w:rFonts w:ascii="宋体" w:hAnsi="宋体"/>
                <w:szCs w:val="21"/>
              </w:rPr>
            </w:pPr>
            <w:r>
              <w:rPr>
                <w:rStyle w:val="37"/>
                <w:rFonts w:ascii="宋体" w:hAnsi="宋体"/>
                <w:szCs w:val="21"/>
              </w:rPr>
              <w:t>注：</w:t>
            </w:r>
          </w:p>
          <w:p>
            <w:pPr>
              <w:spacing w:line="360" w:lineRule="auto"/>
              <w:textAlignment w:val="baseline"/>
              <w:rPr>
                <w:rStyle w:val="37"/>
                <w:rFonts w:ascii="宋体" w:hAnsi="宋体"/>
                <w:szCs w:val="21"/>
              </w:rPr>
            </w:pPr>
            <w:r>
              <w:rPr>
                <w:rStyle w:val="37"/>
                <w:rFonts w:ascii="宋体" w:hAnsi="宋体"/>
                <w:szCs w:val="21"/>
              </w:rPr>
              <w:t>①供应商不得完全复制粘贴招标文件技术参数作为投标响应，否则此项技术分为0分。</w:t>
            </w:r>
          </w:p>
          <w:p>
            <w:pPr>
              <w:spacing w:line="360" w:lineRule="auto"/>
              <w:textAlignment w:val="baseline"/>
              <w:rPr>
                <w:rStyle w:val="37"/>
                <w:rFonts w:ascii="宋体" w:hAnsi="宋体"/>
                <w:szCs w:val="21"/>
              </w:rPr>
            </w:pPr>
            <w:r>
              <w:rPr>
                <w:rStyle w:val="37"/>
                <w:rFonts w:ascii="宋体" w:hAnsi="宋体"/>
                <w:szCs w:val="21"/>
              </w:rPr>
              <w:t>②供应商须对本招标文件技术要求进行点对点应答，必须在引用本招标文件的基础上,进行逐条逐项答复、说明和解释。特别对有具体“▲”参数要求的指标，供应商必须提供所投设备的具体参数值，并根据技术要求提供相关证明材料。</w:t>
            </w:r>
          </w:p>
          <w:p>
            <w:pPr>
              <w:spacing w:line="360" w:lineRule="auto"/>
              <w:textAlignment w:val="baseline"/>
              <w:rPr>
                <w:rStyle w:val="37"/>
                <w:rFonts w:ascii="宋体" w:hAnsi="宋体"/>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r>
              <w:rPr>
                <w:rStyle w:val="37"/>
                <w:rFonts w:ascii="宋体" w:hAnsi="宋体"/>
                <w:szCs w:val="21"/>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9"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p>
        </w:tc>
        <w:tc>
          <w:tcPr>
            <w:tcW w:w="3665" w:type="pct"/>
            <w:tcBorders>
              <w:top w:val="single" w:color="000000" w:sz="4" w:space="0"/>
              <w:left w:val="single" w:color="000000" w:sz="4" w:space="0"/>
              <w:bottom w:val="single" w:color="000000" w:sz="4" w:space="0"/>
              <w:right w:val="single" w:color="000000" w:sz="4" w:space="0"/>
            </w:tcBorders>
          </w:tcPr>
          <w:p>
            <w:pPr>
              <w:spacing w:line="360" w:lineRule="auto"/>
              <w:textAlignment w:val="baseline"/>
              <w:rPr>
                <w:rStyle w:val="37"/>
                <w:rFonts w:ascii="宋体" w:hAnsi="宋体"/>
                <w:szCs w:val="21"/>
              </w:rPr>
            </w:pPr>
            <w:r>
              <w:rPr>
                <w:rStyle w:val="37"/>
                <w:rFonts w:ascii="宋体" w:hAnsi="宋体"/>
                <w:szCs w:val="21"/>
              </w:rPr>
              <w:t>《项目实施方案》评分：</w:t>
            </w:r>
          </w:p>
          <w:p>
            <w:pPr>
              <w:spacing w:line="360" w:lineRule="auto"/>
              <w:textAlignment w:val="baseline"/>
              <w:rPr>
                <w:rStyle w:val="37"/>
                <w:rFonts w:ascii="宋体" w:hAnsi="宋体"/>
                <w:szCs w:val="21"/>
              </w:rPr>
            </w:pPr>
            <w:r>
              <w:rPr>
                <w:rStyle w:val="37"/>
                <w:rFonts w:ascii="宋体" w:hAnsi="宋体"/>
                <w:szCs w:val="21"/>
              </w:rPr>
              <w:t>1、方案完整（包括项目人员的组成、适用范围、测量放线、安装前检验、设备安装、安装设备防护、潜在风险评估、质保期维护等），保障措施有力，可操作性强得5分；</w:t>
            </w:r>
          </w:p>
          <w:p>
            <w:pPr>
              <w:spacing w:line="360" w:lineRule="auto"/>
              <w:textAlignment w:val="baseline"/>
              <w:rPr>
                <w:rStyle w:val="37"/>
                <w:rFonts w:ascii="宋体" w:hAnsi="宋体"/>
                <w:szCs w:val="21"/>
              </w:rPr>
            </w:pPr>
            <w:r>
              <w:rPr>
                <w:rStyle w:val="37"/>
                <w:rFonts w:ascii="宋体" w:hAnsi="宋体"/>
                <w:szCs w:val="21"/>
              </w:rPr>
              <w:t>2、方案较完整（项目人员的组成、适用范围、测量放线、安装前检验、设备安装、安装设备防护、潜在风险评估、质保期维护等上述项中有缺项），有一定保障措施，可操作性一般得1-4分；</w:t>
            </w:r>
          </w:p>
          <w:p>
            <w:pPr>
              <w:spacing w:line="360" w:lineRule="auto"/>
              <w:textAlignment w:val="baseline"/>
              <w:rPr>
                <w:rStyle w:val="37"/>
                <w:rFonts w:ascii="宋体" w:hAnsi="宋体"/>
                <w:szCs w:val="21"/>
              </w:rPr>
            </w:pPr>
            <w:r>
              <w:rPr>
                <w:rStyle w:val="37"/>
                <w:rFonts w:ascii="宋体" w:hAnsi="宋体"/>
                <w:szCs w:val="21"/>
              </w:rPr>
              <w:t>3、方案不完整，保障措施不力，无项目人员的组成的，操作性不强的不得分。（供应商须承诺，项目人员中，项目负责人、项目技术负责人、项目施工组长等核心人员在项目验收结束前，必须作为专职人员，不得与其他项目混用离开项目现场。否则项目实施方案不得分）</w:t>
            </w:r>
          </w:p>
          <w:p>
            <w:pPr>
              <w:spacing w:line="360" w:lineRule="auto"/>
              <w:textAlignment w:val="baseline"/>
              <w:rPr>
                <w:rStyle w:val="37"/>
                <w:rFonts w:ascii="宋体" w:hAnsi="宋体"/>
                <w:szCs w:val="21"/>
              </w:rPr>
            </w:pPr>
          </w:p>
        </w:tc>
        <w:tc>
          <w:tcPr>
            <w:tcW w:w="484"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r>
              <w:rPr>
                <w:rStyle w:val="37"/>
                <w:rFonts w:ascii="宋体" w:hAnsi="宋体"/>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9" w:type="pct"/>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r>
              <w:rPr>
                <w:rStyle w:val="37"/>
                <w:rFonts w:ascii="宋体" w:hAnsi="宋体"/>
                <w:szCs w:val="21"/>
              </w:rPr>
              <w:t>商务分</w:t>
            </w:r>
          </w:p>
          <w:p>
            <w:pPr>
              <w:spacing w:line="360" w:lineRule="auto"/>
              <w:jc w:val="center"/>
              <w:textAlignment w:val="baseline"/>
              <w:rPr>
                <w:rStyle w:val="37"/>
                <w:rFonts w:ascii="宋体" w:hAnsi="宋体"/>
                <w:szCs w:val="21"/>
              </w:rPr>
            </w:pPr>
            <w:r>
              <w:rPr>
                <w:rStyle w:val="37"/>
                <w:rFonts w:ascii="宋体" w:hAnsi="宋体"/>
                <w:szCs w:val="21"/>
              </w:rPr>
              <w:t>(满分30分)</w:t>
            </w:r>
          </w:p>
        </w:tc>
        <w:tc>
          <w:tcPr>
            <w:tcW w:w="3665" w:type="pct"/>
            <w:tcBorders>
              <w:top w:val="single" w:color="000000" w:sz="4" w:space="0"/>
              <w:left w:val="single" w:color="000000" w:sz="4" w:space="0"/>
              <w:bottom w:val="single" w:color="000000" w:sz="4" w:space="0"/>
              <w:right w:val="single" w:color="000000" w:sz="4" w:space="0"/>
            </w:tcBorders>
          </w:tcPr>
          <w:p>
            <w:pPr>
              <w:spacing w:line="360" w:lineRule="auto"/>
              <w:textAlignment w:val="baseline"/>
              <w:rPr>
                <w:rStyle w:val="37"/>
                <w:rFonts w:ascii="宋体" w:hAnsi="宋体"/>
                <w:b/>
                <w:bCs/>
                <w:szCs w:val="21"/>
              </w:rPr>
            </w:pPr>
            <w:r>
              <w:rPr>
                <w:rStyle w:val="37"/>
                <w:rFonts w:ascii="宋体" w:hAnsi="宋体"/>
                <w:b/>
                <w:bCs/>
                <w:szCs w:val="21"/>
              </w:rPr>
              <w:t>售后服务方案：</w:t>
            </w:r>
          </w:p>
          <w:p>
            <w:pPr>
              <w:spacing w:line="360" w:lineRule="auto"/>
              <w:textAlignment w:val="baseline"/>
              <w:rPr>
                <w:rStyle w:val="37"/>
                <w:rFonts w:ascii="宋体" w:hAnsi="宋体"/>
                <w:szCs w:val="21"/>
              </w:rPr>
            </w:pPr>
            <w:r>
              <w:rPr>
                <w:rStyle w:val="37"/>
                <w:rFonts w:ascii="宋体" w:hAnsi="宋体"/>
                <w:szCs w:val="21"/>
              </w:rPr>
              <w:t>1、售后服务要求（2分）：</w:t>
            </w:r>
          </w:p>
          <w:p>
            <w:pPr>
              <w:spacing w:line="360" w:lineRule="auto"/>
              <w:ind w:firstLine="210" w:firstLineChars="100"/>
              <w:textAlignment w:val="baseline"/>
              <w:rPr>
                <w:rStyle w:val="37"/>
                <w:rFonts w:ascii="宋体" w:hAnsi="宋体"/>
                <w:szCs w:val="21"/>
              </w:rPr>
            </w:pPr>
            <w:r>
              <w:rPr>
                <w:rStyle w:val="37"/>
                <w:rFonts w:ascii="宋体" w:hAnsi="宋体"/>
                <w:szCs w:val="21"/>
              </w:rPr>
              <w:t>售后服务方案完全响应招标文件要求并编写完整清晰的2分；售后方案部分响应招标文件要求，基本完整的得1分；响应招标文件要求但售后方案编写不好的得0分。</w:t>
            </w:r>
          </w:p>
          <w:p>
            <w:pPr>
              <w:spacing w:line="360" w:lineRule="auto"/>
              <w:textAlignment w:val="baseline"/>
              <w:rPr>
                <w:rStyle w:val="37"/>
                <w:rFonts w:ascii="宋体" w:hAnsi="宋体"/>
                <w:szCs w:val="21"/>
              </w:rPr>
            </w:pPr>
            <w:r>
              <w:rPr>
                <w:rStyle w:val="37"/>
                <w:rFonts w:ascii="宋体" w:hAnsi="宋体"/>
                <w:szCs w:val="21"/>
              </w:rPr>
              <w:t>2、售后服务响应时间承诺（2分）：</w:t>
            </w:r>
          </w:p>
          <w:p>
            <w:pPr>
              <w:spacing w:line="360" w:lineRule="auto"/>
              <w:ind w:firstLine="210" w:firstLineChars="100"/>
              <w:textAlignment w:val="baseline"/>
              <w:rPr>
                <w:rStyle w:val="37"/>
                <w:rFonts w:ascii="宋体" w:hAnsi="宋体"/>
                <w:szCs w:val="21"/>
              </w:rPr>
            </w:pPr>
            <w:r>
              <w:rPr>
                <w:rStyle w:val="37"/>
                <w:rFonts w:ascii="宋体" w:hAnsi="宋体"/>
                <w:szCs w:val="21"/>
              </w:rPr>
              <w:t>供应商提供承诺：若设备出现故障，接采购人通知后1小时内响应，须提供备品备件替换使用，48小时内排除故障。需附供应商承诺函原件，未提供不得分。</w:t>
            </w:r>
          </w:p>
          <w:p>
            <w:pPr>
              <w:spacing w:line="360" w:lineRule="auto"/>
              <w:textAlignment w:val="baseline"/>
              <w:rPr>
                <w:rStyle w:val="37"/>
                <w:rFonts w:ascii="宋体" w:hAnsi="宋体"/>
                <w:szCs w:val="21"/>
              </w:rPr>
            </w:pPr>
            <w:r>
              <w:rPr>
                <w:rStyle w:val="37"/>
                <w:rFonts w:ascii="宋体" w:hAnsi="宋体"/>
                <w:szCs w:val="21"/>
              </w:rPr>
              <w:t>3、定期巡检维护承诺（2分）</w:t>
            </w:r>
          </w:p>
          <w:p>
            <w:pPr>
              <w:spacing w:line="360" w:lineRule="auto"/>
              <w:ind w:firstLine="210" w:firstLineChars="100"/>
              <w:textAlignment w:val="baseline"/>
              <w:rPr>
                <w:rStyle w:val="37"/>
                <w:rFonts w:ascii="宋体" w:hAnsi="宋体"/>
                <w:szCs w:val="21"/>
              </w:rPr>
            </w:pPr>
            <w:r>
              <w:rPr>
                <w:rStyle w:val="37"/>
                <w:rFonts w:ascii="宋体" w:hAnsi="宋体"/>
                <w:szCs w:val="21"/>
              </w:rPr>
              <w:t>供应商提供承诺：质保期内安排专人每半年对全部设备完成至少一次巡检，每年度检查维护次数不低于3次/点，巡检完成后，提交巡检记录、照片及总结报告。需附供应商承诺函原件及巡检计划安排，未提供不得分。</w:t>
            </w:r>
          </w:p>
          <w:p>
            <w:pPr>
              <w:spacing w:line="360" w:lineRule="auto"/>
              <w:textAlignment w:val="baseline"/>
              <w:rPr>
                <w:rStyle w:val="37"/>
                <w:rFonts w:ascii="宋体" w:hAnsi="宋体"/>
                <w:szCs w:val="21"/>
              </w:rPr>
            </w:pPr>
            <w:r>
              <w:rPr>
                <w:rStyle w:val="37"/>
                <w:rFonts w:ascii="宋体" w:hAnsi="宋体"/>
                <w:szCs w:val="21"/>
              </w:rPr>
              <w:t>4、实施人员配备（4分）：</w:t>
            </w:r>
          </w:p>
          <w:p>
            <w:pPr>
              <w:spacing w:line="360" w:lineRule="auto"/>
              <w:ind w:firstLine="210" w:firstLineChars="100"/>
              <w:textAlignment w:val="baseline"/>
              <w:rPr>
                <w:rStyle w:val="37"/>
                <w:rFonts w:ascii="宋体" w:hAnsi="宋体"/>
                <w:szCs w:val="21"/>
              </w:rPr>
            </w:pPr>
            <w:r>
              <w:rPr>
                <w:rStyle w:val="37"/>
                <w:rFonts w:ascii="宋体" w:hAnsi="宋体"/>
                <w:szCs w:val="21"/>
              </w:rPr>
              <w:t>①供应商针对本项目投入的服务人员及协作人员不得少于50人（其中项目管理及技术人员不得低于30人，协作人员不得低于20人），项目负责人、项目技术负责人需为地质类或测绘类或机电及机械类或通信及计算机类正高级工程师、项目施工组长等核心人员需为地质类或测绘类或机电及机械类或通信及计算机类高级及以上工程师，否则本项不得分。</w:t>
            </w:r>
          </w:p>
          <w:p>
            <w:pPr>
              <w:spacing w:line="360" w:lineRule="auto"/>
              <w:ind w:firstLine="210" w:firstLineChars="100"/>
              <w:textAlignment w:val="baseline"/>
              <w:rPr>
                <w:rStyle w:val="37"/>
                <w:rFonts w:ascii="宋体" w:hAnsi="宋体"/>
                <w:szCs w:val="21"/>
              </w:rPr>
            </w:pPr>
            <w:r>
              <w:rPr>
                <w:rStyle w:val="37"/>
                <w:rFonts w:ascii="宋体" w:hAnsi="宋体"/>
                <w:szCs w:val="21"/>
              </w:rPr>
              <w:t>②项目管理及技术人员达到30人，得2分；每增加5人加0.5分，最多加2分。其中项目管理及技术人员须为相关专业（地质类或测绘类或机电及机械类或通信及计算机类）本科及以上学历，否则不得分。</w:t>
            </w:r>
          </w:p>
          <w:p>
            <w:pPr>
              <w:spacing w:line="360" w:lineRule="auto"/>
              <w:textAlignment w:val="baseline"/>
              <w:rPr>
                <w:rStyle w:val="37"/>
                <w:rFonts w:ascii="宋体" w:hAnsi="宋体"/>
                <w:szCs w:val="21"/>
              </w:rPr>
            </w:pPr>
            <w:r>
              <w:rPr>
                <w:rStyle w:val="37"/>
                <w:rFonts w:ascii="宋体" w:hAnsi="宋体"/>
                <w:szCs w:val="21"/>
              </w:rPr>
              <w:t>注：</w:t>
            </w:r>
          </w:p>
          <w:p>
            <w:pPr>
              <w:spacing w:line="360" w:lineRule="auto"/>
              <w:ind w:firstLine="210" w:firstLineChars="100"/>
              <w:textAlignment w:val="baseline"/>
              <w:rPr>
                <w:rStyle w:val="37"/>
                <w:rFonts w:ascii="宋体" w:hAnsi="宋体"/>
                <w:szCs w:val="21"/>
              </w:rPr>
            </w:pPr>
            <w:r>
              <w:rPr>
                <w:rStyle w:val="37"/>
                <w:rFonts w:ascii="宋体" w:hAnsi="宋体"/>
                <w:szCs w:val="21"/>
              </w:rPr>
              <w:t>1）须提供上述人员在投标单位的社保缴纳证明（以社保机构出具的投标截止日前近6个月的清单为准，须清楚显示上述人员姓名、身份证号、缴纳月份等信息），复印件加盖投标单位公章，原件加盖社保中心鲜章现场审核。</w:t>
            </w:r>
          </w:p>
          <w:p>
            <w:pPr>
              <w:spacing w:line="360" w:lineRule="auto"/>
              <w:ind w:firstLine="210" w:firstLineChars="100"/>
              <w:textAlignment w:val="baseline"/>
              <w:rPr>
                <w:rStyle w:val="37"/>
                <w:rFonts w:ascii="宋体" w:hAnsi="宋体"/>
                <w:szCs w:val="21"/>
              </w:rPr>
            </w:pPr>
            <w:r>
              <w:rPr>
                <w:rStyle w:val="37"/>
                <w:rFonts w:ascii="宋体" w:hAnsi="宋体"/>
                <w:szCs w:val="21"/>
              </w:rPr>
              <w:t>2）须提供上述人员身份证、学历证明复印件加盖投标单位公章。</w:t>
            </w:r>
          </w:p>
          <w:p>
            <w:pPr>
              <w:spacing w:line="360" w:lineRule="auto"/>
              <w:ind w:firstLine="210" w:firstLineChars="100"/>
              <w:textAlignment w:val="baseline"/>
              <w:rPr>
                <w:rStyle w:val="37"/>
                <w:rFonts w:ascii="宋体" w:hAnsi="宋体"/>
                <w:szCs w:val="21"/>
              </w:rPr>
            </w:pPr>
            <w:r>
              <w:rPr>
                <w:rStyle w:val="37"/>
                <w:rFonts w:ascii="宋体" w:hAnsi="宋体"/>
                <w:szCs w:val="21"/>
              </w:rPr>
              <w:t>3）未按要求提供不得分。</w:t>
            </w:r>
          </w:p>
        </w:tc>
        <w:tc>
          <w:tcPr>
            <w:tcW w:w="484"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r>
              <w:rPr>
                <w:rStyle w:val="37"/>
                <w:rFonts w:ascii="宋体" w:hAnsi="宋体"/>
                <w:szCs w:val="21"/>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1" w:hRule="atLeast"/>
        </w:trPr>
        <w:tc>
          <w:tcPr>
            <w:tcW w:w="849"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p>
        </w:tc>
        <w:tc>
          <w:tcPr>
            <w:tcW w:w="3665" w:type="pct"/>
            <w:tcBorders>
              <w:top w:val="single" w:color="000000" w:sz="4" w:space="0"/>
              <w:left w:val="single" w:color="000000" w:sz="4" w:space="0"/>
              <w:bottom w:val="single" w:color="000000" w:sz="4" w:space="0"/>
              <w:right w:val="single" w:color="000000" w:sz="4" w:space="0"/>
            </w:tcBorders>
          </w:tcPr>
          <w:p>
            <w:pPr>
              <w:spacing w:line="360" w:lineRule="auto"/>
              <w:textAlignment w:val="baseline"/>
              <w:rPr>
                <w:rStyle w:val="37"/>
                <w:rFonts w:ascii="宋体" w:hAnsi="宋体"/>
                <w:b/>
                <w:bCs/>
                <w:szCs w:val="21"/>
              </w:rPr>
            </w:pPr>
            <w:r>
              <w:rPr>
                <w:rStyle w:val="37"/>
                <w:rFonts w:ascii="宋体" w:hAnsi="宋体"/>
                <w:b/>
                <w:bCs/>
                <w:szCs w:val="21"/>
              </w:rPr>
              <w:t>常驻本地售后服务人员：</w:t>
            </w:r>
          </w:p>
          <w:p>
            <w:pPr>
              <w:spacing w:line="360" w:lineRule="auto"/>
              <w:ind w:firstLine="210" w:firstLineChars="100"/>
              <w:textAlignment w:val="baseline"/>
              <w:rPr>
                <w:rStyle w:val="37"/>
                <w:rFonts w:ascii="宋体" w:hAnsi="宋体"/>
                <w:szCs w:val="21"/>
              </w:rPr>
            </w:pPr>
            <w:r>
              <w:rPr>
                <w:rStyle w:val="37"/>
                <w:rFonts w:ascii="宋体" w:hAnsi="宋体"/>
                <w:szCs w:val="21"/>
              </w:rPr>
              <w:t>供应商承诺投入本项目的常驻本地售后服务人员不少于10人（</w:t>
            </w:r>
            <w:r>
              <w:rPr>
                <w:rStyle w:val="37"/>
                <w:rFonts w:hint="eastAsia" w:ascii="宋体" w:hAnsi="宋体"/>
                <w:szCs w:val="21"/>
              </w:rPr>
              <w:t>地质类或</w:t>
            </w:r>
            <w:r>
              <w:rPr>
                <w:rStyle w:val="37"/>
                <w:rFonts w:ascii="宋体" w:hAnsi="宋体"/>
                <w:szCs w:val="21"/>
              </w:rPr>
              <w:t>测绘类或机电及机械类或通信及计算机类），得3分，需附供应商承诺函(含人员名单)原件，未提供不得分。</w:t>
            </w:r>
          </w:p>
          <w:p>
            <w:pPr>
              <w:spacing w:line="360" w:lineRule="auto"/>
              <w:ind w:firstLine="210" w:firstLineChars="100"/>
              <w:textAlignment w:val="baseline"/>
              <w:rPr>
                <w:rStyle w:val="37"/>
                <w:rFonts w:ascii="宋体" w:hAnsi="宋体"/>
                <w:szCs w:val="21"/>
              </w:rPr>
            </w:pPr>
            <w:r>
              <w:rPr>
                <w:rStyle w:val="37"/>
                <w:rFonts w:ascii="宋体" w:hAnsi="宋体"/>
                <w:szCs w:val="21"/>
              </w:rPr>
              <w:t>供应商承诺</w:t>
            </w:r>
            <w:r>
              <w:rPr>
                <w:rStyle w:val="37"/>
                <w:rFonts w:hint="eastAsia" w:ascii="宋体" w:hAnsi="宋体"/>
                <w:szCs w:val="21"/>
              </w:rPr>
              <w:t>项目建设期及</w:t>
            </w:r>
            <w:r>
              <w:rPr>
                <w:rStyle w:val="37"/>
                <w:rFonts w:ascii="宋体" w:hAnsi="宋体"/>
                <w:szCs w:val="21"/>
              </w:rPr>
              <w:t>设备质保期内派驻售后服务人员不少于1人（</w:t>
            </w:r>
            <w:r>
              <w:rPr>
                <w:rStyle w:val="37"/>
                <w:rFonts w:hint="eastAsia" w:ascii="宋体" w:hAnsi="宋体"/>
                <w:szCs w:val="21"/>
              </w:rPr>
              <w:t>地质类或</w:t>
            </w:r>
            <w:r>
              <w:rPr>
                <w:rStyle w:val="37"/>
                <w:rFonts w:ascii="宋体" w:hAnsi="宋体"/>
                <w:szCs w:val="21"/>
              </w:rPr>
              <w:t>测绘类或机电及机械类或通信及计算机类</w:t>
            </w:r>
            <w:r>
              <w:rPr>
                <w:rStyle w:val="37"/>
                <w:rFonts w:hint="eastAsia" w:ascii="宋体" w:hAnsi="宋体"/>
                <w:szCs w:val="21"/>
              </w:rPr>
              <w:t>，需掌握设备运行原理及监测数据分析使用方法</w:t>
            </w:r>
            <w:r>
              <w:rPr>
                <w:rStyle w:val="37"/>
                <w:rFonts w:ascii="宋体" w:hAnsi="宋体"/>
                <w:szCs w:val="21"/>
              </w:rPr>
              <w:t>）至采购方指定地点常驻，协助采购方管理本项目后期数据，每派驻一人得1分，最多不超过2分，需附供应商承诺函原件，未提供不得分。</w:t>
            </w:r>
          </w:p>
          <w:p>
            <w:pPr>
              <w:spacing w:line="360" w:lineRule="auto"/>
              <w:ind w:firstLine="211" w:firstLineChars="100"/>
              <w:textAlignment w:val="baseline"/>
              <w:rPr>
                <w:rStyle w:val="37"/>
                <w:rFonts w:ascii="宋体" w:hAnsi="宋体"/>
                <w:b/>
                <w:bCs/>
                <w:szCs w:val="21"/>
              </w:rPr>
            </w:pPr>
            <w:r>
              <w:rPr>
                <w:rStyle w:val="37"/>
                <w:rFonts w:ascii="宋体" w:hAnsi="宋体"/>
                <w:b/>
                <w:bCs/>
                <w:szCs w:val="21"/>
              </w:rPr>
              <w:t>注：采购人将在合同约定期内对报备人员进行核对，如有虚假响应，除追究合同违约责任外，还将向财政部门通报处罚。</w:t>
            </w:r>
          </w:p>
        </w:tc>
        <w:tc>
          <w:tcPr>
            <w:tcW w:w="484"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r>
              <w:rPr>
                <w:rStyle w:val="37"/>
                <w:rFonts w:ascii="宋体" w:hAnsi="宋体"/>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9"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p>
        </w:tc>
        <w:tc>
          <w:tcPr>
            <w:tcW w:w="3665" w:type="pct"/>
            <w:tcBorders>
              <w:top w:val="single" w:color="000000" w:sz="4" w:space="0"/>
              <w:left w:val="single" w:color="000000" w:sz="4" w:space="0"/>
              <w:bottom w:val="single" w:color="000000" w:sz="4" w:space="0"/>
              <w:right w:val="single" w:color="000000" w:sz="4" w:space="0"/>
            </w:tcBorders>
          </w:tcPr>
          <w:p>
            <w:pPr>
              <w:spacing w:line="360" w:lineRule="auto"/>
              <w:textAlignment w:val="baseline"/>
              <w:rPr>
                <w:rStyle w:val="37"/>
                <w:rFonts w:ascii="宋体" w:hAnsi="宋体"/>
                <w:b/>
                <w:bCs/>
                <w:szCs w:val="21"/>
              </w:rPr>
            </w:pPr>
            <w:r>
              <w:rPr>
                <w:rStyle w:val="37"/>
                <w:rFonts w:ascii="宋体" w:hAnsi="宋体"/>
                <w:b/>
                <w:bCs/>
                <w:szCs w:val="21"/>
              </w:rPr>
              <w:t>本地化服务：</w:t>
            </w:r>
          </w:p>
          <w:p>
            <w:pPr>
              <w:spacing w:line="360" w:lineRule="auto"/>
              <w:ind w:firstLine="210" w:firstLineChars="100"/>
              <w:textAlignment w:val="baseline"/>
              <w:rPr>
                <w:rStyle w:val="37"/>
                <w:rFonts w:ascii="宋体" w:hAnsi="宋体"/>
                <w:szCs w:val="21"/>
              </w:rPr>
            </w:pPr>
            <w:r>
              <w:rPr>
                <w:rStyle w:val="37"/>
                <w:rFonts w:ascii="宋体" w:hAnsi="宋体"/>
                <w:szCs w:val="21"/>
              </w:rPr>
              <w:t>供应商在广州设立了售后服务机构（提供相应证明材料）</w:t>
            </w:r>
          </w:p>
          <w:p>
            <w:pPr>
              <w:spacing w:line="360" w:lineRule="auto"/>
              <w:ind w:left="240" w:hanging="240"/>
              <w:textAlignment w:val="baseline"/>
              <w:rPr>
                <w:rStyle w:val="37"/>
                <w:rFonts w:ascii="宋体" w:hAnsi="宋体"/>
                <w:szCs w:val="21"/>
              </w:rPr>
            </w:pPr>
            <w:r>
              <w:rPr>
                <w:rStyle w:val="37"/>
                <w:rFonts w:ascii="宋体" w:hAnsi="宋体"/>
                <w:szCs w:val="21"/>
              </w:rPr>
              <w:t>1、A档(5分)：在广州有售后服务机构，性质为公司、分/子公司的，提供营业执照、税务登记证及组织机构代码证复印件或多证合一的营业执照复印件，以及其他关联性证明文件；性质为事业单位的须提供法人资格证书；</w:t>
            </w:r>
          </w:p>
          <w:p>
            <w:pPr>
              <w:spacing w:line="360" w:lineRule="auto"/>
              <w:ind w:left="240" w:hanging="240"/>
              <w:textAlignment w:val="baseline"/>
              <w:rPr>
                <w:rStyle w:val="37"/>
                <w:rFonts w:ascii="宋体" w:hAnsi="宋体"/>
                <w:szCs w:val="21"/>
              </w:rPr>
            </w:pPr>
            <w:r>
              <w:rPr>
                <w:rStyle w:val="37"/>
                <w:rFonts w:ascii="宋体" w:hAnsi="宋体"/>
                <w:szCs w:val="21"/>
              </w:rPr>
              <w:t>2、B档(2分)：在广州有售后服务机构，性质为办事处的，提供租房证明复印件、外省驻广州办事机构登记证复印件；性质为其它的须提供相关证明材料；</w:t>
            </w:r>
          </w:p>
          <w:p>
            <w:pPr>
              <w:spacing w:line="360" w:lineRule="auto"/>
              <w:ind w:left="240" w:hanging="240"/>
              <w:textAlignment w:val="baseline"/>
              <w:rPr>
                <w:rStyle w:val="37"/>
                <w:rFonts w:ascii="宋体" w:hAnsi="宋体"/>
                <w:szCs w:val="21"/>
              </w:rPr>
            </w:pPr>
            <w:r>
              <w:rPr>
                <w:rStyle w:val="37"/>
                <w:rFonts w:ascii="宋体" w:hAnsi="宋体"/>
                <w:szCs w:val="21"/>
              </w:rPr>
              <w:t>3、D档(0分)：在广州没有以上种类售后服务机构或未提供相关证明材料、承诺的。</w:t>
            </w:r>
          </w:p>
        </w:tc>
        <w:tc>
          <w:tcPr>
            <w:tcW w:w="484"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r>
              <w:rPr>
                <w:rStyle w:val="37"/>
                <w:rFonts w:ascii="宋体" w:hAnsi="宋体"/>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9"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p>
        </w:tc>
        <w:tc>
          <w:tcPr>
            <w:tcW w:w="3665" w:type="pct"/>
            <w:tcBorders>
              <w:top w:val="single" w:color="000000" w:sz="4" w:space="0"/>
              <w:left w:val="single" w:color="000000" w:sz="4" w:space="0"/>
              <w:bottom w:val="single" w:color="000000" w:sz="4" w:space="0"/>
              <w:right w:val="single" w:color="000000" w:sz="4" w:space="0"/>
            </w:tcBorders>
          </w:tcPr>
          <w:p>
            <w:pPr>
              <w:spacing w:line="360" w:lineRule="auto"/>
              <w:ind w:left="241" w:hanging="241"/>
              <w:textAlignment w:val="baseline"/>
              <w:rPr>
                <w:rStyle w:val="37"/>
                <w:rFonts w:ascii="宋体" w:hAnsi="宋体"/>
                <w:b/>
                <w:bCs/>
                <w:szCs w:val="21"/>
              </w:rPr>
            </w:pPr>
            <w:r>
              <w:rPr>
                <w:rStyle w:val="37"/>
                <w:rFonts w:ascii="宋体" w:hAnsi="宋体"/>
                <w:b/>
                <w:bCs/>
                <w:szCs w:val="21"/>
              </w:rPr>
              <w:t>供应商综合实力：</w:t>
            </w:r>
          </w:p>
          <w:p>
            <w:pPr>
              <w:spacing w:line="360" w:lineRule="auto"/>
              <w:ind w:left="240" w:hanging="240"/>
              <w:textAlignment w:val="baseline"/>
              <w:rPr>
                <w:rStyle w:val="37"/>
                <w:rFonts w:ascii="宋体" w:hAnsi="宋体"/>
                <w:szCs w:val="21"/>
              </w:rPr>
            </w:pPr>
            <w:r>
              <w:rPr>
                <w:rStyle w:val="37"/>
                <w:rFonts w:ascii="宋体" w:hAnsi="宋体"/>
                <w:szCs w:val="21"/>
              </w:rPr>
              <w:t>1、供应商2016年至今获得过省部级以下（含行业协会或学会）奖项一个得0.5分</w:t>
            </w:r>
            <w:r>
              <w:rPr>
                <w:rStyle w:val="37"/>
                <w:rFonts w:hint="eastAsia" w:ascii="宋体" w:hAnsi="宋体"/>
                <w:szCs w:val="21"/>
              </w:rPr>
              <w:t>,最多计算两个，得1分，超过两个的不累积计分</w:t>
            </w:r>
            <w:r>
              <w:rPr>
                <w:rStyle w:val="37"/>
                <w:rFonts w:ascii="宋体" w:hAnsi="宋体"/>
                <w:szCs w:val="21"/>
              </w:rPr>
              <w:t>；省部级（含行业协会或学会）奖项一个得1分；获得过国家级（含行业协会或学会）奖项一个得1.5分；最多不超过3分。提供相关证明材料复印件加盖供应商公章。</w:t>
            </w:r>
          </w:p>
          <w:p>
            <w:pPr>
              <w:spacing w:line="360" w:lineRule="auto"/>
              <w:ind w:left="240" w:hanging="240"/>
              <w:textAlignment w:val="baseline"/>
              <w:rPr>
                <w:rStyle w:val="37"/>
                <w:rFonts w:ascii="宋体" w:hAnsi="宋体"/>
                <w:szCs w:val="21"/>
              </w:rPr>
            </w:pPr>
            <w:r>
              <w:rPr>
                <w:rStyle w:val="37"/>
                <w:rFonts w:ascii="宋体" w:hAnsi="宋体"/>
                <w:szCs w:val="21"/>
              </w:rPr>
              <w:t>2、供应商具有独立的本次采购设备其中的任意一个产品研发能力得1分。提供研发场所照片、相关研发设备采购证明的复印件加盖供应商公章。同时要求提供上述设备中任意一个设备PCB图，原理图，线路图，器件布局图，工艺文件。</w:t>
            </w:r>
          </w:p>
          <w:p>
            <w:pPr>
              <w:spacing w:line="360" w:lineRule="auto"/>
              <w:ind w:left="240" w:hanging="240"/>
              <w:textAlignment w:val="baseline"/>
              <w:rPr>
                <w:rStyle w:val="37"/>
                <w:rFonts w:ascii="宋体" w:hAnsi="宋体"/>
                <w:szCs w:val="21"/>
              </w:rPr>
            </w:pPr>
            <w:r>
              <w:rPr>
                <w:rStyle w:val="37"/>
                <w:rFonts w:ascii="宋体" w:hAnsi="宋体"/>
                <w:szCs w:val="21"/>
              </w:rPr>
              <w:t>3、供应商具有本次采购设备其中的任意一个产品生产能力得1分。提供生产线照片、厂房购买或租赁证明的复印件、相关设备采购证明的复印件加盖供应商公章。</w:t>
            </w:r>
          </w:p>
        </w:tc>
        <w:tc>
          <w:tcPr>
            <w:tcW w:w="484"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r>
              <w:rPr>
                <w:rStyle w:val="37"/>
                <w:rFonts w:ascii="宋体" w:hAnsi="宋体"/>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49" w:type="pct"/>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p>
        </w:tc>
        <w:tc>
          <w:tcPr>
            <w:tcW w:w="3665" w:type="pct"/>
            <w:tcBorders>
              <w:top w:val="single" w:color="000000" w:sz="4" w:space="0"/>
              <w:left w:val="single" w:color="000000" w:sz="4" w:space="0"/>
              <w:bottom w:val="single" w:color="000000" w:sz="4" w:space="0"/>
              <w:right w:val="single" w:color="000000" w:sz="4" w:space="0"/>
            </w:tcBorders>
          </w:tcPr>
          <w:p>
            <w:pPr>
              <w:spacing w:line="360" w:lineRule="auto"/>
              <w:textAlignment w:val="baseline"/>
              <w:rPr>
                <w:rStyle w:val="37"/>
                <w:rFonts w:ascii="宋体" w:hAnsi="宋体"/>
                <w:szCs w:val="21"/>
              </w:rPr>
            </w:pPr>
            <w:r>
              <w:rPr>
                <w:rStyle w:val="37"/>
                <w:rFonts w:ascii="宋体" w:hAnsi="宋体"/>
                <w:szCs w:val="21"/>
              </w:rPr>
              <w:t>业绩：</w:t>
            </w:r>
          </w:p>
          <w:p>
            <w:pPr>
              <w:spacing w:line="360" w:lineRule="auto"/>
              <w:ind w:firstLine="210" w:firstLineChars="100"/>
              <w:textAlignment w:val="baseline"/>
              <w:rPr>
                <w:rFonts w:ascii="宋体" w:hAnsi="宋体"/>
                <w:szCs w:val="21"/>
              </w:rPr>
            </w:pPr>
            <w:r>
              <w:rPr>
                <w:rStyle w:val="37"/>
                <w:rFonts w:ascii="宋体" w:hAnsi="宋体"/>
                <w:szCs w:val="21"/>
              </w:rPr>
              <w:t>供应商2016年至今具有600万元以上1000万以下且与本次采购内容相关的地质灾害类监测项目业绩，每提供1份完整有效业绩得0.5分，最多不超过2分。供应商2016年至今具有1000万</w:t>
            </w:r>
            <w:r>
              <w:rPr>
                <w:rStyle w:val="37"/>
                <w:rFonts w:hint="eastAsia" w:ascii="宋体" w:hAnsi="宋体"/>
                <w:szCs w:val="21"/>
              </w:rPr>
              <w:t>及</w:t>
            </w:r>
            <w:r>
              <w:rPr>
                <w:rStyle w:val="37"/>
                <w:rFonts w:ascii="宋体" w:hAnsi="宋体"/>
                <w:szCs w:val="21"/>
              </w:rPr>
              <w:t>以上且与本次采购内容相关的地质灾害类监测项目业绩，每提供1份完整有效业绩得1分，最多不超过5分。</w:t>
            </w:r>
          </w:p>
          <w:p>
            <w:pPr>
              <w:spacing w:line="360" w:lineRule="auto"/>
              <w:ind w:firstLine="210" w:firstLineChars="100"/>
              <w:textAlignment w:val="baseline"/>
              <w:rPr>
                <w:rStyle w:val="37"/>
                <w:rFonts w:ascii="宋体" w:hAnsi="宋体"/>
                <w:szCs w:val="21"/>
              </w:rPr>
            </w:pPr>
            <w:r>
              <w:rPr>
                <w:rStyle w:val="37"/>
                <w:rFonts w:ascii="宋体" w:hAnsi="宋体"/>
                <w:szCs w:val="21"/>
              </w:rPr>
              <w:t>1份完整有效业绩包括：①合同；②政府采购中标网页截图或中标通知书；③业主评价意见。缺项不得分，最多不超过5分。</w:t>
            </w:r>
          </w:p>
          <w:p>
            <w:pPr>
              <w:spacing w:line="360" w:lineRule="auto"/>
              <w:textAlignment w:val="baseline"/>
              <w:rPr>
                <w:rStyle w:val="37"/>
                <w:rFonts w:ascii="宋体" w:hAnsi="宋体"/>
                <w:szCs w:val="21"/>
              </w:rPr>
            </w:pPr>
            <w:r>
              <w:rPr>
                <w:rStyle w:val="37"/>
                <w:rFonts w:ascii="宋体" w:hAnsi="宋体"/>
                <w:szCs w:val="21"/>
              </w:rPr>
              <w:t>注：</w:t>
            </w:r>
          </w:p>
          <w:p>
            <w:pPr>
              <w:spacing w:line="360" w:lineRule="auto"/>
              <w:textAlignment w:val="baseline"/>
              <w:rPr>
                <w:rStyle w:val="37"/>
                <w:rFonts w:ascii="宋体" w:hAnsi="宋体"/>
                <w:szCs w:val="21"/>
              </w:rPr>
            </w:pPr>
            <w:r>
              <w:rPr>
                <w:rStyle w:val="37"/>
                <w:rFonts w:ascii="宋体" w:hAnsi="宋体"/>
                <w:szCs w:val="21"/>
              </w:rPr>
              <w:t>①上述材料提供复印件加盖供应商公章。</w:t>
            </w:r>
          </w:p>
          <w:p>
            <w:pPr>
              <w:spacing w:line="360" w:lineRule="auto"/>
              <w:textAlignment w:val="baseline"/>
              <w:rPr>
                <w:rStyle w:val="37"/>
                <w:rFonts w:ascii="宋体" w:hAnsi="宋体"/>
                <w:szCs w:val="21"/>
              </w:rPr>
            </w:pPr>
            <w:r>
              <w:rPr>
                <w:rStyle w:val="37"/>
                <w:rFonts w:ascii="宋体" w:hAnsi="宋体"/>
                <w:szCs w:val="21"/>
              </w:rPr>
              <w:t>②业主评价意见提交原件现场审核，未提供不得分。</w:t>
            </w:r>
          </w:p>
          <w:p>
            <w:pPr>
              <w:spacing w:line="360" w:lineRule="auto"/>
              <w:textAlignment w:val="baseline"/>
              <w:rPr>
                <w:rStyle w:val="37"/>
                <w:rFonts w:ascii="宋体" w:hAnsi="宋体"/>
                <w:szCs w:val="21"/>
              </w:rPr>
            </w:pPr>
            <w:r>
              <w:rPr>
                <w:rStyle w:val="37"/>
                <w:rFonts w:ascii="宋体" w:hAnsi="宋体"/>
                <w:szCs w:val="21"/>
              </w:rPr>
              <w:t>③业主评价意见须包含项目起止时间、项目名称、实施单位、业主单位联系人及联系方式、评价意见、业主单位盖章，否则视为不满足。</w:t>
            </w:r>
          </w:p>
        </w:tc>
        <w:tc>
          <w:tcPr>
            <w:tcW w:w="484"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37"/>
                <w:rFonts w:ascii="宋体" w:hAnsi="宋体"/>
                <w:szCs w:val="21"/>
              </w:rPr>
            </w:pPr>
            <w:r>
              <w:rPr>
                <w:rStyle w:val="37"/>
                <w:rFonts w:ascii="宋体" w:hAnsi="宋体"/>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000" w:type="pct"/>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left"/>
              <w:textAlignment w:val="baseline"/>
              <w:rPr>
                <w:rStyle w:val="37"/>
                <w:rFonts w:ascii="宋体" w:hAnsi="宋体"/>
                <w:szCs w:val="21"/>
              </w:rPr>
            </w:pPr>
            <w:r>
              <w:rPr>
                <w:rStyle w:val="37"/>
                <w:rFonts w:ascii="宋体" w:hAnsi="宋体"/>
                <w:szCs w:val="21"/>
              </w:rPr>
              <w:t>说明：评标委员会决定投标的响应性仅根据投标文件本身的内容，而不寻求外部的证据。评分标准涉及到需提供的资料、文件等必须是真实有效的，弄虚作假者一经查实其投标将做无效投标处理，同时该供应商相关违法行为将提交到财政监督管理部门处理。</w:t>
            </w:r>
          </w:p>
        </w:tc>
      </w:tr>
    </w:tbl>
    <w:p>
      <w:pPr>
        <w:textAlignment w:val="baseline"/>
        <w:rPr>
          <w:rStyle w:val="37"/>
          <w:rFonts w:ascii="Calibri" w:hAnsi="Calibri"/>
          <w:szCs w:val="22"/>
        </w:rPr>
      </w:pPr>
    </w:p>
    <w:p>
      <w:pPr>
        <w:spacing w:line="360" w:lineRule="auto"/>
        <w:ind w:left="420"/>
        <w:jc w:val="center"/>
        <w:outlineLvl w:val="0"/>
        <w:rPr>
          <w:rFonts w:ascii="宋体" w:hAnsi="宋体"/>
          <w:b/>
          <w:bCs/>
          <w:sz w:val="28"/>
          <w:szCs w:val="28"/>
        </w:rPr>
      </w:pPr>
    </w:p>
    <w:p>
      <w:pPr>
        <w:rPr>
          <w:rFonts w:ascii="宋体" w:hAnsi="宋体"/>
          <w:b/>
          <w:bCs/>
          <w:sz w:val="28"/>
          <w:szCs w:val="28"/>
        </w:rPr>
      </w:pPr>
      <w:r>
        <w:rPr>
          <w:rFonts w:hint="eastAsia" w:ascii="宋体" w:hAnsi="宋体"/>
          <w:b/>
          <w:bCs/>
          <w:sz w:val="28"/>
          <w:szCs w:val="28"/>
        </w:rPr>
        <w:br w:type="page"/>
      </w:r>
    </w:p>
    <w:p>
      <w:pPr>
        <w:adjustRightInd w:val="0"/>
        <w:snapToGrid w:val="0"/>
        <w:spacing w:line="360" w:lineRule="auto"/>
        <w:jc w:val="center"/>
        <w:rPr>
          <w:rFonts w:ascii="宋体" w:hAnsi="宋体"/>
          <w:b/>
        </w:rPr>
      </w:pPr>
      <w:r>
        <w:rPr>
          <w:rFonts w:hint="eastAsia" w:ascii="宋体" w:hAnsi="宋体"/>
          <w:b/>
        </w:rPr>
        <w:t>价格评分表(30分)</w:t>
      </w:r>
      <w:bookmarkEnd w:id="9"/>
      <w:bookmarkEnd w:id="10"/>
      <w:bookmarkEnd w:id="11"/>
    </w:p>
    <w:p>
      <w:pPr>
        <w:numPr>
          <w:ilvl w:val="0"/>
          <w:numId w:val="10"/>
        </w:numPr>
        <w:adjustRightInd w:val="0"/>
        <w:snapToGrid w:val="0"/>
        <w:spacing w:line="360" w:lineRule="auto"/>
        <w:rPr>
          <w:rFonts w:ascii="宋体" w:hAnsi="宋体"/>
          <w:bCs/>
        </w:rPr>
      </w:pPr>
      <w:r>
        <w:rPr>
          <w:rFonts w:hint="eastAsia" w:ascii="宋体" w:hAnsi="宋体"/>
          <w:bCs/>
        </w:rPr>
        <w:t>价格核准：</w:t>
      </w:r>
    </w:p>
    <w:p>
      <w:pPr>
        <w:numPr>
          <w:ilvl w:val="1"/>
          <w:numId w:val="10"/>
        </w:numPr>
        <w:adjustRightInd w:val="0"/>
        <w:snapToGrid w:val="0"/>
        <w:spacing w:line="360" w:lineRule="auto"/>
        <w:rPr>
          <w:rFonts w:ascii="宋体" w:hAnsi="宋体"/>
        </w:rPr>
      </w:pPr>
      <w:r>
        <w:rPr>
          <w:rFonts w:hint="eastAsia" w:ascii="宋体" w:hAnsi="宋体"/>
          <w:bCs/>
        </w:rPr>
        <w:t>评标委员会详细分析、核准价格表，检查其是否存在计算上或累加上的算术错误，修正错误的原则如下：</w:t>
      </w:r>
    </w:p>
    <w:p>
      <w:pPr>
        <w:numPr>
          <w:ilvl w:val="0"/>
          <w:numId w:val="1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开标时，投标文件中开标一览表(报价表)内容与投标文件中明细表内容不一致的，以开标一览表(报价表)为准。</w:t>
      </w:r>
    </w:p>
    <w:p>
      <w:pPr>
        <w:numPr>
          <w:ilvl w:val="0"/>
          <w:numId w:val="1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投标文件中的大写金额和小写金额不一致的，以大写金额为准；</w:t>
      </w:r>
    </w:p>
    <w:p>
      <w:pPr>
        <w:numPr>
          <w:ilvl w:val="0"/>
          <w:numId w:val="1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总价金额与按单价汇总金额不一致的，以单价金额计算结果为准；</w:t>
      </w:r>
    </w:p>
    <w:p>
      <w:pPr>
        <w:numPr>
          <w:ilvl w:val="0"/>
          <w:numId w:val="1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单价金额小数点有明显错位的，应以总价为准，并修改单价；</w:t>
      </w:r>
    </w:p>
    <w:p>
      <w:pPr>
        <w:numPr>
          <w:ilvl w:val="0"/>
          <w:numId w:val="11"/>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对不同文字文本投标文件的解释发生异议的，以中文文本为准。</w:t>
      </w:r>
    </w:p>
    <w:p>
      <w:pPr>
        <w:autoSpaceDE w:val="0"/>
        <w:autoSpaceDN w:val="0"/>
        <w:adjustRightInd w:val="0"/>
        <w:snapToGrid w:val="0"/>
        <w:spacing w:line="360" w:lineRule="auto"/>
        <w:ind w:left="420"/>
        <w:rPr>
          <w:rFonts w:ascii="宋体" w:hAnsi="宋体" w:cs="宋体"/>
          <w:szCs w:val="21"/>
        </w:rPr>
      </w:pPr>
      <w:r>
        <w:rPr>
          <w:rFonts w:hint="eastAsia" w:ascii="宋体" w:hAnsi="宋体" w:cs="宋体"/>
          <w:szCs w:val="21"/>
        </w:rPr>
        <w:t>同时出现两种以上不一致的，按照前款规定的顺序修正。</w:t>
      </w:r>
    </w:p>
    <w:p>
      <w:pPr>
        <w:numPr>
          <w:ilvl w:val="1"/>
          <w:numId w:val="10"/>
        </w:numPr>
        <w:adjustRightInd w:val="0"/>
        <w:snapToGrid w:val="0"/>
        <w:spacing w:line="360" w:lineRule="auto"/>
        <w:rPr>
          <w:rFonts w:ascii="宋体" w:hAnsi="宋体"/>
          <w:bCs/>
        </w:rPr>
      </w:pPr>
      <w:r>
        <w:rPr>
          <w:rFonts w:hint="eastAsia" w:ascii="宋体" w:hAnsi="宋体"/>
          <w:bCs/>
        </w:rPr>
        <w:t>评标委员会将按照上述修正错误的方法调整投标文件中的投标报价，调整后的价格对投标人具有约束力。如果投标人不接受对其错误的更正，其投标将被确定为投标无效。</w:t>
      </w:r>
    </w:p>
    <w:p>
      <w:pPr>
        <w:numPr>
          <w:ilvl w:val="1"/>
          <w:numId w:val="10"/>
        </w:numPr>
        <w:adjustRightInd w:val="0"/>
        <w:snapToGrid w:val="0"/>
        <w:spacing w:line="360" w:lineRule="auto"/>
        <w:rPr>
          <w:rFonts w:ascii="宋体" w:hAnsi="宋体"/>
          <w:bCs/>
        </w:rPr>
      </w:pPr>
      <w:r>
        <w:rPr>
          <w:rFonts w:hint="eastAsia" w:ascii="宋体" w:hAnsi="宋体"/>
          <w:bCs/>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投标无效处理。</w:t>
      </w:r>
    </w:p>
    <w:p>
      <w:pPr>
        <w:numPr>
          <w:ilvl w:val="1"/>
          <w:numId w:val="10"/>
        </w:numPr>
        <w:adjustRightInd w:val="0"/>
        <w:snapToGrid w:val="0"/>
        <w:spacing w:line="360" w:lineRule="auto"/>
        <w:rPr>
          <w:rFonts w:ascii="宋体" w:hAnsi="宋体"/>
          <w:bCs/>
        </w:rPr>
      </w:pPr>
      <w:r>
        <w:rPr>
          <w:rFonts w:hint="eastAsia" w:ascii="宋体" w:hAnsi="宋体"/>
          <w:bCs/>
        </w:rPr>
        <w:t>按下列第3点</w:t>
      </w:r>
      <w:r>
        <w:rPr>
          <w:rFonts w:hint="eastAsia" w:ascii="宋体" w:hAnsi="宋体"/>
        </w:rPr>
        <w:t>小型和微型企业产品价格进行价格扣除。</w:t>
      </w:r>
    </w:p>
    <w:p>
      <w:pPr>
        <w:numPr>
          <w:ilvl w:val="0"/>
          <w:numId w:val="10"/>
        </w:numPr>
        <w:adjustRightInd w:val="0"/>
        <w:snapToGrid w:val="0"/>
        <w:spacing w:line="360" w:lineRule="auto"/>
        <w:rPr>
          <w:rFonts w:ascii="宋体" w:hAnsi="宋体"/>
          <w:bCs/>
        </w:rPr>
      </w:pPr>
      <w:r>
        <w:rPr>
          <w:rFonts w:ascii="宋体" w:hAnsi="宋体"/>
          <w:bCs/>
        </w:rPr>
        <w:t>综合评分法中的价格分统一采用低价优先法计算，即满足招标文件要求</w:t>
      </w:r>
      <w:r>
        <w:rPr>
          <w:rFonts w:hint="eastAsia" w:ascii="宋体" w:hAnsi="宋体"/>
          <w:bCs/>
        </w:rPr>
        <w:t>（通过资格性、符合性审查）</w:t>
      </w:r>
      <w:r>
        <w:rPr>
          <w:rFonts w:ascii="宋体" w:hAnsi="宋体"/>
          <w:bCs/>
        </w:rPr>
        <w:t>且投标价格最低的</w:t>
      </w:r>
      <w:r>
        <w:rPr>
          <w:rFonts w:hint="eastAsia" w:ascii="宋体" w:hAnsi="宋体"/>
          <w:bCs/>
        </w:rPr>
        <w:t>有效</w:t>
      </w:r>
      <w:r>
        <w:rPr>
          <w:rFonts w:ascii="宋体" w:hAnsi="宋体"/>
          <w:bCs/>
        </w:rPr>
        <w:t>投标报价</w:t>
      </w:r>
      <w:r>
        <w:rPr>
          <w:rFonts w:hint="eastAsia" w:ascii="宋体" w:hAnsi="宋体"/>
          <w:bCs/>
        </w:rPr>
        <w:t>（指价格核准后的价格，下同）</w:t>
      </w:r>
      <w:r>
        <w:rPr>
          <w:rFonts w:ascii="宋体" w:hAnsi="宋体"/>
          <w:bCs/>
        </w:rPr>
        <w:t>为评标基准价，其价格分为满分。其他投标人的价格分统一按照下列公式计算：</w:t>
      </w:r>
    </w:p>
    <w:p>
      <w:pPr>
        <w:adjustRightInd w:val="0"/>
        <w:snapToGrid w:val="0"/>
        <w:spacing w:line="360" w:lineRule="auto"/>
        <w:ind w:firstLine="413" w:firstLineChars="196"/>
        <w:rPr>
          <w:rFonts w:ascii="宋体" w:hAnsi="宋体"/>
          <w:b/>
          <w:bCs/>
        </w:rPr>
      </w:pPr>
      <w:r>
        <w:rPr>
          <w:rFonts w:hint="eastAsia" w:ascii="宋体" w:hAnsi="宋体"/>
          <w:b/>
          <w:bCs/>
        </w:rPr>
        <w:t>投标报价得分=(评标基准价/投标报价)×价格权值×100</w:t>
      </w:r>
    </w:p>
    <w:p>
      <w:pPr>
        <w:adjustRightInd w:val="0"/>
        <w:snapToGrid w:val="0"/>
        <w:spacing w:line="360" w:lineRule="auto"/>
        <w:ind w:firstLine="411" w:firstLineChars="196"/>
        <w:rPr>
          <w:rFonts w:ascii="宋体" w:hAnsi="宋体"/>
          <w:bCs/>
        </w:rPr>
      </w:pPr>
      <w:r>
        <w:rPr>
          <w:rFonts w:hint="eastAsia" w:ascii="宋体" w:hAnsi="宋体"/>
          <w:bCs/>
        </w:rPr>
        <w:t>备注：投标报价得分四舍五入后，</w:t>
      </w:r>
      <w:r>
        <w:rPr>
          <w:rFonts w:hint="eastAsia" w:ascii="宋体" w:hAnsi="宋体" w:cs="Arial"/>
          <w:szCs w:val="20"/>
        </w:rPr>
        <w:t>小数点后保留两位有效数</w:t>
      </w:r>
      <w:r>
        <w:rPr>
          <w:rFonts w:hint="eastAsia" w:ascii="宋体" w:hAnsi="宋体"/>
          <w:bCs/>
        </w:rPr>
        <w:t>；</w:t>
      </w:r>
    </w:p>
    <w:p>
      <w:pPr>
        <w:numPr>
          <w:ilvl w:val="0"/>
          <w:numId w:val="10"/>
        </w:numPr>
        <w:adjustRightInd w:val="0"/>
        <w:snapToGrid w:val="0"/>
        <w:spacing w:line="360" w:lineRule="auto"/>
        <w:rPr>
          <w:rFonts w:ascii="宋体" w:hAnsi="宋体"/>
        </w:rPr>
      </w:pPr>
      <w:r>
        <w:rPr>
          <w:rFonts w:hint="eastAsia" w:ascii="宋体" w:hAnsi="宋体"/>
        </w:rPr>
        <w:t>小型和微型企业产品价格扣除</w:t>
      </w:r>
    </w:p>
    <w:p>
      <w:pPr>
        <w:numPr>
          <w:ilvl w:val="1"/>
          <w:numId w:val="10"/>
        </w:numPr>
        <w:adjustRightInd w:val="0"/>
        <w:snapToGrid w:val="0"/>
        <w:spacing w:line="360" w:lineRule="auto"/>
        <w:rPr>
          <w:rFonts w:ascii="宋体" w:hAnsi="宋体"/>
          <w:bCs/>
        </w:rPr>
      </w:pPr>
      <w:r>
        <w:rPr>
          <w:rFonts w:hint="eastAsia" w:ascii="宋体" w:hAnsi="宋体"/>
          <w:bCs/>
        </w:rPr>
        <w:t xml:space="preserve">根据财政部、工业和信息化部印发的《政府采购促进中小企业发展暂行办法》（财库[2011]181号）的规定，对小型和微型企业产品的价格给予6%的扣除，用扣除后的价格参与评审； </w:t>
      </w:r>
    </w:p>
    <w:p>
      <w:pPr>
        <w:numPr>
          <w:ilvl w:val="1"/>
          <w:numId w:val="10"/>
        </w:numPr>
        <w:adjustRightInd w:val="0"/>
        <w:snapToGrid w:val="0"/>
        <w:spacing w:line="360" w:lineRule="auto"/>
        <w:rPr>
          <w:rFonts w:ascii="宋体" w:hAnsi="宋体"/>
          <w:bCs/>
        </w:rPr>
      </w:pPr>
      <w:r>
        <w:rPr>
          <w:rFonts w:hint="eastAsia" w:ascii="宋体" w:hAnsi="宋体"/>
          <w:bCs/>
        </w:rPr>
        <w:t>《政府采购促进中小企业发展暂行办法》所称中小企业（含中型、小型、微型企业，下同）应当同时符合以下条件：</w:t>
      </w:r>
    </w:p>
    <w:p>
      <w:pPr>
        <w:numPr>
          <w:ilvl w:val="2"/>
          <w:numId w:val="10"/>
        </w:numPr>
        <w:adjustRightInd w:val="0"/>
        <w:snapToGrid w:val="0"/>
        <w:spacing w:line="360" w:lineRule="auto"/>
        <w:rPr>
          <w:rFonts w:ascii="宋体" w:hAnsi="宋体"/>
          <w:bCs/>
        </w:rPr>
      </w:pPr>
      <w:r>
        <w:rPr>
          <w:rFonts w:hint="eastAsia" w:ascii="宋体" w:hAnsi="宋体"/>
          <w:bCs/>
        </w:rPr>
        <w:t xml:space="preserve">符合中小企业划分标准； </w:t>
      </w:r>
    </w:p>
    <w:p>
      <w:pPr>
        <w:numPr>
          <w:ilvl w:val="2"/>
          <w:numId w:val="10"/>
        </w:numPr>
        <w:adjustRightInd w:val="0"/>
        <w:snapToGrid w:val="0"/>
        <w:spacing w:line="360" w:lineRule="auto"/>
        <w:rPr>
          <w:rFonts w:ascii="宋体" w:hAnsi="宋体"/>
          <w:bCs/>
        </w:rPr>
      </w:pPr>
      <w:r>
        <w:rPr>
          <w:rFonts w:hint="eastAsia" w:ascii="宋体" w:hAnsi="宋体"/>
          <w:bCs/>
        </w:rPr>
        <w:t>提供本企业制造的货物、承担的工程或者服务，或者提供其他中小企业制造的货物。本项所称货物不包括使用大型企业注册商标的货物。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numPr>
          <w:ilvl w:val="1"/>
          <w:numId w:val="10"/>
        </w:numPr>
        <w:adjustRightInd w:val="0"/>
        <w:snapToGrid w:val="0"/>
        <w:spacing w:line="360" w:lineRule="auto"/>
        <w:rPr>
          <w:rFonts w:ascii="宋体" w:hAnsi="宋体"/>
          <w:bCs/>
        </w:rPr>
      </w:pPr>
      <w:r>
        <w:rPr>
          <w:rFonts w:hint="eastAsia" w:ascii="宋体" w:hAnsi="宋体"/>
          <w:bCs/>
        </w:rPr>
        <w:t>参加政府采购活动的中小企业应当提供《中小企业声明函》（格式见第六章投标文件格式）</w:t>
      </w:r>
    </w:p>
    <w:p>
      <w:pPr>
        <w:numPr>
          <w:ilvl w:val="1"/>
          <w:numId w:val="10"/>
        </w:numPr>
        <w:adjustRightInd w:val="0"/>
        <w:snapToGrid w:val="0"/>
        <w:spacing w:line="360" w:lineRule="auto"/>
        <w:rPr>
          <w:rFonts w:ascii="宋体" w:hAnsi="宋体"/>
        </w:rPr>
      </w:pPr>
      <w:r>
        <w:rPr>
          <w:rFonts w:hint="eastAsia" w:ascii="宋体" w:hAnsi="宋体"/>
        </w:rPr>
        <w:t>监狱企业视同小型、微型企业，享受评审中价格扣除。</w:t>
      </w:r>
    </w:p>
    <w:p>
      <w:pPr>
        <w:numPr>
          <w:ilvl w:val="2"/>
          <w:numId w:val="10"/>
        </w:numPr>
        <w:adjustRightInd w:val="0"/>
        <w:snapToGrid w:val="0"/>
        <w:spacing w:line="360" w:lineRule="auto"/>
        <w:rPr>
          <w:rFonts w:ascii="宋体" w:hAns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0"/>
        </w:numPr>
        <w:adjustRightInd w:val="0"/>
        <w:snapToGrid w:val="0"/>
        <w:spacing w:line="360" w:lineRule="auto"/>
        <w:rPr>
          <w:rFonts w:ascii="宋体" w:hAnsi="宋体"/>
        </w:rPr>
      </w:pPr>
      <w:r>
        <w:rPr>
          <w:rFonts w:hint="eastAsia" w:ascii="宋体" w:hAnsi="宋体"/>
        </w:rPr>
        <w:t>监狱企业参加政府采购活动时，应当提供由省级以上监狱管理局、戒毒管理局（含新疆生产建设兵团）出具的属于监狱企业的证明文件，</w:t>
      </w:r>
      <w:r>
        <w:rPr>
          <w:rFonts w:hint="eastAsia" w:ascii="宋体" w:hAnsi="宋体" w:cs="宋体"/>
          <w:kern w:val="0"/>
          <w:szCs w:val="21"/>
        </w:rPr>
        <w:t>否则不予认可</w:t>
      </w:r>
      <w:r>
        <w:rPr>
          <w:rFonts w:hint="eastAsia" w:ascii="宋体" w:hAnsi="宋体"/>
        </w:rPr>
        <w:t>。</w:t>
      </w:r>
    </w:p>
    <w:p>
      <w:pPr>
        <w:numPr>
          <w:ilvl w:val="1"/>
          <w:numId w:val="10"/>
        </w:numPr>
        <w:adjustRightInd w:val="0"/>
        <w:snapToGrid w:val="0"/>
        <w:spacing w:line="360" w:lineRule="auto"/>
        <w:ind w:left="425"/>
        <w:rPr>
          <w:rFonts w:ascii="宋体" w:hAnsi="宋体"/>
        </w:rPr>
      </w:pPr>
      <w:r>
        <w:rPr>
          <w:rFonts w:hint="eastAsia" w:ascii="宋体" w:hAnsi="宋体"/>
        </w:rPr>
        <w:t>投标人同时为小型、微型企业和监狱企业的，评审中只享受一次价格扣除。不重复进行价格扣除。</w:t>
      </w:r>
    </w:p>
    <w:p>
      <w:pPr>
        <w:numPr>
          <w:ilvl w:val="0"/>
          <w:numId w:val="10"/>
        </w:numPr>
        <w:adjustRightInd w:val="0"/>
        <w:snapToGrid w:val="0"/>
        <w:spacing w:line="360" w:lineRule="auto"/>
        <w:rPr>
          <w:rFonts w:ascii="宋体" w:hAnsi="宋体"/>
        </w:rPr>
      </w:pPr>
      <w:r>
        <w:rPr>
          <w:rFonts w:hint="eastAsia" w:ascii="宋体" w:hAnsi="宋体"/>
        </w:rPr>
        <w:t>疾人福利性单位产品价格扣除</w:t>
      </w:r>
    </w:p>
    <w:p>
      <w:pPr>
        <w:numPr>
          <w:ilvl w:val="2"/>
          <w:numId w:val="12"/>
        </w:numPr>
        <w:spacing w:line="360" w:lineRule="auto"/>
        <w:ind w:left="567" w:hanging="567"/>
        <w:rPr>
          <w:rFonts w:ascii="宋体" w:hAnsi="宋体" w:cs="宋体"/>
          <w:szCs w:val="21"/>
        </w:rPr>
      </w:pPr>
      <w:r>
        <w:rPr>
          <w:rFonts w:hint="eastAsia" w:ascii="宋体" w:hAnsi="宋体" w:cs="宋体"/>
          <w:szCs w:val="21"/>
        </w:rPr>
        <w:t>残疾人福利性单位视同小型、微型企业，按上述第（一）条款享受评审中价格扣除。</w:t>
      </w:r>
    </w:p>
    <w:p>
      <w:pPr>
        <w:numPr>
          <w:ilvl w:val="2"/>
          <w:numId w:val="12"/>
        </w:numPr>
        <w:spacing w:line="360" w:lineRule="auto"/>
        <w:ind w:left="567" w:hanging="567"/>
        <w:rPr>
          <w:rFonts w:ascii="宋体" w:hAnsi="宋体" w:cs="宋体"/>
          <w:szCs w:val="21"/>
        </w:rPr>
      </w:pPr>
      <w:r>
        <w:rPr>
          <w:rFonts w:hint="eastAsia" w:ascii="宋体" w:hAnsi="宋体" w:cs="宋体"/>
          <w:bCs/>
          <w:szCs w:val="21"/>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宋体" w:hAnsi="宋体" w:cs="宋体"/>
          <w:szCs w:val="21"/>
        </w:rPr>
        <w:t>声明的真实性负责。一旦中标将在中标公告中公告其声明函，接受社会监督。投标人提供的《残疾人福利性单位声明函》与事实不符的，依照《</w:t>
      </w:r>
      <w:r>
        <w:rPr>
          <w:rFonts w:hint="eastAsia" w:ascii="宋体" w:hAnsi="宋体" w:cs="宋体"/>
          <w:bCs/>
          <w:szCs w:val="21"/>
        </w:rPr>
        <w:t>中华人民共和国政府采购法</w:t>
      </w:r>
      <w:r>
        <w:rPr>
          <w:rFonts w:hint="eastAsia" w:ascii="宋体" w:hAnsi="宋体" w:cs="宋体"/>
          <w:szCs w:val="21"/>
        </w:rPr>
        <w:t>》第七十七条第一款的规定追究法律责任。</w:t>
      </w:r>
    </w:p>
    <w:p>
      <w:pPr>
        <w:numPr>
          <w:ilvl w:val="2"/>
          <w:numId w:val="12"/>
        </w:numPr>
        <w:spacing w:line="360" w:lineRule="auto"/>
        <w:ind w:left="567" w:hanging="567"/>
        <w:rPr>
          <w:rFonts w:ascii="宋体" w:hAnsi="宋体" w:cs="宋体"/>
          <w:szCs w:val="21"/>
        </w:rPr>
      </w:pPr>
      <w:r>
        <w:rPr>
          <w:rFonts w:hint="eastAsia" w:ascii="宋体" w:hAnsi="宋体" w:cs="宋体"/>
          <w:szCs w:val="21"/>
        </w:rPr>
        <w:t>投标人同时为小型、微型企业、监狱企业、残疾人福利性单位任两种或以上情况的，评审中只享受一次价格扣除，不重复进行价格扣除。</w:t>
      </w:r>
    </w:p>
    <w:p>
      <w:pPr>
        <w:numPr>
          <w:ilvl w:val="0"/>
          <w:numId w:val="10"/>
        </w:numPr>
        <w:adjustRightInd w:val="0"/>
        <w:snapToGrid w:val="0"/>
        <w:spacing w:line="360" w:lineRule="auto"/>
        <w:rPr>
          <w:rFonts w:ascii="宋体" w:hAnsi="宋体" w:cs="宋体"/>
          <w:szCs w:val="21"/>
        </w:rPr>
      </w:pPr>
      <w:r>
        <w:rPr>
          <w:rFonts w:hint="eastAsia" w:ascii="宋体" w:hAnsi="宋体" w:cs="宋体"/>
          <w:szCs w:val="21"/>
        </w:rPr>
        <w:t>节能产品、环境标志产品价格扣除</w:t>
      </w:r>
    </w:p>
    <w:p>
      <w:pPr>
        <w:numPr>
          <w:ilvl w:val="1"/>
          <w:numId w:val="13"/>
        </w:numPr>
        <w:snapToGrid w:val="0"/>
        <w:spacing w:line="360" w:lineRule="auto"/>
        <w:rPr>
          <w:rFonts w:ascii="宋体" w:hAnsi="宋体" w:cs="宋体"/>
          <w:szCs w:val="21"/>
        </w:rPr>
      </w:pPr>
      <w:r>
        <w:rPr>
          <w:rFonts w:hint="eastAsia" w:ascii="宋体" w:hAnsi="宋体" w:cs="宋体"/>
          <w:szCs w:val="21"/>
        </w:rPr>
        <w:t>拟采购产品属于节能产品政府采购品目清单规定必须强制采购的，实行强制采购。</w:t>
      </w:r>
    </w:p>
    <w:p>
      <w:pPr>
        <w:numPr>
          <w:ilvl w:val="1"/>
          <w:numId w:val="13"/>
        </w:numPr>
        <w:snapToGrid w:val="0"/>
        <w:spacing w:line="360" w:lineRule="auto"/>
        <w:rPr>
          <w:rFonts w:ascii="宋体" w:hAnsi="宋体" w:cs="宋体"/>
          <w:szCs w:val="21"/>
        </w:rPr>
      </w:pPr>
      <w:r>
        <w:rPr>
          <w:rFonts w:hint="eastAsia" w:ascii="宋体" w:hAnsi="宋体" w:cs="宋体"/>
          <w:szCs w:val="21"/>
        </w:rPr>
        <w:t>本次采购产品在财政部、发展改革委、生态环境部等部门最新发布的《节能产品政府采购品目清单》或《环境标志产品政府采购品目清单》的清单范围内优先采购的节能产品、环境标志产品类别，对于具有国家确定的认证机构出具的、处于有效期之内的节能产品或环境标志产品认证证书的，对节能产品或环境标志产品的价格分别给予</w:t>
      </w:r>
      <w:r>
        <w:rPr>
          <w:rFonts w:hint="eastAsia" w:ascii="宋体" w:hAnsi="宋体" w:cs="宋体"/>
          <w:szCs w:val="21"/>
          <w:u w:val="single"/>
        </w:rPr>
        <w:t>1</w:t>
      </w:r>
      <w:r>
        <w:rPr>
          <w:rFonts w:hint="eastAsia" w:ascii="宋体" w:hAnsi="宋体" w:cs="宋体"/>
          <w:szCs w:val="21"/>
        </w:rPr>
        <w:t>%的价格扣除。</w:t>
      </w:r>
    </w:p>
    <w:p>
      <w:pPr>
        <w:numPr>
          <w:ilvl w:val="1"/>
          <w:numId w:val="13"/>
        </w:numPr>
        <w:snapToGrid w:val="0"/>
        <w:spacing w:line="360" w:lineRule="auto"/>
        <w:rPr>
          <w:rFonts w:ascii="宋体" w:hAnsi="宋体" w:cs="宋体"/>
          <w:szCs w:val="21"/>
        </w:rPr>
      </w:pPr>
      <w:r>
        <w:rPr>
          <w:rFonts w:hint="eastAsia" w:ascii="宋体" w:hAnsi="宋体" w:cs="宋体"/>
          <w:szCs w:val="21"/>
        </w:rPr>
        <w:t>属于品目清单范围内的节能或环境标志产品，应当提供国家确定的认证机构出具的、处于有效期之内的节能产品或环境标志产品认证证书复印件，并加盖投标人单位的公章。</w:t>
      </w:r>
    </w:p>
    <w:p>
      <w:pPr>
        <w:numPr>
          <w:ilvl w:val="0"/>
          <w:numId w:val="10"/>
        </w:numPr>
        <w:adjustRightInd w:val="0"/>
        <w:snapToGrid w:val="0"/>
        <w:spacing w:line="360" w:lineRule="auto"/>
        <w:rPr>
          <w:rFonts w:ascii="宋体" w:hAnsi="宋体" w:cs="宋体"/>
          <w:szCs w:val="21"/>
        </w:rPr>
      </w:pPr>
      <w:r>
        <w:rPr>
          <w:rFonts w:hint="eastAsia" w:ascii="宋体" w:hAnsi="宋体" w:cs="宋体"/>
          <w:szCs w:val="21"/>
        </w:rPr>
        <w:t>国家级贫困地区农副产品价格扣除</w:t>
      </w:r>
    </w:p>
    <w:p>
      <w:pPr>
        <w:numPr>
          <w:ilvl w:val="1"/>
          <w:numId w:val="14"/>
        </w:numPr>
        <w:snapToGrid w:val="0"/>
        <w:spacing w:line="360" w:lineRule="auto"/>
        <w:rPr>
          <w:rFonts w:ascii="宋体" w:hAnsi="宋体" w:cs="宋体"/>
          <w:szCs w:val="21"/>
        </w:rPr>
      </w:pPr>
      <w:r>
        <w:rPr>
          <w:rFonts w:hint="eastAsia" w:ascii="宋体" w:hAnsi="宋体" w:cs="宋体"/>
          <w:szCs w:val="21"/>
        </w:rPr>
        <w:t>供应商注册地在832个国家级贫困县域内，且所投农副产品属于《国家级贫困县重点扶贫产品供应商名录》的供应商，对所投农副产品的价格给予</w:t>
      </w:r>
      <w:r>
        <w:rPr>
          <w:rFonts w:hint="eastAsia" w:ascii="宋体" w:hAnsi="宋体" w:cs="宋体"/>
          <w:szCs w:val="21"/>
          <w:u w:val="single"/>
        </w:rPr>
        <w:t>1</w:t>
      </w:r>
      <w:r>
        <w:rPr>
          <w:rFonts w:hint="eastAsia" w:ascii="宋体" w:hAnsi="宋体" w:cs="宋体"/>
          <w:szCs w:val="21"/>
        </w:rPr>
        <w:t>%的价格扣除。</w:t>
      </w:r>
    </w:p>
    <w:p>
      <w:pPr>
        <w:numPr>
          <w:ilvl w:val="1"/>
          <w:numId w:val="14"/>
        </w:numPr>
        <w:snapToGrid w:val="0"/>
        <w:spacing w:line="360" w:lineRule="auto"/>
        <w:rPr>
          <w:rFonts w:ascii="宋体" w:hAnsi="宋体" w:cs="宋体"/>
          <w:szCs w:val="21"/>
        </w:rPr>
      </w:pPr>
      <w:r>
        <w:rPr>
          <w:rFonts w:hint="eastAsia" w:ascii="宋体" w:hAnsi="宋体" w:cs="宋体"/>
          <w:szCs w:val="21"/>
        </w:rPr>
        <w:t>提供供应商属于《国家级贫困县重点扶贫产品供应商名录》的证明材料，并加盖供应商单位公章。如所提供产品属于《国家级贫困县重点扶贫产品供应商名录》中供应商的产品，应同时提供合作协议（或授权函）和该供应商属于《国家级贫困县重点扶贫产品供应商名录》的证明材料并加盖投标人单位公章。</w:t>
      </w:r>
    </w:p>
    <w:p>
      <w:pPr>
        <w:numPr>
          <w:ilvl w:val="0"/>
          <w:numId w:val="10"/>
        </w:numPr>
        <w:adjustRightInd w:val="0"/>
        <w:snapToGrid w:val="0"/>
        <w:spacing w:line="360" w:lineRule="auto"/>
        <w:rPr>
          <w:rFonts w:ascii="宋体" w:hAnsi="宋体" w:cs="宋体"/>
          <w:szCs w:val="21"/>
        </w:rPr>
      </w:pPr>
      <w:r>
        <w:rPr>
          <w:rFonts w:hint="eastAsia" w:ascii="宋体" w:hAnsi="宋体" w:cs="宋体"/>
          <w:szCs w:val="21"/>
        </w:rPr>
        <w:t>国家级贫困地区物业服务价格扣除</w:t>
      </w:r>
    </w:p>
    <w:p>
      <w:pPr>
        <w:numPr>
          <w:ilvl w:val="1"/>
          <w:numId w:val="15"/>
        </w:numPr>
        <w:snapToGrid w:val="0"/>
        <w:spacing w:line="360" w:lineRule="auto"/>
        <w:rPr>
          <w:rFonts w:ascii="宋体" w:hAnsi="宋体" w:cs="宋体"/>
          <w:szCs w:val="21"/>
        </w:rPr>
      </w:pPr>
      <w:r>
        <w:rPr>
          <w:rFonts w:hint="eastAsia" w:ascii="宋体" w:hAnsi="宋体" w:cs="宋体"/>
          <w:szCs w:val="21"/>
        </w:rPr>
        <w:t>供应商注册地在832个国家级贫困县域内，且聘用建档立卡贫困人员，对供应商的投标报价给予</w:t>
      </w:r>
      <w:r>
        <w:rPr>
          <w:rFonts w:hint="eastAsia" w:ascii="宋体" w:hAnsi="宋体" w:cs="宋体"/>
          <w:szCs w:val="21"/>
          <w:u w:val="single"/>
        </w:rPr>
        <w:t>1</w:t>
      </w:r>
      <w:r>
        <w:rPr>
          <w:rFonts w:hint="eastAsia" w:ascii="宋体" w:hAnsi="宋体" w:cs="宋体"/>
          <w:szCs w:val="21"/>
        </w:rPr>
        <w:t>%的价格扣除。</w:t>
      </w:r>
    </w:p>
    <w:p>
      <w:pPr>
        <w:numPr>
          <w:ilvl w:val="1"/>
          <w:numId w:val="15"/>
        </w:numPr>
        <w:snapToGrid w:val="0"/>
        <w:spacing w:line="360" w:lineRule="auto"/>
        <w:rPr>
          <w:rFonts w:ascii="宋体" w:hAnsi="宋体" w:cs="宋体"/>
          <w:szCs w:val="21"/>
        </w:rPr>
      </w:pPr>
      <w:r>
        <w:rPr>
          <w:rFonts w:hint="eastAsia" w:ascii="宋体" w:hAnsi="宋体" w:cs="宋体"/>
          <w:szCs w:val="21"/>
        </w:rPr>
        <w:t>贫困县域物业公司参与物业服务政府采购,享受上述优惠政策时，应提供以下佐证材料：</w:t>
      </w:r>
    </w:p>
    <w:p>
      <w:pPr>
        <w:numPr>
          <w:ilvl w:val="2"/>
          <w:numId w:val="15"/>
        </w:numPr>
        <w:snapToGrid w:val="0"/>
        <w:spacing w:line="360" w:lineRule="auto"/>
        <w:rPr>
          <w:rFonts w:ascii="宋体" w:hAnsi="宋体" w:cs="宋体"/>
          <w:szCs w:val="21"/>
        </w:rPr>
      </w:pPr>
      <w:r>
        <w:rPr>
          <w:rFonts w:hint="eastAsia" w:ascii="宋体" w:hAnsi="宋体" w:cs="宋体"/>
          <w:szCs w:val="21"/>
        </w:rPr>
        <w:t>供应商注册所在地县扶贫部门出具的本公司聘用建档立卡贫困人员具体数量证明，并加盖供应商单位公章。</w:t>
      </w:r>
    </w:p>
    <w:p>
      <w:pPr>
        <w:numPr>
          <w:ilvl w:val="2"/>
          <w:numId w:val="15"/>
        </w:numPr>
        <w:snapToGrid w:val="0"/>
        <w:spacing w:line="360" w:lineRule="auto"/>
        <w:rPr>
          <w:rFonts w:ascii="宋体" w:hAnsi="宋体" w:cs="宋体"/>
          <w:szCs w:val="21"/>
        </w:rPr>
      </w:pPr>
      <w:r>
        <w:rPr>
          <w:rFonts w:hint="eastAsia" w:ascii="宋体" w:hAnsi="宋体" w:cs="宋体"/>
          <w:szCs w:val="21"/>
        </w:rPr>
        <w:t>劳动合同或保险缴纳凭证、工资发放凭证等证实本公司聘用建档立卡贫困人员的材料，并加盖供应商单位公章。</w:t>
      </w:r>
    </w:p>
    <w:p>
      <w:pPr>
        <w:numPr>
          <w:ilvl w:val="2"/>
          <w:numId w:val="15"/>
        </w:numPr>
        <w:snapToGrid w:val="0"/>
        <w:spacing w:line="360" w:lineRule="auto"/>
      </w:pPr>
      <w:r>
        <w:rPr>
          <w:rFonts w:hint="eastAsia" w:ascii="宋体" w:hAnsi="宋体" w:cs="宋体"/>
          <w:szCs w:val="21"/>
        </w:rPr>
        <w:t>如公司通过服务外包工方式聘用了建档立卡贫困人员，还应提供公司与服务外包公司签订的合同或协议，以及扶贫部门出具的该服务外包聘用建档立卡贫困人员具体数量证明，并加盖供应商单位公章。</w:t>
      </w:r>
    </w:p>
    <w:p>
      <w:pPr>
        <w:rPr>
          <w:rFonts w:ascii="宋体" w:hAnsi="宋体" w:cs="宋体"/>
          <w:b/>
          <w:bCs/>
          <w:szCs w:val="21"/>
        </w:rPr>
      </w:pPr>
      <w:r>
        <w:rPr>
          <w:rFonts w:hint="eastAsia" w:ascii="宋体" w:hAnsi="宋体" w:cs="宋体"/>
          <w:b/>
          <w:bCs/>
          <w:szCs w:val="21"/>
        </w:rPr>
        <w:t>备注：本采购项目最高投标限价见用户需求书，投标报价超过最高限价投标无效。凡超过最高限价均视为无效投标；</w:t>
      </w:r>
      <w:r>
        <w:rPr>
          <w:rFonts w:hint="eastAsia" w:ascii="宋体" w:hAnsi="宋体" w:cs="宋体"/>
          <w:b/>
          <w:bCs/>
          <w:szCs w:val="21"/>
          <w:u w:val="single"/>
        </w:rPr>
        <w:t xml:space="preserve">投标人的报价低于最高限价  </w:t>
      </w:r>
      <w:r>
        <w:rPr>
          <w:rFonts w:ascii="宋体" w:hAnsi="宋体" w:cs="宋体"/>
          <w:b/>
          <w:bCs/>
          <w:szCs w:val="21"/>
          <w:u w:val="single"/>
        </w:rPr>
        <w:t>90</w:t>
      </w:r>
      <w:r>
        <w:rPr>
          <w:rFonts w:hint="eastAsia" w:ascii="宋体" w:hAnsi="宋体" w:cs="宋体"/>
          <w:b/>
          <w:bCs/>
          <w:szCs w:val="21"/>
          <w:u w:val="single"/>
        </w:rPr>
        <w:t>%</w:t>
      </w:r>
      <w:r>
        <w:rPr>
          <w:rFonts w:ascii="宋体" w:hAnsi="宋体" w:cs="宋体"/>
          <w:b/>
          <w:bCs/>
          <w:szCs w:val="21"/>
          <w:u w:val="single"/>
        </w:rPr>
        <w:t xml:space="preserve">  </w:t>
      </w:r>
      <w:r>
        <w:rPr>
          <w:rFonts w:hint="eastAsia" w:ascii="宋体" w:hAnsi="宋体" w:cs="宋体"/>
          <w:b/>
          <w:bCs/>
          <w:szCs w:val="21"/>
          <w:u w:val="single"/>
        </w:rPr>
        <w:t>的</w:t>
      </w:r>
      <w:r>
        <w:rPr>
          <w:rFonts w:hint="eastAsia" w:ascii="宋体" w:hAnsi="宋体" w:cs="宋体"/>
          <w:b/>
          <w:bCs/>
          <w:szCs w:val="21"/>
        </w:rPr>
        <w:t>，使得其投标报价可能低于其个别成本，必须出具详细的成本计算清单，包括但不限于拟投本采购项目各项成本，投入项目人员的每日工资、工时、福利、社保等人工成本，企业税负和财务成本，风险准备和合理利润，以及项目实施过程中可能涉及到的其他费用；经本次项目的评标委员会评审按投票表决的方式，通过人数大于总人数的 1/2 的，则通过，否则按投标无效处理。</w:t>
      </w:r>
    </w:p>
    <w:p>
      <w:pPr>
        <w:spacing w:before="156" w:beforeLines="50" w:after="156" w:afterLines="50" w:line="360" w:lineRule="auto"/>
        <w:ind w:firstLine="562" w:firstLineChars="200"/>
        <w:jc w:val="center"/>
        <w:outlineLvl w:val="0"/>
        <w:rPr>
          <w:rFonts w:ascii="宋体" w:hAnsi="宋体"/>
          <w:b/>
          <w:bCs/>
          <w:sz w:val="28"/>
          <w:szCs w:val="28"/>
        </w:rPr>
      </w:pPr>
      <w:r>
        <w:rPr>
          <w:rFonts w:hint="eastAsia" w:ascii="宋体" w:hAnsi="宋体"/>
          <w:b/>
          <w:bCs/>
          <w:sz w:val="28"/>
          <w:szCs w:val="28"/>
        </w:rPr>
        <w:br w:type="page"/>
      </w:r>
    </w:p>
    <w:p>
      <w:pPr>
        <w:spacing w:before="156" w:beforeLines="50" w:after="156" w:afterLines="50" w:line="360" w:lineRule="auto"/>
        <w:ind w:firstLine="562" w:firstLineChars="200"/>
        <w:jc w:val="center"/>
        <w:outlineLvl w:val="0"/>
        <w:rPr>
          <w:rFonts w:ascii="宋体" w:hAnsi="宋体"/>
          <w:szCs w:val="21"/>
        </w:rPr>
      </w:pPr>
      <w:bookmarkStart w:id="12" w:name="_Toc16012"/>
      <w:r>
        <w:rPr>
          <w:rFonts w:hint="eastAsia" w:ascii="宋体" w:hAnsi="宋体"/>
          <w:b/>
          <w:bCs/>
          <w:sz w:val="28"/>
          <w:szCs w:val="28"/>
        </w:rPr>
        <w:t>第四章  用户需求书</w:t>
      </w:r>
      <w:bookmarkEnd w:id="12"/>
    </w:p>
    <w:p>
      <w:pPr>
        <w:snapToGrid w:val="0"/>
        <w:spacing w:line="360" w:lineRule="auto"/>
        <w:rPr>
          <w:rFonts w:ascii="宋体" w:hAnsi="宋体"/>
          <w:b/>
          <w:bCs/>
          <w:szCs w:val="21"/>
        </w:rPr>
      </w:pPr>
      <w:r>
        <w:rPr>
          <w:rFonts w:hint="eastAsia" w:ascii="宋体" w:hAnsi="宋体"/>
          <w:b/>
          <w:bCs/>
          <w:szCs w:val="21"/>
        </w:rPr>
        <w:t>说明：</w:t>
      </w:r>
    </w:p>
    <w:p>
      <w:pPr>
        <w:pStyle w:val="16"/>
        <w:rPr>
          <w:b/>
          <w:bCs/>
        </w:rPr>
      </w:pPr>
      <w:r>
        <w:rPr>
          <w:rFonts w:hint="eastAsia"/>
          <w:b/>
          <w:bCs/>
        </w:rPr>
        <w:t>1.投标人须对同一采购项目为单位的货物及服务进行整体响应，任何只对其中一部分内容进行的响应都被视为无效投标。</w:t>
      </w:r>
    </w:p>
    <w:p>
      <w:pPr>
        <w:pStyle w:val="16"/>
        <w:rPr>
          <w:b/>
          <w:bCs/>
        </w:rPr>
      </w:pPr>
      <w:r>
        <w:rPr>
          <w:rFonts w:hint="eastAsia"/>
          <w:b/>
          <w:bCs/>
        </w:rPr>
        <w:t>2.采购人需求中打“▲”号条款为重要服务（技术）参数，但不作为无效投标条款。</w:t>
      </w:r>
    </w:p>
    <w:p>
      <w:pPr>
        <w:pStyle w:val="16"/>
        <w:rPr>
          <w:b/>
          <w:bCs/>
        </w:rPr>
      </w:pPr>
      <w:r>
        <w:rPr>
          <w:rFonts w:hint="eastAsia"/>
          <w:b/>
          <w:bCs/>
        </w:rPr>
        <w:t>3.★报价人必须对本项目整体内容进行投标，只对本项目部分内容进行投标的将被视为无效投标。</w:t>
      </w:r>
    </w:p>
    <w:p>
      <w:pPr>
        <w:pStyle w:val="16"/>
      </w:pPr>
    </w:p>
    <w:p>
      <w:pPr>
        <w:widowControl/>
        <w:jc w:val="left"/>
        <w:rPr>
          <w:rFonts w:asciiTheme="minorEastAsia" w:hAnsiTheme="minorEastAsia" w:eastAsiaTheme="minorEastAsia"/>
          <w:szCs w:val="21"/>
        </w:rPr>
      </w:pP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1812"/>
        <w:gridCol w:w="315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460" w:type="pct"/>
            <w:shd w:val="clear" w:color="auto" w:fill="auto"/>
            <w:vAlign w:val="center"/>
          </w:tcPr>
          <w:p>
            <w:pPr>
              <w:widowControl/>
              <w:snapToGrid w:val="0"/>
              <w:jc w:val="center"/>
              <w:rPr>
                <w:rFonts w:cs="仿宋_GB2312" w:asciiTheme="minorEastAsia" w:hAnsiTheme="minorEastAsia" w:eastAsiaTheme="minorEastAsia"/>
                <w:b/>
                <w:kern w:val="0"/>
                <w:szCs w:val="21"/>
              </w:rPr>
            </w:pPr>
            <w:r>
              <w:rPr>
                <w:rFonts w:hint="eastAsia" w:cs="仿宋_GB2312" w:asciiTheme="minorEastAsia" w:hAnsiTheme="minorEastAsia" w:eastAsiaTheme="minorEastAsia"/>
                <w:b/>
                <w:kern w:val="0"/>
                <w:szCs w:val="21"/>
              </w:rPr>
              <w:t>项目名称</w:t>
            </w:r>
          </w:p>
        </w:tc>
        <w:tc>
          <w:tcPr>
            <w:tcW w:w="910" w:type="pct"/>
            <w:shd w:val="clear" w:color="auto" w:fill="auto"/>
            <w:vAlign w:val="center"/>
          </w:tcPr>
          <w:p>
            <w:pPr>
              <w:widowControl/>
              <w:jc w:val="center"/>
              <w:rPr>
                <w:rFonts w:cs="仿宋_GB2312" w:asciiTheme="minorEastAsia" w:hAnsiTheme="minorEastAsia" w:eastAsiaTheme="minorEastAsia"/>
                <w:b/>
                <w:kern w:val="0"/>
                <w:szCs w:val="21"/>
              </w:rPr>
            </w:pPr>
            <w:r>
              <w:rPr>
                <w:rFonts w:hint="eastAsia" w:cs="仿宋_GB2312" w:asciiTheme="minorEastAsia" w:hAnsiTheme="minorEastAsia" w:eastAsiaTheme="minorEastAsia"/>
                <w:b/>
                <w:kern w:val="0"/>
                <w:szCs w:val="21"/>
              </w:rPr>
              <w:t>采购类型</w:t>
            </w:r>
          </w:p>
        </w:tc>
        <w:tc>
          <w:tcPr>
            <w:tcW w:w="1582" w:type="pct"/>
            <w:shd w:val="clear" w:color="auto" w:fill="auto"/>
            <w:vAlign w:val="center"/>
          </w:tcPr>
          <w:p>
            <w:pPr>
              <w:widowControl/>
              <w:jc w:val="center"/>
              <w:rPr>
                <w:rFonts w:cs="仿宋_GB2312" w:asciiTheme="minorEastAsia" w:hAnsiTheme="minorEastAsia" w:eastAsiaTheme="minorEastAsia"/>
                <w:b/>
                <w:kern w:val="0"/>
                <w:szCs w:val="21"/>
              </w:rPr>
            </w:pPr>
            <w:r>
              <w:rPr>
                <w:rFonts w:hint="eastAsia" w:cs="仿宋_GB2312" w:asciiTheme="minorEastAsia" w:hAnsiTheme="minorEastAsia" w:eastAsiaTheme="minorEastAsia"/>
                <w:b/>
                <w:kern w:val="0"/>
                <w:szCs w:val="21"/>
              </w:rPr>
              <w:t>服务期限</w:t>
            </w:r>
          </w:p>
        </w:tc>
        <w:tc>
          <w:tcPr>
            <w:tcW w:w="1046" w:type="pct"/>
            <w:shd w:val="clear" w:color="auto" w:fill="auto"/>
            <w:vAlign w:val="center"/>
          </w:tcPr>
          <w:p>
            <w:pPr>
              <w:widowControl/>
              <w:jc w:val="center"/>
              <w:rPr>
                <w:rFonts w:cs="仿宋_GB2312" w:asciiTheme="minorEastAsia" w:hAnsiTheme="minorEastAsia" w:eastAsiaTheme="minorEastAsia"/>
                <w:b/>
                <w:kern w:val="0"/>
                <w:szCs w:val="21"/>
              </w:rPr>
            </w:pPr>
            <w:r>
              <w:rPr>
                <w:rFonts w:hint="eastAsia" w:cs="仿宋_GB2312" w:asciiTheme="minorEastAsia" w:hAnsiTheme="minorEastAsia" w:eastAsiaTheme="minorEastAsia"/>
                <w:b/>
                <w:kern w:val="0"/>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1460" w:type="pct"/>
            <w:shd w:val="clear" w:color="auto" w:fill="auto"/>
            <w:vAlign w:val="center"/>
          </w:tcPr>
          <w:p>
            <w:pPr>
              <w:widowControl/>
              <w:jc w:val="center"/>
              <w:rPr>
                <w:rFonts w:cs="仿宋_GB2312" w:asciiTheme="minorEastAsia" w:hAnsiTheme="minorEastAsia" w:eastAsiaTheme="minorEastAsia"/>
                <w:bCs/>
                <w:kern w:val="0"/>
                <w:szCs w:val="21"/>
              </w:rPr>
            </w:pPr>
            <w:r>
              <w:rPr>
                <w:rFonts w:hint="eastAsia" w:cs="仿宋_GB2312" w:asciiTheme="minorEastAsia" w:hAnsiTheme="minorEastAsia" w:eastAsiaTheme="minorEastAsia"/>
                <w:bCs/>
                <w:kern w:val="0"/>
                <w:szCs w:val="21"/>
              </w:rPr>
              <w:t>广州市地质灾害在册隐患点专业监测设备采购</w:t>
            </w:r>
          </w:p>
        </w:tc>
        <w:tc>
          <w:tcPr>
            <w:tcW w:w="910" w:type="pct"/>
            <w:shd w:val="clear" w:color="auto" w:fill="auto"/>
            <w:vAlign w:val="center"/>
          </w:tcPr>
          <w:p>
            <w:pPr>
              <w:keepNext/>
              <w:adjustRightInd w:val="0"/>
              <w:ind w:firstLine="12"/>
              <w:jc w:val="center"/>
              <w:textAlignment w:val="center"/>
              <w:rPr>
                <w:rFonts w:cs="仿宋_GB2312" w:asciiTheme="minorEastAsia" w:hAnsiTheme="minorEastAsia" w:eastAsiaTheme="minorEastAsia"/>
                <w:kern w:val="28"/>
                <w:szCs w:val="21"/>
              </w:rPr>
            </w:pPr>
            <w:r>
              <w:rPr>
                <w:rFonts w:hint="eastAsia" w:cs="仿宋_GB2312" w:asciiTheme="minorEastAsia" w:hAnsiTheme="minorEastAsia" w:eastAsiaTheme="minorEastAsia"/>
                <w:kern w:val="28"/>
                <w:szCs w:val="21"/>
              </w:rPr>
              <w:t>货物</w:t>
            </w:r>
          </w:p>
        </w:tc>
        <w:tc>
          <w:tcPr>
            <w:tcW w:w="1582" w:type="pct"/>
            <w:shd w:val="clear" w:color="auto" w:fill="auto"/>
            <w:vAlign w:val="center"/>
          </w:tcPr>
          <w:p>
            <w:pPr>
              <w:keepNext/>
              <w:adjustRightInd w:val="0"/>
              <w:ind w:firstLine="12"/>
              <w:jc w:val="left"/>
              <w:textAlignment w:val="center"/>
              <w:rPr>
                <w:rFonts w:cs="仿宋_GB2312" w:asciiTheme="minorEastAsia" w:hAnsiTheme="minorEastAsia" w:eastAsiaTheme="minorEastAsia"/>
                <w:kern w:val="28"/>
                <w:szCs w:val="21"/>
              </w:rPr>
            </w:pPr>
            <w:r>
              <w:rPr>
                <w:rFonts w:hint="eastAsia" w:cs="仿宋_GB2312" w:asciiTheme="minorEastAsia" w:hAnsiTheme="minorEastAsia" w:eastAsiaTheme="minorEastAsia"/>
                <w:kern w:val="28"/>
                <w:szCs w:val="21"/>
              </w:rPr>
              <w:t>建设期：从签订合同日至202</w:t>
            </w:r>
            <w:r>
              <w:rPr>
                <w:rFonts w:cs="仿宋_GB2312" w:asciiTheme="minorEastAsia" w:hAnsiTheme="minorEastAsia" w:eastAsiaTheme="minorEastAsia"/>
                <w:kern w:val="28"/>
                <w:szCs w:val="21"/>
              </w:rPr>
              <w:t>2</w:t>
            </w:r>
            <w:r>
              <w:rPr>
                <w:rFonts w:hint="eastAsia" w:cs="仿宋_GB2312" w:asciiTheme="minorEastAsia" w:hAnsiTheme="minorEastAsia" w:eastAsiaTheme="minorEastAsia"/>
                <w:kern w:val="28"/>
                <w:szCs w:val="21"/>
              </w:rPr>
              <w:t>年12月31日；</w:t>
            </w:r>
          </w:p>
          <w:p>
            <w:pPr>
              <w:keepNext/>
              <w:adjustRightInd w:val="0"/>
              <w:ind w:firstLine="12"/>
              <w:jc w:val="left"/>
              <w:textAlignment w:val="center"/>
              <w:rPr>
                <w:rFonts w:cs="仿宋_GB2312" w:asciiTheme="minorEastAsia" w:hAnsiTheme="minorEastAsia" w:eastAsiaTheme="minorEastAsia"/>
                <w:kern w:val="28"/>
                <w:szCs w:val="21"/>
              </w:rPr>
            </w:pPr>
            <w:r>
              <w:rPr>
                <w:rFonts w:hint="eastAsia" w:cs="仿宋_GB2312" w:asciiTheme="minorEastAsia" w:hAnsiTheme="minorEastAsia" w:eastAsiaTheme="minorEastAsia"/>
                <w:kern w:val="28"/>
                <w:szCs w:val="21"/>
              </w:rPr>
              <w:t>质保期：竣工验收之日后三年</w:t>
            </w:r>
          </w:p>
        </w:tc>
        <w:tc>
          <w:tcPr>
            <w:tcW w:w="1046" w:type="pct"/>
            <w:shd w:val="clear" w:color="auto" w:fill="auto"/>
            <w:vAlign w:val="center"/>
          </w:tcPr>
          <w:p>
            <w:pPr>
              <w:keepNext/>
              <w:adjustRightInd w:val="0"/>
              <w:ind w:firstLine="120"/>
              <w:jc w:val="center"/>
              <w:textAlignment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人民币壹仟伍佰零伍万玖仟元整</w:t>
            </w:r>
          </w:p>
        </w:tc>
      </w:tr>
    </w:tbl>
    <w:p>
      <w:pPr>
        <w:jc w:val="center"/>
        <w:rPr>
          <w:rFonts w:asciiTheme="minorEastAsia" w:hAnsiTheme="minorEastAsia" w:eastAsiaTheme="minorEastAsia"/>
          <w:szCs w:val="21"/>
        </w:rPr>
      </w:pPr>
    </w:p>
    <w:p>
      <w:pPr>
        <w:keepNext/>
        <w:keepLines/>
        <w:spacing w:before="260" w:after="260" w:line="416" w:lineRule="auto"/>
        <w:outlineLvl w:val="1"/>
        <w:rPr>
          <w:rFonts w:asciiTheme="minorEastAsia" w:hAnsiTheme="minorEastAsia" w:eastAsiaTheme="minorEastAsia"/>
          <w:b/>
          <w:bCs/>
          <w:szCs w:val="21"/>
          <w:lang w:val="zh-CN"/>
        </w:rPr>
      </w:pPr>
      <w:bookmarkStart w:id="13" w:name="_Toc14708"/>
      <w:bookmarkStart w:id="14" w:name="_Toc507426176"/>
      <w:bookmarkStart w:id="15" w:name="_Toc536713459"/>
      <w:bookmarkStart w:id="16" w:name="_Toc32999829"/>
      <w:bookmarkStart w:id="17" w:name="_Toc63094634"/>
      <w:bookmarkStart w:id="18" w:name="_Toc12880"/>
      <w:r>
        <w:rPr>
          <w:rFonts w:hint="eastAsia" w:asciiTheme="minorEastAsia" w:hAnsiTheme="minorEastAsia" w:eastAsiaTheme="minorEastAsia"/>
          <w:b/>
          <w:bCs/>
          <w:szCs w:val="21"/>
          <w:lang w:val="zh-CN"/>
        </w:rPr>
        <w:t>一、项目背景</w:t>
      </w:r>
      <w:bookmarkEnd w:id="13"/>
      <w:bookmarkEnd w:id="14"/>
      <w:bookmarkEnd w:id="15"/>
      <w:bookmarkEnd w:id="16"/>
      <w:bookmarkEnd w:id="17"/>
      <w:bookmarkEnd w:id="18"/>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为深入贯彻落实习近平新时代中国特色社会主义思想和党的十九大精神，认真落实自然资源部和省自然资源厅工作要求，加快推进我市地质灾害专业监测预警工作，构建高效科学的地质灾害监测预警体系，有力提升监测预警能力和防灾减灾水平，支撑我市科学决策与受威胁群众防灾避灾工作，最大限度减少人员伤亡和财产损失。根据《广东省人民政府办公厅关于印发广东省地质灾害防治三年行动方案（2020-2022年）的通知》（粤办函〔2019〕402号）、《广东省自然资源厅关于加快推进省地质灾害防治三年行动方案实施和省民生实事办理的通知》（粤自然资函〔2020〕694号）、《广东省自然资源厅关于加快大型以上地质灾害隐患点专业监测建设的通知》（粤自然资地勘〔2020〕2065 号）、《广东省自然资源厅关于下达第三批地质灾害隐患点专业监测建设计划的通知》（粤自然资地勘〔2020〕2593号）、《广东省自然资源厅关于加快地质灾害隐患点专业监测建设的通知》（粤自然资地勘〔2020〕2736 号）、《广州市规划和自然资源局关于印发&lt;广州市贯彻落实广东省地质灾害防治三年行动方案（2020-2022年）的实施方案&gt;的通知》（穗规划资源字〔2020〕18号）、《广州市规划和自然资源局关于加快推进地质灾害隐患点专业监测建设的通知》中关于开展地质灾害隐患点专业监测工作的相关要求，结合我市实际情况，按照“政府主导、分级负责、部门联动、全民动员、防治结合”的工作原则，采取“全面排查隐患、彻底摸清情况，分类科学研判、精准综合治理”的策略，加大地质灾害隐患点和削坡建房风险点综合治理力度。对暂无条件实施工程治理或者避险搬迁的全部隐患点采取专业监测工作。同时在群测群防监测的基础上，配备一定数量监测设备，对地质灾害体演化、发生过程以及降水等触发因素进行自动监测、风险预警的工作。进一步加强我市地质灾害防治工作，建立高效科学的地质灾害防治体系，最大限度地避免和减少地质灾害造成的人员伤亡和经济损失。</w:t>
      </w:r>
    </w:p>
    <w:p>
      <w:pPr>
        <w:keepNext/>
        <w:keepLines/>
        <w:spacing w:before="260" w:after="260" w:line="416" w:lineRule="auto"/>
        <w:outlineLvl w:val="1"/>
        <w:rPr>
          <w:rFonts w:asciiTheme="minorEastAsia" w:hAnsiTheme="minorEastAsia" w:eastAsiaTheme="minorEastAsia"/>
          <w:b/>
          <w:bCs/>
          <w:szCs w:val="21"/>
          <w:lang w:val="zh-CN"/>
        </w:rPr>
      </w:pPr>
      <w:bookmarkStart w:id="19" w:name="_Toc20649"/>
      <w:bookmarkStart w:id="20" w:name="_Toc17211"/>
      <w:bookmarkStart w:id="21" w:name="_Toc32999830"/>
      <w:bookmarkStart w:id="22" w:name="_Toc63094635"/>
      <w:r>
        <w:rPr>
          <w:rFonts w:hint="eastAsia" w:asciiTheme="minorEastAsia" w:hAnsiTheme="minorEastAsia" w:eastAsiaTheme="minorEastAsia"/>
          <w:b/>
          <w:bCs/>
          <w:szCs w:val="21"/>
          <w:lang w:val="zh-CN"/>
        </w:rPr>
        <w:t>二、项目工作目标</w:t>
      </w:r>
      <w:bookmarkEnd w:id="19"/>
      <w:bookmarkEnd w:id="20"/>
      <w:bookmarkEnd w:id="21"/>
      <w:bookmarkEnd w:id="22"/>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针对2021年底无法完成工程治理或搬迁避让的地质灾害隐患点，通过资料收集与实地调查，采用地质灾害视频监测、危岩倾角监测、滑坡裂缝监测、雨量监测、地面沉降监测、地下水监测等</w:t>
      </w:r>
      <w:r>
        <w:rPr>
          <w:rFonts w:asciiTheme="minorEastAsia" w:hAnsiTheme="minorEastAsia" w:eastAsiaTheme="minorEastAsia"/>
          <w:szCs w:val="21"/>
        </w:rPr>
        <w:t>12</w:t>
      </w:r>
      <w:r>
        <w:rPr>
          <w:rFonts w:hint="eastAsia" w:asciiTheme="minorEastAsia" w:hAnsiTheme="minorEastAsia" w:eastAsiaTheme="minorEastAsia"/>
          <w:szCs w:val="21"/>
        </w:rPr>
        <w:t>种地质灾害专业监测手段，设计不同类型、具有针对性的专业监测方案，</w:t>
      </w:r>
      <w:r>
        <w:rPr>
          <w:rFonts w:asciiTheme="minorEastAsia" w:hAnsiTheme="minorEastAsia" w:eastAsiaTheme="minorEastAsia"/>
          <w:szCs w:val="21"/>
        </w:rPr>
        <w:t>综合利用多学科（地质工程、岩土工程、测绘工程、计算机工程、通信工程等）、多技术手段（物联网技术、计算机技术、图形图像处理技术、互联网和通信技术、GIS技术等）</w:t>
      </w:r>
      <w:r>
        <w:rPr>
          <w:rFonts w:hint="eastAsia" w:asciiTheme="minorEastAsia" w:hAnsiTheme="minorEastAsia" w:eastAsiaTheme="minorEastAsia"/>
          <w:szCs w:val="21"/>
        </w:rPr>
        <w:t>对2021年底前对全市近期内难以完成工程治理或者搬迁避让的在册中、小型地质灾害隐患点开展专业监测工作，分析研判隐患变形动态，及时分级发布预警信息，监测数据与省级以上地质灾害监测预警平台实现对接，纳入</w:t>
      </w:r>
      <w:r>
        <w:rPr>
          <w:rFonts w:asciiTheme="minorEastAsia" w:hAnsiTheme="minorEastAsia" w:eastAsiaTheme="minorEastAsia"/>
          <w:szCs w:val="21"/>
        </w:rPr>
        <w:t>广州</w:t>
      </w:r>
      <w:r>
        <w:rPr>
          <w:rFonts w:hint="eastAsia" w:asciiTheme="minorEastAsia" w:hAnsiTheme="minorEastAsia" w:eastAsiaTheme="minorEastAsia"/>
          <w:szCs w:val="21"/>
        </w:rPr>
        <w:t>市</w:t>
      </w:r>
      <w:r>
        <w:rPr>
          <w:rFonts w:asciiTheme="minorEastAsia" w:hAnsiTheme="minorEastAsia" w:eastAsiaTheme="minorEastAsia"/>
          <w:szCs w:val="21"/>
        </w:rPr>
        <w:t>城市地质信息共享平台</w:t>
      </w:r>
      <w:r>
        <w:rPr>
          <w:rFonts w:hint="eastAsia" w:asciiTheme="minorEastAsia" w:hAnsiTheme="minorEastAsia" w:eastAsiaTheme="minorEastAsia"/>
          <w:szCs w:val="21"/>
        </w:rPr>
        <w:t>，完善平台监测与预警模块功能，支撑“穗智管”城市运行管理中枢规划和自然资源主题地质灾害监测预警板块，在监测时效内确保灾害影响内人民群众生命财产安全；</w:t>
      </w:r>
    </w:p>
    <w:p>
      <w:pPr>
        <w:keepNext/>
        <w:keepLines/>
        <w:spacing w:before="260" w:after="260" w:line="416" w:lineRule="auto"/>
        <w:outlineLvl w:val="1"/>
        <w:rPr>
          <w:rFonts w:asciiTheme="minorEastAsia" w:hAnsiTheme="minorEastAsia" w:eastAsiaTheme="minorEastAsia"/>
          <w:b/>
          <w:bCs/>
          <w:szCs w:val="21"/>
          <w:lang w:val="zh-CN"/>
        </w:rPr>
      </w:pPr>
      <w:bookmarkStart w:id="23" w:name="_Toc63094636"/>
      <w:r>
        <w:rPr>
          <w:rFonts w:hint="eastAsia" w:asciiTheme="minorEastAsia" w:hAnsiTheme="minorEastAsia" w:eastAsiaTheme="minorEastAsia"/>
          <w:b/>
          <w:bCs/>
          <w:szCs w:val="21"/>
          <w:lang w:val="zh-CN"/>
        </w:rPr>
        <w:t>三、采购清单及技术参数要求</w:t>
      </w:r>
      <w:bookmarkEnd w:id="23"/>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（一）说明</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、供应商必须详细描述投标货物所采用核心部件的品牌、技术参数等内容。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、凡在“采购清单及技术参数要求”中表述为“标配”或“标准配置”的设备，供应商应在投标文件中将其标配参数详细列明。</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、“采购清单及技术参数要求”的设备名称是习惯性名称，对供应商没有任何限制性，注册证上名称与之不符可以参与投标，以投标货物的技术规格为准。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供应商应注意投标的风险，认真阅读和理解招标文件，选择符合或优于招标文件要求的货物参与投标。如所供货物存在技术偏离，供应商应如实填写技术规格偏离表，若评标时评标委员会掌握了确切事实说明某供应商或制造厂家没有如实填写技术规格偏离表或有欺诈行为，该投标文件将被拒绝。若用户验收时发现货物中存在指标低偏离，将拒绝支付合同货款，并追究相应的法律责任。</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、供应商必须在投标文件中详细说明所投产品及主要部件的生产厂家、品牌、型号。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采购人在签订合同前及验收时，将对中标供应商的所有产品技术参数响应情况、产品来源渠道合法性等进行核实，中标供应商须提供有效的证明材料并经采购人认可。如有虚假或不能提供，将取消其中标资格，投标保证金及招标代理服务费将不予退还，同时该供应商相关违法行为将报送到财政监督管理部门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、所有产品禁止使用贴牌生产产品，自产产品须提交相关生产能力证明材料，代工产品须提交代工协议、相关产品知识产权证明材料或产品设计方案及相关文件。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8</w:t>
      </w:r>
      <w:r>
        <w:rPr>
          <w:rFonts w:hint="eastAsia" w:asciiTheme="minorEastAsia" w:hAnsiTheme="minorEastAsia" w:eastAsiaTheme="minorEastAsia"/>
          <w:szCs w:val="21"/>
        </w:rPr>
        <w:t>、供应商须书面承诺，中标后，在签订合同以前，须提交采购清单中1</w:t>
      </w:r>
      <w:r>
        <w:rPr>
          <w:rFonts w:asciiTheme="minorEastAsia" w:hAnsiTheme="minorEastAsia" w:eastAsiaTheme="minorEastAsia"/>
          <w:szCs w:val="21"/>
        </w:rPr>
        <w:t>-12</w:t>
      </w:r>
      <w:r>
        <w:rPr>
          <w:rFonts w:hint="eastAsia" w:asciiTheme="minorEastAsia" w:hAnsiTheme="minorEastAsia" w:eastAsiaTheme="minorEastAsia"/>
          <w:szCs w:val="21"/>
        </w:rPr>
        <w:t>号产品样品一台</w:t>
      </w:r>
      <w:r>
        <w:rPr>
          <w:rFonts w:asciiTheme="minorEastAsia" w:hAnsiTheme="minorEastAsia" w:eastAsiaTheme="minorEastAsia"/>
          <w:szCs w:val="21"/>
        </w:rPr>
        <w:t>/</w:t>
      </w:r>
      <w:r>
        <w:rPr>
          <w:rFonts w:hint="eastAsia" w:asciiTheme="minorEastAsia" w:hAnsiTheme="minorEastAsia" w:eastAsiaTheme="minorEastAsia"/>
          <w:szCs w:val="21"/>
        </w:rPr>
        <w:t>套，送采购人处封存，作为验收依据。</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9</w:t>
      </w:r>
      <w:r>
        <w:rPr>
          <w:rFonts w:hint="eastAsia" w:asciiTheme="minorEastAsia" w:hAnsiTheme="minorEastAsia" w:eastAsiaTheme="minorEastAsia"/>
          <w:szCs w:val="21"/>
        </w:rPr>
        <w:t>、供应商须书面承诺，中标后，在三年质保期内，数据解算、存储、传输等所需资源，数据存储期三年（视频1</w:t>
      </w:r>
      <w:r>
        <w:rPr>
          <w:rFonts w:asciiTheme="minorEastAsia" w:hAnsiTheme="minorEastAsia" w:eastAsiaTheme="minorEastAsia"/>
          <w:szCs w:val="21"/>
        </w:rPr>
        <w:t>5</w:t>
      </w:r>
      <w:r>
        <w:rPr>
          <w:rFonts w:hint="eastAsia" w:asciiTheme="minorEastAsia" w:hAnsiTheme="minorEastAsia" w:eastAsiaTheme="minorEastAsia"/>
          <w:szCs w:val="21"/>
        </w:rPr>
        <w:t>天），及所产生费用均由供应商承担。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10</w:t>
      </w:r>
      <w:r>
        <w:rPr>
          <w:rFonts w:hint="eastAsia" w:asciiTheme="minorEastAsia" w:hAnsiTheme="minorEastAsia" w:eastAsiaTheme="minorEastAsia"/>
          <w:szCs w:val="21"/>
        </w:rPr>
        <w:t>、中标供应商安装设备前，须对项目实施地点进行踏勘，根据地质灾害隐患点特征编制监测设计方案，并通过采购方指定专家评审，期间所产生费用均由供应商承担。</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、每个地灾隐患点需提供正射和三维倾斜摄影服务。</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（二）采购清单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252"/>
        <w:gridCol w:w="851"/>
        <w:gridCol w:w="85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序号</w:t>
            </w:r>
          </w:p>
        </w:tc>
        <w:tc>
          <w:tcPr>
            <w:tcW w:w="4252"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设备名称</w:t>
            </w:r>
          </w:p>
        </w:tc>
        <w:tc>
          <w:tcPr>
            <w:tcW w:w="851"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数量</w:t>
            </w:r>
          </w:p>
        </w:tc>
        <w:tc>
          <w:tcPr>
            <w:tcW w:w="850"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单位</w:t>
            </w:r>
          </w:p>
        </w:tc>
        <w:tc>
          <w:tcPr>
            <w:tcW w:w="1497"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4252"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地质灾害视频监控系统</w:t>
            </w:r>
          </w:p>
        </w:tc>
        <w:tc>
          <w:tcPr>
            <w:tcW w:w="851"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88</w:t>
            </w:r>
          </w:p>
        </w:tc>
        <w:tc>
          <w:tcPr>
            <w:tcW w:w="850"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1497"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4252" w:type="dxa"/>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GNSS</w:t>
            </w:r>
            <w:r>
              <w:rPr>
                <w:rFonts w:hint="eastAsia" w:asciiTheme="minorEastAsia" w:hAnsiTheme="minorEastAsia" w:eastAsiaTheme="minorEastAsia"/>
                <w:kern w:val="0"/>
                <w:szCs w:val="21"/>
              </w:rPr>
              <w:t>表面位移监测站</w:t>
            </w:r>
            <w:r>
              <w:rPr>
                <w:rFonts w:asciiTheme="minorEastAsia" w:hAnsiTheme="minorEastAsia" w:eastAsiaTheme="minorEastAsia"/>
                <w:kern w:val="0"/>
                <w:szCs w:val="21"/>
              </w:rPr>
              <w:t>/</w:t>
            </w:r>
            <w:r>
              <w:rPr>
                <w:rFonts w:hint="eastAsia" w:asciiTheme="minorEastAsia" w:hAnsiTheme="minorEastAsia" w:eastAsiaTheme="minorEastAsia"/>
                <w:kern w:val="0"/>
                <w:szCs w:val="21"/>
              </w:rPr>
              <w:t>基准站</w:t>
            </w:r>
          </w:p>
        </w:tc>
        <w:tc>
          <w:tcPr>
            <w:tcW w:w="851"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124</w:t>
            </w:r>
          </w:p>
        </w:tc>
        <w:tc>
          <w:tcPr>
            <w:tcW w:w="850"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1497"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4252"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深部位移监测站</w:t>
            </w:r>
          </w:p>
        </w:tc>
        <w:tc>
          <w:tcPr>
            <w:tcW w:w="851"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42</w:t>
            </w:r>
          </w:p>
        </w:tc>
        <w:tc>
          <w:tcPr>
            <w:tcW w:w="850"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1497" w:type="dxa"/>
            <w:vAlign w:val="center"/>
          </w:tcPr>
          <w:p>
            <w:pPr>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4252"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雨量监测站</w:t>
            </w:r>
          </w:p>
        </w:tc>
        <w:tc>
          <w:tcPr>
            <w:tcW w:w="851"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133</w:t>
            </w:r>
          </w:p>
        </w:tc>
        <w:tc>
          <w:tcPr>
            <w:tcW w:w="850"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1497" w:type="dxa"/>
            <w:vAlign w:val="center"/>
          </w:tcPr>
          <w:p>
            <w:pPr>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4252"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土壤含水率监测站</w:t>
            </w:r>
          </w:p>
        </w:tc>
        <w:tc>
          <w:tcPr>
            <w:tcW w:w="851"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135</w:t>
            </w:r>
          </w:p>
        </w:tc>
        <w:tc>
          <w:tcPr>
            <w:tcW w:w="850"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1497" w:type="dxa"/>
            <w:vAlign w:val="center"/>
          </w:tcPr>
          <w:p>
            <w:pPr>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4252"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裂缝监测站</w:t>
            </w:r>
          </w:p>
        </w:tc>
        <w:tc>
          <w:tcPr>
            <w:tcW w:w="851"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10</w:t>
            </w:r>
          </w:p>
        </w:tc>
        <w:tc>
          <w:tcPr>
            <w:tcW w:w="850"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1497" w:type="dxa"/>
            <w:vAlign w:val="center"/>
          </w:tcPr>
          <w:p>
            <w:pPr>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7</w:t>
            </w:r>
          </w:p>
        </w:tc>
        <w:tc>
          <w:tcPr>
            <w:tcW w:w="4252"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倾角监测站</w:t>
            </w:r>
          </w:p>
        </w:tc>
        <w:tc>
          <w:tcPr>
            <w:tcW w:w="851"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245</w:t>
            </w:r>
          </w:p>
        </w:tc>
        <w:tc>
          <w:tcPr>
            <w:tcW w:w="850"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1497" w:type="dxa"/>
            <w:vAlign w:val="center"/>
          </w:tcPr>
          <w:p>
            <w:pPr>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8</w:t>
            </w:r>
          </w:p>
        </w:tc>
        <w:tc>
          <w:tcPr>
            <w:tcW w:w="4252"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加速度监测站</w:t>
            </w:r>
          </w:p>
        </w:tc>
        <w:tc>
          <w:tcPr>
            <w:tcW w:w="851"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201</w:t>
            </w:r>
          </w:p>
        </w:tc>
        <w:tc>
          <w:tcPr>
            <w:tcW w:w="850"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1497" w:type="dxa"/>
            <w:vAlign w:val="center"/>
          </w:tcPr>
          <w:p>
            <w:pPr>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9</w:t>
            </w:r>
          </w:p>
        </w:tc>
        <w:tc>
          <w:tcPr>
            <w:tcW w:w="4252"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泥水位监测站</w:t>
            </w:r>
          </w:p>
        </w:tc>
        <w:tc>
          <w:tcPr>
            <w:tcW w:w="851"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850"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1497" w:type="dxa"/>
            <w:vAlign w:val="center"/>
          </w:tcPr>
          <w:p>
            <w:pPr>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10</w:t>
            </w:r>
          </w:p>
        </w:tc>
        <w:tc>
          <w:tcPr>
            <w:tcW w:w="4252"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静力水准监测站</w:t>
            </w:r>
          </w:p>
        </w:tc>
        <w:tc>
          <w:tcPr>
            <w:tcW w:w="851"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104</w:t>
            </w:r>
          </w:p>
        </w:tc>
        <w:tc>
          <w:tcPr>
            <w:tcW w:w="850"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1497" w:type="dxa"/>
            <w:vAlign w:val="center"/>
          </w:tcPr>
          <w:p>
            <w:pPr>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11</w:t>
            </w:r>
          </w:p>
        </w:tc>
        <w:tc>
          <w:tcPr>
            <w:tcW w:w="4252"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声光报警器</w:t>
            </w:r>
          </w:p>
        </w:tc>
        <w:tc>
          <w:tcPr>
            <w:tcW w:w="851"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145</w:t>
            </w:r>
          </w:p>
        </w:tc>
        <w:tc>
          <w:tcPr>
            <w:tcW w:w="850"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1497" w:type="dxa"/>
            <w:vAlign w:val="center"/>
          </w:tcPr>
          <w:p>
            <w:pPr>
              <w:spacing w:line="360" w:lineRule="auto"/>
              <w:jc w:val="cente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12</w:t>
            </w:r>
          </w:p>
        </w:tc>
        <w:tc>
          <w:tcPr>
            <w:tcW w:w="4252"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地下水监测站</w:t>
            </w:r>
          </w:p>
        </w:tc>
        <w:tc>
          <w:tcPr>
            <w:tcW w:w="851"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850" w:type="dxa"/>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1497" w:type="dxa"/>
            <w:vAlign w:val="center"/>
          </w:tcPr>
          <w:p>
            <w:pPr>
              <w:spacing w:line="360" w:lineRule="auto"/>
              <w:jc w:val="center"/>
              <w:rPr>
                <w:rFonts w:asciiTheme="minorEastAsia" w:hAnsiTheme="minorEastAsia" w:eastAsiaTheme="minorEastAsia"/>
                <w:kern w:val="0"/>
                <w:szCs w:val="21"/>
              </w:rPr>
            </w:pPr>
          </w:p>
        </w:tc>
      </w:tr>
    </w:tbl>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（三）技术参数要求</w:t>
      </w:r>
    </w:p>
    <w:p>
      <w:pPr>
        <w:spacing w:line="360" w:lineRule="auto"/>
        <w:ind w:firstLine="420" w:firstLineChars="200"/>
        <w:rPr>
          <w:rFonts w:asciiTheme="minorEastAsia" w:hAnsiTheme="minorEastAsia" w:eastAsiaTheme="minorEastAsia"/>
          <w:b/>
          <w:bCs/>
          <w:szCs w:val="21"/>
        </w:rPr>
      </w:pPr>
      <w:r>
        <w:rPr>
          <w:rFonts w:hint="eastAsia" w:asciiTheme="minorEastAsia" w:hAnsiTheme="minorEastAsia" w:eastAsiaTheme="minorEastAsia"/>
          <w:szCs w:val="21"/>
        </w:rPr>
        <w:t>★</w:t>
      </w:r>
      <w:r>
        <w:rPr>
          <w:rFonts w:hint="eastAsia" w:asciiTheme="minorEastAsia" w:hAnsiTheme="minorEastAsia" w:eastAsiaTheme="minorEastAsia"/>
          <w:b/>
          <w:bCs/>
          <w:szCs w:val="21"/>
        </w:rPr>
        <w:t>1、仪器设备安装要求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设计方案的要求，在指定安装点位处进行安装调试，所提供的监测预警设备满足招标文件及设计要求，符合《地质灾害专群结合监测预警技术指南》及相关规范要求。监测数据接入采购方指定的监测预警平台或数据共享平台，供应商应免费协助采购方开发平台相关模块，安装的监测预警设备运行稳定、可靠，数据采集传输安全、有效。</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2、监测预警仪器设备安装、调试及防护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对监测预警仪器设备及安装材料进行制造、生产、采购和运输，按照设计文件要求对监测预警仪器进行安装调试及防护。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1）仪器安装所需的工具及辅料由中标供应商自行解决，所有机柜(箱)及防护栏须配备统一钥匙，方便后期维护管理。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GNSS立杆用镀锌钢管制作，镀锌钢管底部用L型固定架做好支撑，镀锌钢管高度需≥2.8m，管径不小于140mm，管壁厚度不小于3mm（若现场不具备安置2.8m高杆的安装条件，需提交相关说明文件，经建设单位确认后再进行方案更改）；裂缝计配套视频巡查监控器与裂缝监测设备共用立杆，横杆悬臂与立杆角度为90°，长度≥1.2m，供电系统分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所有野外设备中标供应商做好设备防雷措施。网关设备需要立杆安装，立杆用镀锌钢管制作，镀锌钢管底部用L型固定架做好支撑，镀锌钢管高度需≥2.8m，管径不小于110mm，管壁厚度不小于2mm（若现场不具备安置2.8m高杆的安装条件，需提交相关说明文件，经建设单位确认后再进行方案更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所有需要立杆的监测预警设备需采用方钢围栏防护1.5m×1.5m×1.8m（高度），每处防护栅栏都需开一道小门以便后续维护进出方便，小门尺寸≥0.6m宽、1.6m高。安装完成后防护栅栏需根据实际情况补充防锈防腐等工作，所有防护栏颜色统一为白色喷塑。围栏必须使用304不锈钢材质合页、螺丝、螺母，护栏锁具位置需设置防雨罩；（高陡边坡、居民房屋顶部等围栏施工困难的，可不安装围栏，需提交相关说明文件，经建设单位确认后再进行方案更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5）所有仪器设备及方钢栅栏的基础采用混凝土浇注，混凝土强度≥C15；</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6）仪器设备及防护工程应能适应户外条件，抗腐蚀、防锈能力强，温度、冻融、雨水、扬尘、大风等不影响设备系统正常工作；</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7）所有设备主机箱为304不锈钢机箱，所使用螺丝、螺帽、抱箍需采用304不锈钢，防护等级水平达到IP66。禁止使用扎带式抱箍。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GNSS基站浇筑基础尺寸≥800mm×800mm×800mm（深度）；GNSS观测站浇筑基础尺寸≥600mm×600mm×800mm（深度）；设备基础立杆的浇筑基础尺寸≥500mm×500mm×600mm（深度）（若基础尺寸及埋深需调整，需提交相关说明文件，由建设单位确认后再进行方案更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9）立杆的浇筑基础所埋设钢筋地笼深度GNSS≥700mm、其他设备≥500mm（依据实际情况及设计要求确定），主筋直径不小于16mm，箍筋≥2道，直径12mm，地面露出部分采用镀锌防锈工艺；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立杆设备均需定制观测墩，观测墩规格：底座为100×100cm素混凝土砂浆，厚5-8厘米，与地面平齐；底座上设40×40×40cm标志台，混凝土砂浆贴黑色岩石板材，正立面（正南面）岩石板材上刻“广州市地质调查院（广州市地质环境监测中心）”，右侧里面刻“地质灾害隐患专业监测点”及监测点编号、联系电话，左侧立面刻“广州市规划和自然资源局”，要求黑体字，金色（由于监测点施工条件困难的，可不定制观测墩，需提交相关说明文件，经建设单位确认后可进行更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11）所有线路必须通过立杆穿线，外漏部分需使用不锈钢波纹管保护，并使用树脂密封。所有裸露的线路须做好防护；</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12）所有线缆的接线处必须使用接线端子及线鼻子；</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13）所有深部设备（如深部位移、地下水监测等）的钻孔费用由中标供应商承担，中标供应商应按照要求地质编录规范做好钻孔施工记录等相关资料，并在验收时提交相关钻孔成果。</w:t>
      </w:r>
    </w:p>
    <w:p>
      <w:pPr>
        <w:spacing w:line="360" w:lineRule="auto"/>
        <w:ind w:firstLine="420" w:firstLineChars="200"/>
        <w:rPr>
          <w:rFonts w:asciiTheme="minorEastAsia" w:hAnsiTheme="minorEastAsia" w:eastAsiaTheme="minorEastAsia"/>
          <w:b/>
          <w:bCs/>
          <w:szCs w:val="21"/>
        </w:rPr>
      </w:pPr>
      <w:r>
        <w:rPr>
          <w:rFonts w:hint="eastAsia" w:asciiTheme="minorEastAsia" w:hAnsiTheme="minorEastAsia" w:eastAsiaTheme="minorEastAsia"/>
          <w:szCs w:val="21"/>
        </w:rPr>
        <w:t>★</w:t>
      </w:r>
      <w:r>
        <w:rPr>
          <w:rFonts w:hint="eastAsia" w:asciiTheme="minorEastAsia" w:hAnsiTheme="minorEastAsia" w:eastAsiaTheme="minorEastAsia"/>
          <w:b/>
          <w:bCs/>
          <w:szCs w:val="21"/>
        </w:rPr>
        <w:t>3、监测预警设备通讯要求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1）地质灾害监测预警数据采集的内容、格式、传输协议及数据结构等必须符合年度工作设计及《地质灾害专群结合监测预警技术指南（试行）》《地质灾害监测预警通讯技术要求》（TC93/SC2）要求。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2）供应商须</w:t>
      </w:r>
      <w:r>
        <w:rPr>
          <w:rFonts w:hint="eastAsia" w:cs="宋体" w:asciiTheme="minorEastAsia" w:hAnsiTheme="minorEastAsia" w:eastAsiaTheme="minorEastAsia"/>
          <w:kern w:val="0"/>
          <w:szCs w:val="21"/>
        </w:rPr>
        <w:t>协助采购方搭建平台设备管理、数据采集分析、监测预警等功能模块，保证监测数据按要求接入采购方指定平台，为实现设备管理、数据采集分析、监测预警等功能所需的软件、程序、代码、参数等相关资料需永久免费提供给采购方使用</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3）配合采购方实现各监测设备与采购方指定平台无缝连接，与省级及以上平台共享数据，支撑“穗智管”城市运行管理中枢规划和自然资源主题地质灾害监测预警板块，保证监测数据安全、及时、有效。</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）监测数据必须直接接入采购方指定平台，未经采购方同意，不得接入其他平台。</w:t>
      </w:r>
    </w:p>
    <w:p>
      <w:pPr>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w:t>
      </w:r>
      <w:r>
        <w:rPr>
          <w:rFonts w:asciiTheme="minorEastAsia" w:hAnsiTheme="minorEastAsia" w:eastAsiaTheme="minorEastAsia"/>
        </w:rPr>
        <w:t>若采购方指定平台租赁的云服务器不能满足本项目专业监测相关功能的需要，供应商需承诺质保期内免费提供满足本项目专业监测相关功能的云服务器给采购方使用</w:t>
      </w:r>
      <w:r>
        <w:rPr>
          <w:rFonts w:hint="eastAsia" w:asciiTheme="minorEastAsia" w:hAnsiTheme="minorEastAsia" w:eastAsiaTheme="minorEastAsia"/>
        </w:rPr>
        <w:t>。</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4、货物需求一览表及技术参数（规格）要求</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23"/>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序号</w:t>
            </w:r>
          </w:p>
        </w:tc>
        <w:tc>
          <w:tcPr>
            <w:tcW w:w="1123"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设备类型</w:t>
            </w:r>
          </w:p>
        </w:tc>
        <w:tc>
          <w:tcPr>
            <w:tcW w:w="6469"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1</w:t>
            </w:r>
          </w:p>
        </w:tc>
        <w:tc>
          <w:tcPr>
            <w:tcW w:w="1123"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地质灾害视频监控系统</w:t>
            </w:r>
          </w:p>
        </w:tc>
        <w:tc>
          <w:tcPr>
            <w:tcW w:w="6469"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▲1、应含摄像机、云台设备、太阳能供电设备、4G物联网卡、本地储存卡、观测墩、立杆、支架、防雷装置、保护箱等构件；</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▲2、摄像机：视频输出支持1920×1080@25fps；支持4G（全网通）通讯，兼容3G；具备夜视功能，夜晚照射距离100m以上，白天照射距离200m以上；支持128G≥内存扩展。</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3、云台设备：支持水平方向360°旋转，垂直方向90°以上旋转。球机应支持≥256个预置位，≥6条巡航扫描。</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▲4、供电及续航：使用太阳能充电，太阳能板功率≥200W，蓄电池容量≥200AH。一般光照强度下20小时内充电量大于200AH。无阳光条件下，设备续航时间应达到15天以上。</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5、报警功能：设备故障报警、人员进入危险区报警。</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6、数据储存：摄像头24小时开启，平时数据储存在本地内存卡，保存</w:t>
            </w:r>
            <w:r>
              <w:rPr>
                <w:rFonts w:asciiTheme="minorEastAsia" w:hAnsiTheme="minorEastAsia" w:eastAsiaTheme="minorEastAsia"/>
                <w:kern w:val="0"/>
                <w:szCs w:val="21"/>
              </w:rPr>
              <w:t>15</w:t>
            </w:r>
            <w:r>
              <w:rPr>
                <w:rFonts w:hint="eastAsia" w:asciiTheme="minorEastAsia" w:hAnsiTheme="minorEastAsia" w:eastAsiaTheme="minorEastAsia"/>
                <w:kern w:val="0"/>
                <w:szCs w:val="21"/>
              </w:rPr>
              <w:t>天，过期自动替换；存储设备应兼容《公共安全视频监控联网系统信息传输、交换、控制技术要求》（GB/T28181-2016）国家标准。</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7、物联网卡：包含3</w:t>
            </w:r>
            <w:r>
              <w:rPr>
                <w:rFonts w:asciiTheme="minorEastAsia" w:hAnsiTheme="minorEastAsia" w:eastAsiaTheme="minorEastAsia"/>
                <w:kern w:val="0"/>
                <w:szCs w:val="21"/>
              </w:rPr>
              <w:t>6</w:t>
            </w:r>
            <w:r>
              <w:rPr>
                <w:rFonts w:hint="eastAsia" w:asciiTheme="minorEastAsia" w:hAnsiTheme="minorEastAsia" w:eastAsiaTheme="minorEastAsia"/>
                <w:kern w:val="0"/>
                <w:szCs w:val="21"/>
              </w:rPr>
              <w:t>个月流量，每月流量≥200G，可维持实时监控状态8天以上。</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8、安防要求：所用设备应符合《安全防范工程技术规范》（GB50348-2018）的相关规定。</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9、施工要求：前端设备以野外立杆安装为主，立杆应高度＞3.8m（可根据实际情况调整），选用材料和施工质量应确保可在野外恶劣条件下安全运行，。</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10、支持操控云台旋转、摄像头变焦等；</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11、支持平台、PC客户端、手机端预览、回放、消息查看等；</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12、支持手动抓图、定时抓图、报警抓图；</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13、支持多用户登录、多级组织管理、多级权限配置，开通账户≥5</w:t>
            </w:r>
            <w:r>
              <w:rPr>
                <w:rFonts w:asciiTheme="minorEastAsia" w:hAnsiTheme="minorEastAsia" w:eastAsiaTheme="minorEastAsia"/>
                <w:kern w:val="0"/>
                <w:szCs w:val="21"/>
              </w:rPr>
              <w:t>0</w:t>
            </w:r>
            <w:r>
              <w:rPr>
                <w:rFonts w:hint="eastAsia" w:asciiTheme="minorEastAsia" w:hAnsiTheme="minorEastAsia" w:eastAsiaTheme="minorEastAsia"/>
                <w:kern w:val="0"/>
                <w:szCs w:val="21"/>
              </w:rPr>
              <w:t>个；</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▲14、包含前期现场踏勘、方案设计、施工安装、设备运输、3年质保、3年通讯费用以及税费等建设期及质保期内的一切费用；</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▲1</w:t>
            </w:r>
            <w:r>
              <w:rPr>
                <w:rFonts w:asciiTheme="minorEastAsia" w:hAnsiTheme="minorEastAsia" w:eastAsiaTheme="minorEastAsia"/>
                <w:kern w:val="0"/>
                <w:szCs w:val="21"/>
              </w:rPr>
              <w:t>5</w:t>
            </w:r>
            <w:r>
              <w:rPr>
                <w:rFonts w:hint="eastAsia" w:asciiTheme="minorEastAsia" w:hAnsiTheme="minorEastAsia" w:eastAsiaTheme="minorEastAsia"/>
                <w:kern w:val="0"/>
                <w:szCs w:val="21"/>
              </w:rPr>
              <w:t>、视频数据能直接接入采购方指定平台，不需要通过其他平台中转。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1123" w:type="dxa"/>
            <w:vAlign w:val="center"/>
          </w:tcPr>
          <w:p>
            <w:pPr>
              <w:rPr>
                <w:rFonts w:asciiTheme="minorEastAsia" w:hAnsiTheme="minorEastAsia" w:eastAsiaTheme="minorEastAsia"/>
                <w:kern w:val="0"/>
                <w:szCs w:val="21"/>
              </w:rPr>
            </w:pPr>
            <w:r>
              <w:rPr>
                <w:rFonts w:asciiTheme="minorEastAsia" w:hAnsiTheme="minorEastAsia" w:eastAsiaTheme="minorEastAsia"/>
                <w:kern w:val="0"/>
                <w:szCs w:val="21"/>
              </w:rPr>
              <w:t>GNSS</w:t>
            </w:r>
            <w:r>
              <w:rPr>
                <w:rFonts w:hint="eastAsia" w:asciiTheme="minorEastAsia" w:hAnsiTheme="minorEastAsia" w:eastAsiaTheme="minorEastAsia"/>
                <w:kern w:val="0"/>
                <w:szCs w:val="21"/>
              </w:rPr>
              <w:t>表面位移监测站</w:t>
            </w:r>
            <w:r>
              <w:rPr>
                <w:rFonts w:asciiTheme="minorEastAsia" w:hAnsiTheme="minorEastAsia" w:eastAsiaTheme="minorEastAsia"/>
                <w:kern w:val="0"/>
                <w:szCs w:val="21"/>
              </w:rPr>
              <w:t>/</w:t>
            </w:r>
            <w:r>
              <w:rPr>
                <w:rFonts w:hint="eastAsia" w:asciiTheme="minorEastAsia" w:hAnsiTheme="minorEastAsia" w:eastAsiaTheme="minorEastAsia"/>
                <w:kern w:val="0"/>
                <w:szCs w:val="21"/>
              </w:rPr>
              <w:t>基准站</w:t>
            </w:r>
          </w:p>
        </w:tc>
        <w:tc>
          <w:tcPr>
            <w:tcW w:w="6469"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▲1、跟踪信号：包括但不限于BDS：B1、B2，GPS：L1、L2，GLONASS：L1、L2； </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▲2、定位精度：</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静态测量精度：平面≥：±2.5mm+0.5ppm，高程≥：±5.0mm+0.5ppm；动态测量精度：平面≥：±</w:t>
            </w:r>
            <w:r>
              <w:rPr>
                <w:rFonts w:asciiTheme="minorEastAsia" w:hAnsiTheme="minorEastAsia" w:eastAsiaTheme="minorEastAsia"/>
                <w:kern w:val="0"/>
                <w:szCs w:val="21"/>
              </w:rPr>
              <w:t>8</w:t>
            </w:r>
            <w:r>
              <w:rPr>
                <w:rFonts w:hint="eastAsia" w:asciiTheme="minorEastAsia" w:hAnsiTheme="minorEastAsia" w:eastAsiaTheme="minorEastAsia"/>
                <w:kern w:val="0"/>
                <w:szCs w:val="21"/>
              </w:rPr>
              <w:t>mm+</w:t>
            </w:r>
            <w:r>
              <w:rPr>
                <w:rFonts w:asciiTheme="minorEastAsia" w:hAnsiTheme="minorEastAsia" w:eastAsiaTheme="minorEastAsia"/>
                <w:kern w:val="0"/>
                <w:szCs w:val="21"/>
              </w:rPr>
              <w:t>1</w:t>
            </w:r>
            <w:r>
              <w:rPr>
                <w:rFonts w:hint="eastAsia" w:asciiTheme="minorEastAsia" w:hAnsiTheme="minorEastAsia" w:eastAsiaTheme="minorEastAsia"/>
                <w:kern w:val="0"/>
                <w:szCs w:val="21"/>
              </w:rPr>
              <w:t>ppm，高程≥：±</w:t>
            </w:r>
            <w:r>
              <w:rPr>
                <w:rFonts w:asciiTheme="minorEastAsia" w:hAnsiTheme="minorEastAsia" w:eastAsiaTheme="minorEastAsia"/>
                <w:kern w:val="0"/>
                <w:szCs w:val="21"/>
              </w:rPr>
              <w:t>10</w:t>
            </w:r>
            <w:r>
              <w:rPr>
                <w:rFonts w:hint="eastAsia" w:asciiTheme="minorEastAsia" w:hAnsiTheme="minorEastAsia" w:eastAsiaTheme="minorEastAsia"/>
                <w:kern w:val="0"/>
                <w:szCs w:val="21"/>
              </w:rPr>
              <w:t>mm+</w:t>
            </w:r>
            <w:r>
              <w:rPr>
                <w:rFonts w:asciiTheme="minorEastAsia" w:hAnsiTheme="minorEastAsia" w:eastAsiaTheme="minorEastAsia"/>
                <w:kern w:val="0"/>
                <w:szCs w:val="21"/>
              </w:rPr>
              <w:t>1</w:t>
            </w:r>
            <w:r>
              <w:rPr>
                <w:rFonts w:hint="eastAsia" w:asciiTheme="minorEastAsia" w:hAnsiTheme="minorEastAsia" w:eastAsiaTheme="minorEastAsia"/>
                <w:kern w:val="0"/>
                <w:szCs w:val="21"/>
              </w:rPr>
              <w:t>ppm（必须提供国家监测单位出具的计量器具型式批准证书或评价报告复印件）；</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▲3、通讯：</w:t>
            </w:r>
            <w:r>
              <w:rPr>
                <w:rFonts w:asciiTheme="minorEastAsia" w:hAnsiTheme="minorEastAsia" w:eastAsiaTheme="minorEastAsia"/>
                <w:kern w:val="0"/>
                <w:szCs w:val="21"/>
              </w:rPr>
              <w:t>NB-IoT/LoRa/</w:t>
            </w:r>
            <w:r>
              <w:rPr>
                <w:rFonts w:hint="eastAsia" w:asciiTheme="minorEastAsia" w:hAnsiTheme="minorEastAsia" w:eastAsiaTheme="minorEastAsia"/>
                <w:kern w:val="0"/>
                <w:szCs w:val="21"/>
              </w:rPr>
              <w:t>α</w:t>
            </w:r>
            <w:r>
              <w:rPr>
                <w:rFonts w:asciiTheme="minorEastAsia" w:hAnsiTheme="minorEastAsia" w:eastAsiaTheme="minorEastAsia"/>
                <w:kern w:val="0"/>
                <w:szCs w:val="21"/>
              </w:rPr>
              <w:t>/4/5G</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 xml:space="preserve">▲4、功耗：在采样间隔≥15s且上传间隔≥15s情况下，接收机平均功耗≤2W；（必须提供国家认可的第三方检测机构出具的检测报告复印件）； </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▲5、防护等级：≥IP68。（须提供国家认可的第三方检测机构出具的检测报告复印件）；</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6、数据格式：支持RTCM32原始数据及实时动态结果数据上传；</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7、供电：太阳能蓄电池供电。需配齐太阳能电池板、太阳能蓄电池、太阳能控制器、地埋箱等整套供电设备，单晶硅太阳能板，功率≥100W，免维护蓄电池容量≥100Ah，电压12V，满足连续30个阴雨日正常工作；</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 xml:space="preserve">8、解算软件：必须提供配套的数据解算软件，供采购方永久使用； </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▲9、连续不间断运行时间（MTBF）≥32000小时。（须提供国家认可的第三方检测机构出具的检测报告复印件）；</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▲10、包含前期现场踏勘、方案设计、施工安装、设备运输、3年质保、3年通讯费用以及税费等建设期及质保期内的一切费用。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23"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深部位移监测站</w:t>
            </w:r>
          </w:p>
        </w:tc>
        <w:tc>
          <w:tcPr>
            <w:tcW w:w="6469"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1、测量维数：X,Y双轴；</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▲2、测量量程：±30°，监测深度＞20m；（必须提供国家认可的第三方检测机构出具的检测报告复印件）</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▲3、分辨率：≤0.01°；</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4、综合精度：±0.05%F.S；</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5、采样间隔：0s～24h；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6、上传间隔：0s～72h；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7、输出信号：支持2G/4G无线通讯，多模支持国内三大运营商，可自动上传监测数据；</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8、防护等级：≥IP68；</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▲9、每套至少包含</w:t>
            </w:r>
            <w:r>
              <w:rPr>
                <w:rFonts w:asciiTheme="minorEastAsia" w:hAnsiTheme="minorEastAsia" w:eastAsiaTheme="minorEastAsia"/>
                <w:kern w:val="0"/>
                <w:szCs w:val="21"/>
              </w:rPr>
              <w:t>5</w:t>
            </w:r>
            <w:r>
              <w:rPr>
                <w:rFonts w:hint="eastAsia" w:asciiTheme="minorEastAsia" w:hAnsiTheme="minorEastAsia" w:eastAsiaTheme="minorEastAsia"/>
                <w:kern w:val="0"/>
                <w:szCs w:val="21"/>
              </w:rPr>
              <w:t>个测点，含转孔及编录费用；</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10</w:t>
            </w:r>
            <w:r>
              <w:rPr>
                <w:rFonts w:hint="eastAsia" w:asciiTheme="minorEastAsia" w:hAnsiTheme="minorEastAsia" w:eastAsiaTheme="minorEastAsia"/>
                <w:kern w:val="0"/>
                <w:szCs w:val="21"/>
              </w:rPr>
              <w:t>、包含前期现场踏勘、方案设计、施工安装、设备运输、3年质保、3年通讯费用以及税费等建设期及质保期内的一切费用。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23"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雨量监测站</w:t>
            </w:r>
          </w:p>
        </w:tc>
        <w:tc>
          <w:tcPr>
            <w:tcW w:w="6469"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▲1、测量范围：0～8mm/min（毫米/分）；（具有省部级科研机构或国家重点实验室出具的实验测试报告）</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▲2、测量精度：±4%；（具有省部级科研机构或国家重点实验室出具的实验测试报告）</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▲3、分辨率：≥0.2mm；</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4、设备类型：压电式；</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5、采样间隔：0s～24h；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6、上传间隔：0s～72h；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7、输出信号：支持2G/4G无线通讯，多模支持国内三大运营商，可自动上传监测数据；可定制NB窄带物联网、LoRa或有线传输方式；</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8、防护等级：≥IP65；</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9、降雨量校准：雨量计需具备自动水平校准，自动实时水平校正，用于修正安装水平误差及风摆误差；</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10、供电方式：按需供电方式，满足连续30个阴雨日正常工作，雨量计需要将通讯、电源及外部供电密封在一个管体内，自带一体化的外部太阳能供电系统；</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▲11、包含前期现场踏勘、方案设计、施工安装、设备运输、3年质保、3年通讯费用以及税费等建设期及质保期内的一切费用。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23"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土壤含水率监测站</w:t>
            </w:r>
          </w:p>
        </w:tc>
        <w:tc>
          <w:tcPr>
            <w:tcW w:w="6469"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▲1、测量范围：干土～饱和土</w:t>
            </w:r>
            <w:r>
              <w:rPr>
                <w:rFonts w:hint="eastAsia" w:cs="宋体" w:asciiTheme="minorEastAsia" w:hAnsiTheme="minorEastAsia" w:eastAsiaTheme="minorEastAsia"/>
                <w:bCs/>
                <w:kern w:val="0"/>
                <w:szCs w:val="21"/>
              </w:rPr>
              <w:t>，</w:t>
            </w:r>
            <w:r>
              <w:rPr>
                <w:rFonts w:hint="eastAsia" w:asciiTheme="minorEastAsia" w:hAnsiTheme="minorEastAsia" w:eastAsiaTheme="minorEastAsia"/>
                <w:kern w:val="0"/>
                <w:szCs w:val="21"/>
              </w:rPr>
              <w:t>测量深度不小于0.8米；</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▲2、测量精度：±4%；</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3、采样间隔：0s～24h；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4、上传间隔：0s～72h；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▲5、支持2G/4G无线通讯，多模支持国内三大运营商，可自动上传监测数据；可定制NB窄带物联网、LoRa或有线传输方式；</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6、输出参数：输出同位分层土壤含水率及土壤温度、倾斜角参数；</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7、防护等级：≥IP68；</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8、在使用时含水率不需要标定校准，若需要标定的特殊土质，设备需要支持远程设置标定参数；</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9、供电方式：按需供电方式，满足连续30个阴雨日正常工作，含水率仪需要将电源密封在设备内部。</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▲10、包含前期现场踏勘、方案设计、施工安装、设备运输、3年质保、3年通讯费用以及税费等建设期及质保期内的一切费用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1123"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裂缝监测站</w:t>
            </w:r>
          </w:p>
        </w:tc>
        <w:tc>
          <w:tcPr>
            <w:tcW w:w="6469"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1、测量范围：0～500cm；</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▲2、测量精度：±0.1%F•S；（具有省（直辖市）级及以上技术监督部门颁发证书的第三方检测机构出具的质量检验检测报告，检测报告上具有CMA/CNAS的认证章）</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3、采样间隔：0s～24h；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4、上传间隔：0s～72h；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5、输出信号：RS485/NB-IOT/ LoRa/α/2/4/5G；</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▲6、输出参数：裂缝宽度、振动加速度、倾角等；</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7、防护等级：≥IP66；（具有省（直辖市）级及以上技术监督部门颁发证书的第三方检测机构出具的质量检验检测报告，检测报告上具有CMA/CNAS的认证章）</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8、触发功能：设备具备阈值触发功能，如监测数据超过阈值，可立即采集监测数据并自动上报；（具有省（直辖市）级及以上技术监督部门颁发证书的第三方检测机构出具的质量检验检测报告，检测报告上具有CMA/CNAS的认证章</w:t>
            </w:r>
            <w:r>
              <w:rPr>
                <w:rFonts w:hint="eastAsia" w:asciiTheme="minorEastAsia" w:hAnsiTheme="minorEastAsia" w:eastAsiaTheme="minorEastAsia"/>
                <w:kern w:val="0"/>
                <w:szCs w:val="21"/>
              </w:rPr>
              <w:br w:type="textWrapping"/>
            </w:r>
            <w:r>
              <w:rPr>
                <w:rFonts w:asciiTheme="minorEastAsia" w:hAnsiTheme="minorEastAsia" w:eastAsiaTheme="minorEastAsia"/>
                <w:kern w:val="0"/>
                <w:szCs w:val="21"/>
              </w:rPr>
              <w:t>9</w:t>
            </w:r>
            <w:r>
              <w:rPr>
                <w:rFonts w:hint="eastAsia" w:asciiTheme="minorEastAsia" w:hAnsiTheme="minorEastAsia" w:eastAsiaTheme="minorEastAsia"/>
                <w:kern w:val="0"/>
                <w:szCs w:val="21"/>
              </w:rPr>
              <w:t>、供电方式：按需供电方式，满足连续30个阴雨日正常工作。</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w:t>
            </w:r>
            <w:r>
              <w:rPr>
                <w:rFonts w:asciiTheme="minorEastAsia" w:hAnsiTheme="minorEastAsia" w:eastAsiaTheme="minorEastAsia"/>
                <w:kern w:val="0"/>
                <w:szCs w:val="21"/>
              </w:rPr>
              <w:t>10</w:t>
            </w:r>
            <w:r>
              <w:rPr>
                <w:rFonts w:hint="eastAsia" w:asciiTheme="minorEastAsia" w:hAnsiTheme="minorEastAsia" w:eastAsiaTheme="minorEastAsia"/>
                <w:kern w:val="0"/>
                <w:szCs w:val="21"/>
              </w:rPr>
              <w:t>、包含前期现场踏勘、方案设计、施工安装、设备运输、3年质保、3年通讯费用以及税费等建设期及质保期内的一切费用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7</w:t>
            </w:r>
          </w:p>
        </w:tc>
        <w:tc>
          <w:tcPr>
            <w:tcW w:w="1123"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倾角监测站</w:t>
            </w:r>
          </w:p>
        </w:tc>
        <w:tc>
          <w:tcPr>
            <w:tcW w:w="6469"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1、测量范围：±</w:t>
            </w:r>
            <w:r>
              <w:rPr>
                <w:rFonts w:asciiTheme="minorEastAsia" w:hAnsiTheme="minorEastAsia" w:eastAsiaTheme="minorEastAsia"/>
                <w:kern w:val="0"/>
                <w:szCs w:val="21"/>
              </w:rPr>
              <w:t>30</w:t>
            </w:r>
            <w:r>
              <w:rPr>
                <w:rFonts w:hint="eastAsia" w:asciiTheme="minorEastAsia" w:hAnsiTheme="minorEastAsia" w:eastAsiaTheme="minorEastAsia"/>
                <w:kern w:val="0"/>
                <w:szCs w:val="21"/>
              </w:rPr>
              <w:t>°；（具有省（直辖市）级及以上技术监督部门颁发证书的第三方检测机构出具的质量检验检测报告，检测报告上具有CMA/CNAS的认证章）</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2、测量精度：±0.1°；（具有省（直辖市）级及以上技术监督部门颁发证书的第三方检测机构出具的质量检验检测报告，检测报告上具有CMA/CNAS的认证章）</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3、采样间隔：0s～24h；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4、上传间隔：0s～72h；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5、输出信号：RS485/NB-IOT/ LoRa/α/2/4/5G；</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6、防护等级：≥IP6</w:t>
            </w:r>
            <w:r>
              <w:rPr>
                <w:rFonts w:asciiTheme="minorEastAsia" w:hAnsiTheme="minorEastAsia" w:eastAsiaTheme="minorEastAsia"/>
                <w:kern w:val="0"/>
                <w:szCs w:val="21"/>
              </w:rPr>
              <w:t>7</w:t>
            </w:r>
            <w:r>
              <w:rPr>
                <w:rFonts w:hint="eastAsia" w:asciiTheme="minorEastAsia" w:hAnsiTheme="minorEastAsia" w:eastAsiaTheme="minorEastAsia"/>
                <w:kern w:val="0"/>
                <w:szCs w:val="21"/>
              </w:rPr>
              <w:t>；（具有省（直辖市）级及以上技术监督部门颁发证书的第三方检测机构出具的质量检验检测报告，检测报告上具有CMA/CNAS的认证章）</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7、触发功能：设备具备阈值触发功能，如监测数据超过阈值，可立即采集监测数据并自动上报；（具有省（直辖市）级及以上技术监督部门颁发证书的第三方检测机构出具的质量检验检测报告，检测报告上具有CMA/CNAS的认证章</w:t>
            </w:r>
            <w:r>
              <w:rPr>
                <w:rFonts w:hint="eastAsia" w:asciiTheme="minorEastAsia" w:hAnsiTheme="minorEastAsia" w:eastAsiaTheme="minorEastAsia"/>
                <w:kern w:val="0"/>
                <w:szCs w:val="21"/>
              </w:rPr>
              <w:br w:type="textWrapping"/>
            </w:r>
            <w:r>
              <w:rPr>
                <w:rFonts w:asciiTheme="minorEastAsia" w:hAnsiTheme="minorEastAsia" w:eastAsiaTheme="minorEastAsia"/>
                <w:kern w:val="0"/>
                <w:szCs w:val="21"/>
              </w:rPr>
              <w:t>8</w:t>
            </w:r>
            <w:r>
              <w:rPr>
                <w:rFonts w:hint="eastAsia" w:asciiTheme="minorEastAsia" w:hAnsiTheme="minorEastAsia" w:eastAsiaTheme="minorEastAsia"/>
                <w:kern w:val="0"/>
                <w:szCs w:val="21"/>
              </w:rPr>
              <w:t>、供电方式：按需供电方式，满足连续30个阴雨日正常工作。</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w:t>
            </w:r>
            <w:r>
              <w:rPr>
                <w:rFonts w:asciiTheme="minorEastAsia" w:hAnsiTheme="minorEastAsia" w:eastAsiaTheme="minorEastAsia"/>
                <w:kern w:val="0"/>
                <w:szCs w:val="21"/>
              </w:rPr>
              <w:t>9</w:t>
            </w:r>
            <w:r>
              <w:rPr>
                <w:rFonts w:hint="eastAsia" w:asciiTheme="minorEastAsia" w:hAnsiTheme="minorEastAsia" w:eastAsiaTheme="minorEastAsia"/>
                <w:kern w:val="0"/>
                <w:szCs w:val="21"/>
              </w:rPr>
              <w:t>、包含前期现场踏勘、方案设计、施工安装、设备运输、3年质保、3年通讯费用以及税费等建设期及质保期内的一切费用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8</w:t>
            </w:r>
          </w:p>
        </w:tc>
        <w:tc>
          <w:tcPr>
            <w:tcW w:w="1123"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加速度监测站</w:t>
            </w:r>
          </w:p>
        </w:tc>
        <w:tc>
          <w:tcPr>
            <w:tcW w:w="6469"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1、测量范围：±2g；具有省（直辖市）级及以上技术监督部门颁发证书的第三方检测机构出具的质量检验检测报告，检测报告上具有CMA/CNAS的认证章。</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2、测量精度：±1mg；具有省（直辖市）级及以上技术监督部门颁发证书的第三方检测机构出具的质量检验检测报告，检测报告上具有CMA/CNAS的认证章。</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3、采样间隔：0s～24h；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4、上传间隔：0s～72h；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5、输出信号：RS485/NB-IOT/ LoRa/α/2/4/5G；</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6、输出参数：振动加速度、倾角、自振频率、最大振幅等；具有省（直辖市）级及以上技术监督部门颁发证书的第三方检测机构出具的质量检验检测报告，检测报告上具有CMA/CNAS的认证章。</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7、防护等级：≥IP67；</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8、集成化指标：一体化设计、传感器集供电系统（集成柔性太阳能板及电池）、数据采集系统、数据计算分析系统、数据传输系统、监测预警功能于一体的传感装置；</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9、供电方式：按需供电方式，满足连续30个阴雨日正常工作。</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▲10、包含前期现场踏勘、方案设计、施工安装、设备运输、3年质保、3年通讯费用以及税费等建设期及质保期内的一切费用</w:t>
            </w:r>
          </w:p>
          <w:p>
            <w:pPr>
              <w:rPr>
                <w:rFonts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9</w:t>
            </w:r>
          </w:p>
        </w:tc>
        <w:tc>
          <w:tcPr>
            <w:tcW w:w="1123"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泥水位监测站</w:t>
            </w:r>
          </w:p>
        </w:tc>
        <w:tc>
          <w:tcPr>
            <w:tcW w:w="6469"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▲1、测量量程：0.3～40m；</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▲2、测量精度：±3mm；</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▲3、分辨率：±0.</w:t>
            </w:r>
            <w:r>
              <w:rPr>
                <w:rFonts w:asciiTheme="minorEastAsia" w:hAnsiTheme="minorEastAsia" w:eastAsiaTheme="minorEastAsia"/>
                <w:kern w:val="0"/>
                <w:szCs w:val="21"/>
              </w:rPr>
              <w:t>1</w:t>
            </w:r>
            <w:r>
              <w:rPr>
                <w:rFonts w:hint="eastAsia" w:asciiTheme="minorEastAsia" w:hAnsiTheme="minorEastAsia" w:eastAsiaTheme="minorEastAsia"/>
                <w:kern w:val="0"/>
                <w:szCs w:val="21"/>
              </w:rPr>
              <w:t>%FS；</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4、采样间隔：0s～24h；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5、上传间隔：0s～72h；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6、输出信号：RS485/NB-IOT/ LoRa/α/2/4/5G；</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7、供电方式：按需供电方式，满足连续30个阴雨日正常工作，过压及欠压保护。</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▲8、包含前期现场踏勘、方案设计、施工安装、设备运输、3年质保、3年通讯费用以及税费等建设期及质保期内的一切费用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10</w:t>
            </w:r>
          </w:p>
        </w:tc>
        <w:tc>
          <w:tcPr>
            <w:tcW w:w="1123"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静力水准监测站</w:t>
            </w:r>
          </w:p>
        </w:tc>
        <w:tc>
          <w:tcPr>
            <w:tcW w:w="6469"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1、测量量程：0-</w:t>
            </w:r>
            <w:r>
              <w:rPr>
                <w:rFonts w:asciiTheme="minorEastAsia" w:hAnsiTheme="minorEastAsia" w:eastAsiaTheme="minorEastAsia"/>
                <w:kern w:val="0"/>
                <w:szCs w:val="21"/>
              </w:rPr>
              <w:t>10</w:t>
            </w:r>
            <w:r>
              <w:rPr>
                <w:rFonts w:hint="eastAsia" w:asciiTheme="minorEastAsia" w:hAnsiTheme="minorEastAsia" w:eastAsiaTheme="minorEastAsia"/>
                <w:kern w:val="0"/>
                <w:szCs w:val="21"/>
              </w:rPr>
              <w:t>m；</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2、综合精度：±0.05%FS；</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▲3、分辨率：0.01mm；</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4、采样间隔：0s～24h；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5、上传间隔：0s～72h；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6、输出信号：RS485/NB-IOT/ LoRa/α/2/4/5G；</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7、防护等级：≥IP67；</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8、温度范围：-20～+80℃(使用防冻液)；</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▲9、包含≥</w:t>
            </w:r>
            <w:r>
              <w:rPr>
                <w:rFonts w:asciiTheme="minorEastAsia" w:hAnsiTheme="minorEastAsia" w:eastAsiaTheme="minorEastAsia"/>
                <w:kern w:val="0"/>
                <w:szCs w:val="21"/>
              </w:rPr>
              <w:t>5</w:t>
            </w:r>
            <w:r>
              <w:rPr>
                <w:rFonts w:hint="eastAsia" w:asciiTheme="minorEastAsia" w:hAnsiTheme="minorEastAsia" w:eastAsiaTheme="minorEastAsia"/>
                <w:kern w:val="0"/>
                <w:szCs w:val="21"/>
              </w:rPr>
              <w:t>个测点；</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w:t>
            </w:r>
            <w:r>
              <w:rPr>
                <w:rFonts w:asciiTheme="minorEastAsia" w:hAnsiTheme="minorEastAsia" w:eastAsiaTheme="minorEastAsia"/>
                <w:kern w:val="0"/>
                <w:szCs w:val="21"/>
              </w:rPr>
              <w:t>10</w:t>
            </w:r>
            <w:r>
              <w:rPr>
                <w:rFonts w:hint="eastAsia" w:asciiTheme="minorEastAsia" w:hAnsiTheme="minorEastAsia" w:eastAsiaTheme="minorEastAsia"/>
                <w:kern w:val="0"/>
                <w:szCs w:val="21"/>
              </w:rPr>
              <w:t>、包含前期现场踏勘、方案设计、施工安装、设备运输、3年质保、3年通讯费用以及税费等建设期及质保期内的一切费用。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11</w:t>
            </w:r>
          </w:p>
        </w:tc>
        <w:tc>
          <w:tcPr>
            <w:tcW w:w="1123"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声光报警器</w:t>
            </w:r>
          </w:p>
        </w:tc>
        <w:tc>
          <w:tcPr>
            <w:tcW w:w="6469"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1、功率：≤10W；</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2、频率：20Hz-20KHz；</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3、声压：音量：≥100分贝，音量可调（距离报警器1m）；</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4、防护等级：≥IP65；</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5、供电方式：太阳能+蓄电池；</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6、报警方式：现场声光报警、异地无线声报警；</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7、包含前期现场踏勘、方案设计、施工安装、设备运输、3年质保、3年通讯费用以及税费等建设期及质保期内的一切费用。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12</w:t>
            </w:r>
          </w:p>
        </w:tc>
        <w:tc>
          <w:tcPr>
            <w:tcW w:w="1123"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地下水监测站</w:t>
            </w:r>
          </w:p>
        </w:tc>
        <w:tc>
          <w:tcPr>
            <w:tcW w:w="6469" w:type="dxa"/>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1、测量范围：0～</w:t>
            </w:r>
            <w:r>
              <w:rPr>
                <w:rFonts w:asciiTheme="minorEastAsia" w:hAnsiTheme="minorEastAsia" w:eastAsiaTheme="minorEastAsia"/>
                <w:kern w:val="0"/>
                <w:szCs w:val="21"/>
              </w:rPr>
              <w:t>35</w:t>
            </w:r>
            <w:r>
              <w:rPr>
                <w:rFonts w:hint="eastAsia" w:asciiTheme="minorEastAsia" w:hAnsiTheme="minorEastAsia" w:eastAsiaTheme="minorEastAsia"/>
                <w:kern w:val="0"/>
                <w:szCs w:val="21"/>
              </w:rPr>
              <w:t>m；</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▲2、测量精度：＜0.1%F.S；分辨率：≤0.0</w:t>
            </w:r>
            <w:r>
              <w:rPr>
                <w:rFonts w:asciiTheme="minorEastAsia" w:hAnsiTheme="minorEastAsia" w:eastAsiaTheme="minorEastAsia"/>
                <w:kern w:val="0"/>
                <w:szCs w:val="21"/>
              </w:rPr>
              <w:t>2</w:t>
            </w:r>
            <w:r>
              <w:rPr>
                <w:rFonts w:hint="eastAsia" w:asciiTheme="minorEastAsia" w:hAnsiTheme="minorEastAsia" w:eastAsiaTheme="minorEastAsia"/>
                <w:kern w:val="0"/>
                <w:szCs w:val="21"/>
              </w:rPr>
              <w:t>%F.S；</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3、采样间隔：0s～24h；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4、上传间隔：0s～72h；</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5、输出信号：RS485/NB-IOT/ LoRa/α/2/4/5G；</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6、防护等级：≥IP68;</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7、供电方式：太阳能+蓄电池；</w:t>
            </w:r>
            <w:r>
              <w:rPr>
                <w:rFonts w:hint="eastAsia" w:asciiTheme="minorEastAsia" w:hAnsiTheme="minorEastAsia" w:eastAsiaTheme="minorEastAsia"/>
                <w:kern w:val="0"/>
                <w:szCs w:val="21"/>
              </w:rPr>
              <w:br w:type="textWrapping"/>
            </w:r>
            <w:r>
              <w:rPr>
                <w:rFonts w:hint="eastAsia" w:asciiTheme="minorEastAsia" w:hAnsiTheme="minorEastAsia" w:eastAsiaTheme="minorEastAsia"/>
                <w:kern w:val="0"/>
                <w:szCs w:val="21"/>
              </w:rPr>
              <w:t>▲8、包含前期现场踏勘、方案设计、钻孔、岩芯编录、施工安装、设备运输、3年质保、3年通讯费用以及税费等建设期及质保期内的一切费用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3"/>
            <w:vAlign w:val="center"/>
          </w:tcPr>
          <w:p>
            <w:pPr>
              <w:rPr>
                <w:rFonts w:asciiTheme="minorEastAsia" w:hAnsiTheme="minorEastAsia" w:eastAsiaTheme="minorEastAsia"/>
                <w:kern w:val="0"/>
                <w:szCs w:val="21"/>
              </w:rPr>
            </w:pPr>
            <w:r>
              <w:rPr>
                <w:rFonts w:hint="eastAsia" w:asciiTheme="minorEastAsia" w:hAnsiTheme="minorEastAsia" w:eastAsiaTheme="minorEastAsia"/>
                <w:kern w:val="0"/>
                <w:szCs w:val="21"/>
              </w:rPr>
              <w:t>备注：供应商对“包含前期现场勘查、发难设计、施工安装、设备运输、3年质保、3年通讯费用以及税费等建设期及质保期内的一切费用”做出单独的承诺；设备没有要求提供检测报告的，供应商对参数提供证明材料，如加盖供应商公章的一一对应参数证明，或加盖供应商公章的提供生产商的彩页等。</w:t>
            </w:r>
          </w:p>
        </w:tc>
      </w:tr>
    </w:tbl>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5、售后服务要求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设备质保期≥三年，国家标准有要求或产品厂商有更高质保承诺的，按更长质保期进行质保。培训方案内容全面、针对性强，编制完善的培训方案；响应机制及应急技术支持满足7×24小时服务、要有完整的响应机制及应急技术支持方案；应急费用由中标供应商负责，如中标供应商在接到通知的时间规定范围内没有答复或处理问题，则视为供应商承认质量问题并承担由此而发生的一切费用，质保期间部件丢失、损坏、更换部件及产品本身质量原因造成的直接经济损失应全部由中标供应商自行负责；中标供应商负责对设备进行检验、安装、调试，直至验收合格，并提供安装调试报告、监测成果总结报告。验收时应与投标时产品原始样本技术资料/标书技术文件一致，并应符合我国有关技术规范和技术标准，所派人员的一切费用由中标供应商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保期内，根据《广东省地质灾害专业监测预警体系建设工作指引》要求，至少每半年对全部设备完成一次巡检，每年度检查维护次数≥3次/点，提交巡检记录、照片及巡检报告。每年度根据《广东省地质灾害专业监测预警体系建设工作指引》要求编制年度运行维护报告及监测年报。</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6、项目实施方案要求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监测系统施工组织方案技术路线合理性，有全面的分析和规划；实施方案针对性强、技术措范及保障措施合理；监测设备安装、调试、防护方案安排科学、可操作性强；项目组人员专业配备齐全；进度计划合理，能够保证在规定工期内按时按量完成。一点一方案，符合相关规范文件要求。</w:t>
      </w:r>
    </w:p>
    <w:p>
      <w:pPr>
        <w:spacing w:line="360" w:lineRule="auto"/>
        <w:ind w:firstLine="422" w:firstLineChars="200"/>
        <w:rPr>
          <w:rFonts w:asciiTheme="minorEastAsia" w:hAnsiTheme="minorEastAsia" w:eastAsiaTheme="minorEastAsia"/>
          <w:b/>
          <w:bCs/>
          <w:szCs w:val="21"/>
        </w:rPr>
      </w:pPr>
      <w:r>
        <w:rPr>
          <w:rFonts w:asciiTheme="minorEastAsia" w:hAnsiTheme="minorEastAsia" w:eastAsiaTheme="minorEastAsia"/>
          <w:b/>
          <w:bCs/>
          <w:szCs w:val="21"/>
        </w:rPr>
        <w:t>7</w:t>
      </w:r>
      <w:r>
        <w:rPr>
          <w:rFonts w:hint="eastAsia" w:asciiTheme="minorEastAsia" w:hAnsiTheme="minorEastAsia" w:eastAsiaTheme="minorEastAsia"/>
          <w:b/>
          <w:bCs/>
          <w:szCs w:val="21"/>
        </w:rPr>
        <w:t>、样品</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）供应商需按评分要求提供投标产品的样品各</w:t>
      </w:r>
      <w:r>
        <w:rPr>
          <w:rFonts w:asciiTheme="minorEastAsia" w:hAnsiTheme="minorEastAsia" w:eastAsiaTheme="minorEastAsia"/>
          <w:szCs w:val="21"/>
        </w:rPr>
        <w:t>1</w:t>
      </w:r>
      <w:r>
        <w:rPr>
          <w:rFonts w:hint="eastAsia" w:asciiTheme="minorEastAsia" w:hAnsiTheme="minorEastAsia" w:eastAsiaTheme="minorEastAsia"/>
          <w:szCs w:val="21"/>
        </w:rPr>
        <w:t>台</w:t>
      </w:r>
      <w:r>
        <w:rPr>
          <w:rFonts w:asciiTheme="minorEastAsia" w:hAnsiTheme="minorEastAsia" w:eastAsiaTheme="minorEastAsia"/>
          <w:szCs w:val="21"/>
        </w:rPr>
        <w:t>/</w:t>
      </w:r>
      <w:r>
        <w:rPr>
          <w:rFonts w:hint="eastAsia" w:asciiTheme="minorEastAsia" w:hAnsiTheme="minorEastAsia" w:eastAsiaTheme="minorEastAsia"/>
          <w:szCs w:val="21"/>
        </w:rPr>
        <w:t>套。</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）样品由供应商于评标当日自行携带至评标地点。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）中标单位样品评标结束后移交采购单位，作为验收依据封存。</w:t>
      </w:r>
    </w:p>
    <w:p>
      <w:pPr>
        <w:spacing w:line="360" w:lineRule="auto"/>
        <w:ind w:firstLine="422" w:firstLineChars="200"/>
        <w:rPr>
          <w:rFonts w:asciiTheme="minorEastAsia" w:hAnsiTheme="minorEastAsia" w:eastAsiaTheme="minorEastAsia"/>
          <w:b/>
          <w:bCs/>
          <w:szCs w:val="21"/>
        </w:rPr>
      </w:pPr>
      <w:r>
        <w:rPr>
          <w:rFonts w:asciiTheme="minorEastAsia" w:hAnsiTheme="minorEastAsia" w:eastAsiaTheme="minorEastAsia"/>
          <w:b/>
          <w:bCs/>
          <w:szCs w:val="21"/>
        </w:rPr>
        <w:t>8</w:t>
      </w:r>
      <w:r>
        <w:rPr>
          <w:rFonts w:hint="eastAsia" w:asciiTheme="minorEastAsia" w:hAnsiTheme="minorEastAsia" w:eastAsiaTheme="minorEastAsia"/>
          <w:b/>
          <w:bCs/>
          <w:szCs w:val="21"/>
        </w:rPr>
        <w:t>、执行和参考的规范文件</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《地质灾害监测资料归档整理技术要求（试行）》（</w:t>
      </w:r>
      <w:r>
        <w:rPr>
          <w:rFonts w:asciiTheme="minorEastAsia" w:hAnsiTheme="minorEastAsia" w:eastAsiaTheme="minorEastAsia"/>
          <w:szCs w:val="21"/>
        </w:rPr>
        <w:t>T/CAGHP 047-2018</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《地质灾害监测通讯技术要求》（</w:t>
      </w:r>
      <w:r>
        <w:rPr>
          <w:rFonts w:asciiTheme="minorEastAsia" w:hAnsiTheme="minorEastAsia" w:eastAsiaTheme="minorEastAsia"/>
          <w:szCs w:val="21"/>
        </w:rPr>
        <w:t>TC93/SC2</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《广东省地质灾害专业监测预警体系建设工作指引》（粤自然函〔</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236</w:t>
      </w:r>
      <w:r>
        <w:rPr>
          <w:rFonts w:hint="eastAsia" w:asciiTheme="minorEastAsia" w:hAnsiTheme="minorEastAsia" w:eastAsiaTheme="minorEastAsia"/>
          <w:szCs w:val="21"/>
        </w:rPr>
        <w:t>号）；</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《地质灾害防治工程监理规范》（</w:t>
      </w:r>
      <w:r>
        <w:rPr>
          <w:rFonts w:asciiTheme="minorEastAsia" w:hAnsiTheme="minorEastAsia" w:eastAsiaTheme="minorEastAsia"/>
          <w:szCs w:val="21"/>
        </w:rPr>
        <w:t>DZ/T0222-2006</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《地质灾害专群结合监测预警技术指南（试行）》；</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《崩塌、滑坡、泥石流监测规范》（</w:t>
      </w:r>
      <w:r>
        <w:rPr>
          <w:rFonts w:asciiTheme="minorEastAsia" w:hAnsiTheme="minorEastAsia" w:eastAsiaTheme="minorEastAsia"/>
          <w:szCs w:val="21"/>
        </w:rPr>
        <w:t>DZ/T0221-2019</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《地面沉降调查与监测规范》（</w:t>
      </w:r>
      <w:r>
        <w:rPr>
          <w:rFonts w:asciiTheme="minorEastAsia" w:hAnsiTheme="minorEastAsia" w:eastAsiaTheme="minorEastAsia"/>
          <w:szCs w:val="21"/>
        </w:rPr>
        <w:t>DZ/T0283-2015</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《崩塌监测规范（试行）》（</w:t>
      </w:r>
      <w:r>
        <w:rPr>
          <w:rFonts w:asciiTheme="minorEastAsia" w:hAnsiTheme="minorEastAsia" w:eastAsiaTheme="minorEastAsia"/>
          <w:szCs w:val="21"/>
        </w:rPr>
        <w:t>T/CAGHP007-2018</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《地裂缝地质灾害监测规范（试行）》（</w:t>
      </w:r>
      <w:r>
        <w:rPr>
          <w:rFonts w:asciiTheme="minorEastAsia" w:hAnsiTheme="minorEastAsia" w:eastAsiaTheme="minorEastAsia"/>
          <w:szCs w:val="21"/>
        </w:rPr>
        <w:t>T/CAGHP008-2018</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[10]</w:t>
      </w:r>
      <w:r>
        <w:rPr>
          <w:rFonts w:hint="eastAsia" w:asciiTheme="minorEastAsia" w:hAnsiTheme="minorEastAsia" w:eastAsiaTheme="minorEastAsia"/>
          <w:szCs w:val="21"/>
        </w:rPr>
        <w:t>《地质灾害地表变形监测技术规程（试行）》（</w:t>
      </w:r>
      <w:r>
        <w:rPr>
          <w:rFonts w:asciiTheme="minorEastAsia" w:hAnsiTheme="minorEastAsia" w:eastAsiaTheme="minorEastAsia"/>
          <w:szCs w:val="21"/>
        </w:rPr>
        <w:t>T/CAGHP014-2018</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[11]</w:t>
      </w:r>
      <w:r>
        <w:rPr>
          <w:rFonts w:hint="eastAsia" w:asciiTheme="minorEastAsia" w:hAnsiTheme="minorEastAsia" w:eastAsiaTheme="minorEastAsia"/>
          <w:szCs w:val="21"/>
        </w:rPr>
        <w:t>《地质灾害监测仪器物理接口规定（试行）》（</w:t>
      </w:r>
      <w:r>
        <w:rPr>
          <w:rFonts w:asciiTheme="minorEastAsia" w:hAnsiTheme="minorEastAsia" w:eastAsiaTheme="minorEastAsia"/>
          <w:szCs w:val="21"/>
        </w:rPr>
        <w:t>T/CAGHP016-2018</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《地质灾害地下变形监测技术规程（试行）》（</w:t>
      </w:r>
      <w:r>
        <w:rPr>
          <w:rFonts w:asciiTheme="minorEastAsia" w:hAnsiTheme="minorEastAsia" w:eastAsiaTheme="minorEastAsia"/>
          <w:szCs w:val="21"/>
        </w:rPr>
        <w:t>T/CAGHP046-2018</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《地质灾害地面倾斜监测技术规程（试行）》（</w:t>
      </w:r>
      <w:r>
        <w:rPr>
          <w:rFonts w:asciiTheme="minorEastAsia" w:hAnsiTheme="minorEastAsia" w:eastAsiaTheme="minorEastAsia"/>
          <w:szCs w:val="21"/>
        </w:rPr>
        <w:t>T/CAGHP051-2018</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[14]</w:t>
      </w:r>
      <w:r>
        <w:rPr>
          <w:rFonts w:hint="eastAsia" w:asciiTheme="minorEastAsia" w:hAnsiTheme="minorEastAsia" w:eastAsiaTheme="minorEastAsia"/>
          <w:szCs w:val="21"/>
        </w:rPr>
        <w:t>《地质灾害深部位移监测技术规程（试行）》（</w:t>
      </w:r>
      <w:r>
        <w:rPr>
          <w:rFonts w:asciiTheme="minorEastAsia" w:hAnsiTheme="minorEastAsia" w:eastAsiaTheme="minorEastAsia"/>
          <w:szCs w:val="21"/>
        </w:rPr>
        <w:t>T/CAGHP052-2018</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[15]</w:t>
      </w:r>
      <w:r>
        <w:rPr>
          <w:rFonts w:hint="eastAsia" w:asciiTheme="minorEastAsia" w:hAnsiTheme="minorEastAsia" w:eastAsiaTheme="minorEastAsia"/>
          <w:szCs w:val="21"/>
        </w:rPr>
        <w:t>《突发地质灾害应急监测预警技术指南》（</w:t>
      </w:r>
      <w:r>
        <w:rPr>
          <w:rFonts w:asciiTheme="minorEastAsia" w:hAnsiTheme="minorEastAsia" w:eastAsiaTheme="minorEastAsia"/>
          <w:szCs w:val="21"/>
        </w:rPr>
        <w:t>T/CAGHP023-2018</w:t>
      </w:r>
      <w:r>
        <w:rPr>
          <w:rFonts w:hint="eastAsia" w:asciiTheme="minorEastAsia" w:hAnsiTheme="minorEastAsia" w:eastAsiaTheme="minorEastAsia"/>
          <w:szCs w:val="21"/>
        </w:rPr>
        <w:t>）</w:t>
      </w:r>
      <w:r>
        <w:rPr>
          <w:rFonts w:asciiTheme="minorEastAsia" w:hAnsiTheme="minorEastAsia" w:eastAsiaTheme="minorEastAsia"/>
          <w:szCs w:val="21"/>
        </w:rPr>
        <w:t>;</w:t>
      </w:r>
    </w:p>
    <w:p>
      <w:pPr>
        <w:keepNext/>
        <w:keepLines/>
        <w:spacing w:before="260" w:after="260" w:line="416" w:lineRule="auto"/>
        <w:outlineLvl w:val="1"/>
        <w:rPr>
          <w:rFonts w:asciiTheme="minorEastAsia" w:hAnsiTheme="minorEastAsia" w:eastAsiaTheme="minorEastAsia"/>
          <w:b/>
          <w:bCs/>
          <w:szCs w:val="21"/>
          <w:lang w:val="zh-CN"/>
        </w:rPr>
      </w:pPr>
      <w:bookmarkStart w:id="24" w:name="_Toc63094637"/>
      <w:r>
        <w:rPr>
          <w:rFonts w:hint="eastAsia" w:asciiTheme="minorEastAsia" w:hAnsiTheme="minorEastAsia" w:eastAsiaTheme="minorEastAsia"/>
          <w:b/>
          <w:bCs/>
          <w:szCs w:val="21"/>
          <w:lang w:val="zh-CN"/>
        </w:rPr>
        <w:t>四、商务要求</w:t>
      </w:r>
      <w:bookmarkEnd w:id="24"/>
    </w:p>
    <w:p>
      <w:pPr>
        <w:spacing w:line="360" w:lineRule="auto"/>
        <w:ind w:firstLine="420" w:firstLineChars="200"/>
        <w:rPr>
          <w:rFonts w:asciiTheme="minorEastAsia" w:hAnsiTheme="minorEastAsia" w:eastAsiaTheme="minorEastAsia"/>
          <w:b/>
          <w:bCs/>
          <w:szCs w:val="21"/>
        </w:rPr>
      </w:pPr>
      <w:r>
        <w:rPr>
          <w:rFonts w:hint="eastAsia" w:asciiTheme="minorEastAsia" w:hAnsiTheme="minorEastAsia" w:eastAsiaTheme="minorEastAsia"/>
          <w:szCs w:val="21"/>
        </w:rPr>
        <w:t>★</w:t>
      </w:r>
      <w:r>
        <w:rPr>
          <w:rFonts w:hint="eastAsia" w:asciiTheme="minorEastAsia" w:hAnsiTheme="minorEastAsia" w:eastAsiaTheme="minorEastAsia"/>
          <w:b/>
          <w:bCs/>
          <w:szCs w:val="21"/>
        </w:rPr>
        <w:t>1、设备安装调试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中标供应商负责在采购人要求的现场安装、调试仪器并交付使用，自带必要的专用工具，监测方案设计、评审、设备运输、安装、调试等一切费用由中标供应商承担；设备运输到达采购人指定地点后，执行安装调试直至达到验收指标。</w:t>
      </w:r>
    </w:p>
    <w:p>
      <w:pPr>
        <w:spacing w:line="360" w:lineRule="auto"/>
        <w:ind w:firstLine="420" w:firstLineChars="200"/>
        <w:rPr>
          <w:rFonts w:asciiTheme="minorEastAsia" w:hAnsiTheme="minorEastAsia" w:eastAsiaTheme="minorEastAsia"/>
          <w:b/>
          <w:bCs/>
          <w:szCs w:val="21"/>
        </w:rPr>
      </w:pPr>
      <w:r>
        <w:rPr>
          <w:rFonts w:hint="eastAsia" w:asciiTheme="minorEastAsia" w:hAnsiTheme="minorEastAsia" w:eastAsiaTheme="minorEastAsia"/>
          <w:szCs w:val="21"/>
        </w:rPr>
        <w:t>★</w:t>
      </w:r>
      <w:r>
        <w:rPr>
          <w:rFonts w:hint="eastAsia" w:asciiTheme="minorEastAsia" w:hAnsiTheme="minorEastAsia" w:eastAsiaTheme="minorEastAsia"/>
          <w:b/>
          <w:bCs/>
          <w:szCs w:val="21"/>
        </w:rPr>
        <w:t>2、时间要求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涉及146处大、中、小型地质灾害在册隐患点，根据省、市相关文件规定，其中66处大、中型地质灾害在册隐患点需2021年汛期前完成专业监测设备安装及调试工作，另外80处中、小型地质灾害在册隐患点需2021年底完成安装及调试工作，2022年5月前完成第三方测试及初验，2022年10月前完成终验及成果移交工作。</w:t>
      </w:r>
    </w:p>
    <w:p>
      <w:pPr>
        <w:spacing w:line="360" w:lineRule="auto"/>
        <w:ind w:firstLine="420" w:firstLineChars="200"/>
        <w:rPr>
          <w:rFonts w:asciiTheme="minorEastAsia" w:hAnsiTheme="minorEastAsia" w:eastAsiaTheme="minorEastAsia"/>
          <w:b/>
          <w:bCs/>
          <w:szCs w:val="21"/>
        </w:rPr>
      </w:pPr>
      <w:r>
        <w:rPr>
          <w:rFonts w:hint="eastAsia" w:asciiTheme="minorEastAsia" w:hAnsiTheme="minorEastAsia" w:eastAsiaTheme="minorEastAsia"/>
          <w:szCs w:val="21"/>
        </w:rPr>
        <w:t>★</w:t>
      </w:r>
      <w:r>
        <w:rPr>
          <w:rFonts w:hint="eastAsia" w:asciiTheme="minorEastAsia" w:hAnsiTheme="minorEastAsia" w:eastAsiaTheme="minorEastAsia"/>
          <w:b/>
          <w:bCs/>
          <w:szCs w:val="21"/>
        </w:rPr>
        <w:t>3、技术培训</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承诺为采购人免费培训使用设备的工作人员，培训内容包括设备的基本原理、安装、调试、操作使用、日常保养维修、数据分析应用等，并派驻至少1名技术人员在采购人指定地点协助开展设备的操作使用、数据分析、监测预警和日常保养维修等工作。</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4、验收标准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设备齐备，完整。参照《采购清单和技术参数要求》，中标供应商安装的设备必须符合齐备性、完整性；</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设备通电安装完成后，由中标供应商制定测试方案并经用户确认后，对产品的性能和配置进行测试验收，并形成测试验收报告；</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实施并测试完毕后，中标供应商需与使用方进行交接工作，授与使用方相关知识转移培训，提交相关文档，包括但不限于设备的安装、运行、使用、测试、诊断、软硬件设备的安装指南和维修的技术文件、备份的资料、采集的数据（如实施文档、配置文档、多媒体设备连线拓扑图，施工效果图等）、监测资料、成果资料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验收需通过采购方指定的专家进行评审验收，专家评审验收意见作为重要验收依据。专家验收不合格的部分，需根据专家意见15天内完成整改，并再次提交专家评审，直至验收合格为止，期间所产生的所有费用均由供应商承担。</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5、其他要求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供应商须承诺，中标后在签订合同前提供本次采购设备生产厂商针对本项目出具的授权书、售后服务承诺函、采购方指定监测预警平台系统适配及数据对接承诺,提供技术力量协助完善采购方平台，若不能提供则视为自动放弃中标资格。</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2）所有产品必须有备品备件，其中所投产品备品备件数量按该类产品数量的2%提供，最低不得低于1台/套。电池等易耗品备品备件根据实际情况储备。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供应商必须无条件保证所提供投标货物的制造、检验以及提供技术服务完全符合国家有关产品制造和验收标准。提供全新先进的原装产品，质保期≥三年，国家标准有要求或产品厂商有更高质保承诺的，按更长质保期进行质保。如果有不符之处，供应商应在投标文件中加以说明，并提请采购人注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4）投标货物由制造商（指生产制造商，或其负责销售、售后服务机构）负责标准售后服务的，应当在投标文件中予以明确说明。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供应商须承诺在中标后货物搬运及安装过程中应注意自身及公共安全，如出现人员伤亡事故，不得影响采购人声誉，因伤亡人员事故产生的所有费用由供应商自行负责，与采购人无关。供应商同时须对现场环境进行相应保护，服从采购人管理。若因供应商原因导致现场的损坏，供应商应赔偿相应费用。应对安装工人进行专业培训，保证安装工人具有专业的安装知识及自我安全保障技能。如安装工人认为安装条件未达到安装应具备条件，未能充分保障自身安全时，应主动向采购人提出，直至具备安全作业条件时，才进行作业。否则视为符合安装条件，采购人无须负任何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6）对影响本项目正常进行的必要组成部分，无论在招标文件中指出与否，供应商都应在提供的投标文件中明确列出。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供应商须承诺采购人在其本国使用其提供的货物时，不存在任何已知的不合法的情形，也不存在任何已知的与第三方专利权、著作权、商标权或工业设计权相关的任何争议。如果有任何因采购人使用供应商提供的货物而提起的侵权指控，供应商须依法承担由此而引起的全部责任和费用，并向采购人支付合同总金额10%的违约金。</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★8）本项目实施过程中的实际项目负责人、技术负责人、项目施工组长等核心人员应与投标文件承诺的人员一致，在项目验收结束前，必须作为专职人员，不得与其他项目混用离开项目现场。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★9）采购方会组织当地政府国土部门协调用地问题，产生的青苗补偿等其他不可预见费用，需由供应商承担。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10）供应商须承诺未拖欠农民工工资。</w:t>
      </w:r>
    </w:p>
    <w:p>
      <w:pPr>
        <w:spacing w:line="360" w:lineRule="auto"/>
        <w:ind w:firstLine="422" w:firstLineChars="200"/>
        <w:rPr>
          <w:rFonts w:ascii="宋体" w:hAnsi="宋体"/>
          <w:b/>
          <w:bCs/>
          <w:szCs w:val="21"/>
        </w:rPr>
      </w:pPr>
      <w:r>
        <w:rPr>
          <w:rFonts w:hint="eastAsia" w:asciiTheme="minorEastAsia" w:hAnsiTheme="minorEastAsia" w:eastAsiaTheme="minorEastAsia"/>
          <w:b/>
          <w:bCs/>
          <w:szCs w:val="21"/>
        </w:rPr>
        <w:t>6、</w:t>
      </w:r>
      <w:r>
        <w:rPr>
          <w:rFonts w:hint="eastAsia" w:ascii="宋体" w:hAnsi="宋体"/>
          <w:b/>
          <w:bCs/>
          <w:szCs w:val="21"/>
        </w:rPr>
        <w:t>履约保函</w:t>
      </w:r>
    </w:p>
    <w:p>
      <w:pPr>
        <w:spacing w:line="360" w:lineRule="auto"/>
        <w:ind w:firstLine="420" w:firstLineChars="200"/>
        <w:rPr>
          <w:rFonts w:ascii="宋体" w:hAnsi="宋体"/>
          <w:szCs w:val="21"/>
        </w:rPr>
      </w:pPr>
      <w:r>
        <w:rPr>
          <w:rFonts w:hint="eastAsia" w:ascii="宋体" w:hAnsi="宋体"/>
          <w:szCs w:val="21"/>
        </w:rPr>
        <w:t>中标供应商签订合同前，应向甲方提交以甲方为受益人的银行保函，金额为合同总价的</w:t>
      </w:r>
      <w:r>
        <w:rPr>
          <w:rFonts w:ascii="宋体" w:hAnsi="宋体"/>
          <w:szCs w:val="21"/>
        </w:rPr>
        <w:t>5</w:t>
      </w:r>
      <w:r>
        <w:rPr>
          <w:rFonts w:hint="eastAsia" w:ascii="宋体" w:hAnsi="宋体"/>
          <w:szCs w:val="21"/>
        </w:rPr>
        <w:t>%。中标供应商按照承诺完成运维且三年质保期满后银行保函自动失效。签订合同后，若中标供应商不按双方签订合同规定履约，甲方有权兑现中标供应商提供的银行保函全部金额。银行保函金额不足以赔偿损失的，按实际损失赔偿。</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7、付款方式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根据采购方资金预算，本项目款项分两年支付，2021年支付不超过800万元(最终以2</w:t>
      </w:r>
      <w:r>
        <w:rPr>
          <w:rFonts w:asciiTheme="minorEastAsia" w:hAnsiTheme="minorEastAsia" w:eastAsiaTheme="minorEastAsia"/>
          <w:szCs w:val="21"/>
        </w:rPr>
        <w:t>021</w:t>
      </w:r>
      <w:r>
        <w:rPr>
          <w:rFonts w:hint="eastAsia" w:asciiTheme="minorEastAsia" w:hAnsiTheme="minorEastAsia" w:eastAsiaTheme="minorEastAsia"/>
          <w:szCs w:val="21"/>
        </w:rPr>
        <w:t>年财政批复为准</w:t>
      </w:r>
      <w:r>
        <w:rPr>
          <w:rFonts w:asciiTheme="minorEastAsia" w:hAnsiTheme="minorEastAsia" w:eastAsiaTheme="minorEastAsia"/>
          <w:szCs w:val="21"/>
        </w:rPr>
        <w:t>)</w:t>
      </w:r>
      <w:r>
        <w:rPr>
          <w:rFonts w:hint="eastAsia" w:asciiTheme="minorEastAsia" w:hAnsiTheme="minorEastAsia" w:eastAsiaTheme="minorEastAsia"/>
          <w:szCs w:val="21"/>
        </w:rPr>
        <w:t>，剩余项目款项根据2022年财政资金下达时间支付。</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2021年度支付的合同价款：</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1）合同签订后，采购人支付</w:t>
      </w:r>
      <w:r>
        <w:rPr>
          <w:rFonts w:asciiTheme="minorEastAsia" w:hAnsiTheme="minorEastAsia" w:eastAsiaTheme="minorEastAsia"/>
          <w:szCs w:val="21"/>
        </w:rPr>
        <w:t>xxx</w:t>
      </w:r>
      <w:r>
        <w:rPr>
          <w:rFonts w:hint="eastAsia" w:asciiTheme="minorEastAsia" w:hAnsiTheme="minorEastAsia" w:eastAsiaTheme="minorEastAsia"/>
          <w:szCs w:val="21"/>
        </w:rPr>
        <w:t>万元(支付至合同总价的xx%，不超过合同总价的5</w:t>
      </w:r>
      <w:r>
        <w:rPr>
          <w:rFonts w:asciiTheme="minorEastAsia" w:hAnsiTheme="minorEastAsia" w:eastAsiaTheme="minorEastAsia"/>
          <w:szCs w:val="21"/>
        </w:rPr>
        <w:t>0%</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中标供应商根据采购方要求安装设备套数达到全部设备总套数的60%，提供每点安装完成的证明材料（采购方项目经办确认签字的监测设备材料初验记录表、监测设备安装记录表、监测点设备建成初验记录表、监测点信息汇总清单等），采购人支付</w:t>
      </w:r>
      <w:r>
        <w:rPr>
          <w:rFonts w:asciiTheme="minorEastAsia" w:hAnsiTheme="minorEastAsia" w:eastAsiaTheme="minorEastAsia"/>
          <w:szCs w:val="21"/>
        </w:rPr>
        <w:t>xxx</w:t>
      </w:r>
      <w:r>
        <w:rPr>
          <w:rFonts w:hint="eastAsia" w:asciiTheme="minorEastAsia" w:hAnsiTheme="minorEastAsia" w:eastAsiaTheme="minorEastAsia"/>
          <w:szCs w:val="21"/>
        </w:rPr>
        <w:t>万元(支付至合同总价的xx%)。</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2022年度支付的合同价款：</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的所有设备完成安装，提供安装完成的证明材料（采购方项目经办确认签字的监测设备材料初验记录表、监测设备安装记录表、监测点设备建成初验记录表、监测点信息汇总清单等），设备完成调试，供应商协助完成采购方平台监测预警模块开发，数据接入采购方指定平台，通过第三方测试和专家初验，并且承诺的派驻人员到场后，采购人于2022年  月底前支付xxx万元(支付至合同总价的85%)；</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2）通过初验后，设备试运行一个月，提交试运行报告及项目建设成果报告，项目整体通过专家终验合格后，采购人于2022年  月底前支付xxx万元(支付至合同总价的100%)</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rPr>
        <w:t>因采购人使用的是财政资金，采购人在规定的付款时间内向相关财政部门申请支付手续，最终的款项支付时间以财政部门批复下达资金的时间为准，由此原因造成的延期付款免责。</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8、售后承诺违约责任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为确保运维的效率，确保监测预警系统的正常运行，本项目按以下违约处置措施执行：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一年内运维超期次数达运维调度次数30%的，扣除合同金额3%，运维超期达40%的，扣除合同金额4%，运维超期达50%及以上的，扣除合同金额5%；</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一年内超出7个日历日仍未完成修复的次数达运维调度次数10%的，扣除合同金额1%，次数达运维调度次数20%的，扣除合同金额3%，次数达30%及以上的，扣除合同金额5%；</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一年内，超过30天未完成修复的设备数，超过3台套的，扣除合同金额1%，超过5台套的，扣除合同金额3%，超过10台套的，扣除合同金额5%；</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如有超过60天未完成修复的设备，每台套设备扣除合同金额1%；</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采购人不定期对供应商备品备件库例行检查，供应商备品备件与投标承诺数量不符且无详细进出货记录，管理不当的，发现一次扣除合同金额1%。</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供应商一年内因售后承诺违约扣除的费用达到合同金额15%的，采购人有权解除合同，剩余合同金额不予支付，并报请上级单位及相关管理部门列入采购单位黑名单。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如因供应商运维超期，系统无法正常运行，造成财产或人员损失的，由供应商承担相应责任。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采购人定期通过网站等方式对供应商运维情况进行公示。</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9、关于运维超期的定义如下：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1）采购人通知供应商运维负责人后超过12小时未安排技术人员开展运维；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2）安排技术人员后超过48小时未完成修复也未提交设备更换说明。</w:t>
      </w:r>
      <w:bookmarkStart w:id="25" w:name="_Toc32117"/>
      <w:bookmarkStart w:id="26" w:name="_Toc4334"/>
      <w:bookmarkStart w:id="27" w:name="_Toc32999836"/>
    </w:p>
    <w:p>
      <w:pPr>
        <w:keepNext/>
        <w:keepLines/>
        <w:spacing w:before="260" w:after="260" w:line="416" w:lineRule="auto"/>
        <w:outlineLvl w:val="1"/>
        <w:rPr>
          <w:rFonts w:asciiTheme="minorEastAsia" w:hAnsiTheme="minorEastAsia" w:eastAsiaTheme="minorEastAsia"/>
          <w:b/>
          <w:bCs/>
          <w:szCs w:val="21"/>
          <w:lang w:val="zh-CN"/>
        </w:rPr>
      </w:pPr>
      <w:bookmarkStart w:id="28" w:name="_Toc63094638"/>
      <w:r>
        <w:rPr>
          <w:rFonts w:hint="eastAsia" w:asciiTheme="minorEastAsia" w:hAnsiTheme="minorEastAsia" w:eastAsiaTheme="minorEastAsia"/>
          <w:b/>
          <w:bCs/>
          <w:szCs w:val="21"/>
          <w:lang w:val="zh-CN"/>
        </w:rPr>
        <w:t>五、采购方式</w:t>
      </w:r>
      <w:bookmarkEnd w:id="25"/>
      <w:bookmarkEnd w:id="26"/>
      <w:bookmarkEnd w:id="27"/>
      <w:bookmarkEnd w:id="28"/>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项目采购类型为货物类，采购对象为具备地质灾害专业监测设备生产、安装、调试、维护和平台开发技术力量、业绩的技术单位，采购方式为公开招标。</w:t>
      </w:r>
    </w:p>
    <w:p>
      <w:pPr>
        <w:keepNext/>
        <w:keepLines/>
        <w:spacing w:before="260" w:after="260" w:line="416" w:lineRule="auto"/>
        <w:outlineLvl w:val="1"/>
        <w:rPr>
          <w:rFonts w:asciiTheme="minorEastAsia" w:hAnsiTheme="minorEastAsia" w:eastAsiaTheme="minorEastAsia"/>
          <w:b/>
          <w:bCs/>
          <w:szCs w:val="21"/>
          <w:lang w:val="zh-CN"/>
        </w:rPr>
      </w:pPr>
      <w:bookmarkStart w:id="29" w:name="_Toc6574"/>
      <w:bookmarkStart w:id="30" w:name="_Toc507426184"/>
      <w:bookmarkStart w:id="31" w:name="_Toc536713467"/>
      <w:bookmarkStart w:id="32" w:name="_Toc63094639"/>
      <w:bookmarkStart w:id="33" w:name="_Toc32999837"/>
      <w:bookmarkStart w:id="34" w:name="_Toc7052"/>
      <w:r>
        <w:rPr>
          <w:rFonts w:hint="eastAsia" w:asciiTheme="minorEastAsia" w:hAnsiTheme="minorEastAsia" w:eastAsiaTheme="minorEastAsia"/>
          <w:b/>
          <w:bCs/>
          <w:szCs w:val="21"/>
          <w:lang w:val="zh-CN"/>
        </w:rPr>
        <w:t>六、合同签订</w:t>
      </w:r>
      <w:bookmarkEnd w:id="29"/>
      <w:bookmarkEnd w:id="30"/>
      <w:bookmarkEnd w:id="31"/>
      <w:bookmarkEnd w:id="32"/>
      <w:bookmarkEnd w:id="33"/>
      <w:bookmarkEnd w:id="34"/>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待采购人确认中标供应商后，中标供应商在收到中标通知书后30天内与采购人按以下依据签订本招标项目合同，否则，采购人有权取消其中标资格，合同签订依据如下：</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1、《中华人民共和国合同法》；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2、国家或采购人相关标准合同；</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3、其它相关内容以合同约定为准。</w:t>
      </w:r>
    </w:p>
    <w:p>
      <w:pPr>
        <w:keepNext/>
        <w:keepLines/>
        <w:spacing w:before="260" w:after="260" w:line="360" w:lineRule="auto"/>
        <w:outlineLvl w:val="1"/>
        <w:rPr>
          <w:rFonts w:cs="黑体" w:asciiTheme="minorEastAsia" w:hAnsiTheme="minorEastAsia" w:eastAsiaTheme="minorEastAsia"/>
          <w:b/>
          <w:bCs/>
          <w:szCs w:val="21"/>
          <w:lang w:val="zh-CN"/>
        </w:rPr>
      </w:pPr>
      <w:bookmarkStart w:id="35" w:name="_Toc507426186"/>
      <w:bookmarkStart w:id="36" w:name="_Toc32999839"/>
      <w:bookmarkStart w:id="37" w:name="_Toc63094640"/>
      <w:bookmarkStart w:id="38" w:name="_Toc5583"/>
      <w:bookmarkStart w:id="39" w:name="_Toc11381"/>
      <w:bookmarkStart w:id="40" w:name="_Toc536713469"/>
      <w:r>
        <w:rPr>
          <w:rFonts w:hint="eastAsia" w:cs="黑体" w:asciiTheme="minorEastAsia" w:hAnsiTheme="minorEastAsia" w:eastAsiaTheme="minorEastAsia"/>
          <w:b/>
          <w:bCs/>
          <w:szCs w:val="21"/>
          <w:lang w:val="zh-CN"/>
        </w:rPr>
        <w:t>七、成果所有权</w:t>
      </w:r>
      <w:bookmarkEnd w:id="35"/>
      <w:bookmarkEnd w:id="36"/>
      <w:bookmarkEnd w:id="37"/>
      <w:bookmarkEnd w:id="38"/>
      <w:bookmarkEnd w:id="39"/>
      <w:bookmarkEnd w:id="40"/>
    </w:p>
    <w:p>
      <w:pPr>
        <w:widowControl/>
        <w:tabs>
          <w:tab w:val="left" w:pos="420"/>
        </w:tabs>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1、项目的所有成果，知识产权归采购人所有。</w:t>
      </w:r>
    </w:p>
    <w:p>
      <w:pPr>
        <w:widowControl/>
        <w:tabs>
          <w:tab w:val="left" w:pos="420"/>
        </w:tabs>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2、中标人非经采购人书面同意，不得以任何方式向第三方披露、转让和许可本项目的技术成果、技术资料和文件。如中标人违反本条规定的，除立即停止违约行为外，还应赔偿采购人的损失。</w:t>
      </w:r>
    </w:p>
    <w:p>
      <w:pPr>
        <w:widowControl/>
        <w:tabs>
          <w:tab w:val="left" w:pos="420"/>
        </w:tabs>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3、中标人应保证提供的成果不侵犯任何第三方的知识产权。</w:t>
      </w:r>
    </w:p>
    <w:p>
      <w:pPr>
        <w:keepNext/>
        <w:keepLines/>
        <w:spacing w:before="260" w:after="260" w:line="360" w:lineRule="auto"/>
        <w:outlineLvl w:val="1"/>
        <w:rPr>
          <w:rFonts w:cs="黑体" w:asciiTheme="minorEastAsia" w:hAnsiTheme="minorEastAsia" w:eastAsiaTheme="minorEastAsia"/>
          <w:b/>
          <w:bCs/>
          <w:szCs w:val="21"/>
          <w:lang w:val="zh-CN"/>
        </w:rPr>
      </w:pPr>
      <w:bookmarkStart w:id="41" w:name="_Toc11917"/>
      <w:bookmarkStart w:id="42" w:name="_Toc32999840"/>
      <w:bookmarkStart w:id="43" w:name="_Toc507426187"/>
      <w:bookmarkStart w:id="44" w:name="_Toc536713470"/>
      <w:bookmarkStart w:id="45" w:name="_Toc29233"/>
      <w:bookmarkStart w:id="46" w:name="_Toc63094641"/>
      <w:r>
        <w:rPr>
          <w:rFonts w:hint="eastAsia" w:cs="黑体" w:asciiTheme="minorEastAsia" w:hAnsiTheme="minorEastAsia" w:eastAsiaTheme="minorEastAsia"/>
          <w:b/>
          <w:bCs/>
          <w:szCs w:val="21"/>
          <w:lang w:val="zh-CN"/>
        </w:rPr>
        <w:t>八、成果安全与保密</w:t>
      </w:r>
      <w:bookmarkEnd w:id="41"/>
      <w:bookmarkEnd w:id="42"/>
      <w:bookmarkEnd w:id="43"/>
      <w:bookmarkEnd w:id="44"/>
      <w:bookmarkEnd w:id="45"/>
      <w:bookmarkEnd w:id="46"/>
    </w:p>
    <w:p>
      <w:pPr>
        <w:widowControl/>
        <w:tabs>
          <w:tab w:val="left" w:pos="420"/>
        </w:tabs>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1、本项目涉及的数据和资料包括作业过程资料和采购人在项目过程中确认的需要保密的其他信息及资料。</w:t>
      </w:r>
    </w:p>
    <w:p>
      <w:pPr>
        <w:widowControl/>
        <w:tabs>
          <w:tab w:val="left" w:pos="420"/>
        </w:tabs>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2、本项目所涉及的数据和资料，仅限于中标供应商在本项目在合同期内部使用，只能用于本项目，不得用于其它用途，不得向第三方提供。</w:t>
      </w:r>
    </w:p>
    <w:p>
      <w:pPr>
        <w:widowControl/>
        <w:tabs>
          <w:tab w:val="left" w:pos="420"/>
        </w:tabs>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3、中标供应商须按国家相关法律法规的要求，制定数据安全保密措施，严防泄密，并在项目结束后销毁所有相关数据，不得保留备份。</w:t>
      </w:r>
    </w:p>
    <w:p>
      <w:pPr>
        <w:widowControl/>
        <w:tabs>
          <w:tab w:val="left" w:pos="420"/>
        </w:tabs>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4、中标供应商不得将涉密数据在计算机互联网、政务网等非涉密网络上传输、登载。</w:t>
      </w:r>
    </w:p>
    <w:p>
      <w:pPr>
        <w:widowControl/>
        <w:tabs>
          <w:tab w:val="left" w:pos="420"/>
        </w:tabs>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5、中标供应商发生涉密数据外传、丢失、被盗或者造成泄密事故的，应采取有效措施，及时补救，并及时向采购人报告；造成的后果，由中标供应商承担所有责任。</w:t>
      </w:r>
    </w:p>
    <w:p>
      <w:pPr>
        <w:keepNext/>
        <w:keepLines/>
        <w:spacing w:before="260" w:after="260" w:line="360" w:lineRule="auto"/>
        <w:outlineLvl w:val="1"/>
        <w:rPr>
          <w:rFonts w:asciiTheme="minorEastAsia" w:hAnsiTheme="minorEastAsia" w:eastAsiaTheme="minorEastAsia"/>
          <w:b/>
          <w:bCs/>
          <w:szCs w:val="21"/>
          <w:lang w:val="zh-CN"/>
        </w:rPr>
      </w:pPr>
      <w:bookmarkStart w:id="47" w:name="_Toc28801127"/>
      <w:bookmarkStart w:id="48" w:name="_Toc536609794"/>
      <w:bookmarkStart w:id="49" w:name="_Toc32999842"/>
      <w:bookmarkStart w:id="50" w:name="_Toc26244"/>
      <w:r>
        <w:rPr>
          <w:rFonts w:hint="eastAsia" w:asciiTheme="minorEastAsia" w:hAnsiTheme="minorEastAsia" w:eastAsiaTheme="minorEastAsia"/>
          <w:b/>
          <w:bCs/>
          <w:szCs w:val="21"/>
          <w:lang w:val="zh-CN"/>
        </w:rPr>
        <w:t>九、解释权</w:t>
      </w:r>
      <w:bookmarkEnd w:id="47"/>
      <w:bookmarkEnd w:id="48"/>
      <w:bookmarkEnd w:id="49"/>
      <w:bookmarkEnd w:id="50"/>
    </w:p>
    <w:p>
      <w:pPr>
        <w:widowControl/>
        <w:tabs>
          <w:tab w:val="left" w:pos="420"/>
        </w:tabs>
        <w:spacing w:line="360" w:lineRule="auto"/>
        <w:ind w:firstLine="420" w:firstLineChars="200"/>
        <w:rPr>
          <w:rFonts w:asciiTheme="minorEastAsia" w:hAnsiTheme="minorEastAsia" w:eastAsiaTheme="minorEastAsia"/>
          <w:szCs w:val="21"/>
        </w:rPr>
      </w:pPr>
      <w:r>
        <w:rPr>
          <w:rFonts w:hint="eastAsia" w:cs="仿宋_GB2312" w:asciiTheme="minorEastAsia" w:hAnsiTheme="minorEastAsia" w:eastAsiaTheme="minorEastAsia"/>
          <w:szCs w:val="21"/>
        </w:rPr>
        <w:t>本用户需求书解释权归广州市地质调查院所有。</w:t>
      </w:r>
    </w:p>
    <w:p>
      <w:pPr>
        <w:widowControl/>
        <w:tabs>
          <w:tab w:val="left" w:pos="420"/>
        </w:tabs>
        <w:spacing w:line="360" w:lineRule="auto"/>
        <w:ind w:firstLine="422" w:firstLineChars="200"/>
        <w:rPr>
          <w:rFonts w:cs="仿宋_GB2312" w:asciiTheme="minorEastAsia" w:hAnsiTheme="minorEastAsia" w:eastAsiaTheme="minorEastAsia"/>
          <w:b/>
          <w:bCs/>
          <w:szCs w:val="21"/>
        </w:rPr>
      </w:pPr>
    </w:p>
    <w:p>
      <w:pPr>
        <w:widowControl/>
        <w:tabs>
          <w:tab w:val="left" w:pos="420"/>
        </w:tabs>
        <w:spacing w:line="560" w:lineRule="exact"/>
        <w:ind w:firstLine="422" w:firstLineChars="200"/>
        <w:rPr>
          <w:rFonts w:cs="仿宋_GB2312" w:asciiTheme="minorEastAsia" w:hAnsiTheme="minorEastAsia" w:eastAsiaTheme="minorEastAsia"/>
          <w:b/>
          <w:bCs/>
          <w:szCs w:val="21"/>
        </w:rPr>
      </w:pPr>
    </w:p>
    <w:p>
      <w:pPr>
        <w:widowControl/>
        <w:tabs>
          <w:tab w:val="left" w:pos="420"/>
        </w:tabs>
        <w:spacing w:line="560" w:lineRule="exact"/>
        <w:ind w:firstLine="643" w:firstLineChars="200"/>
        <w:rPr>
          <w:rFonts w:ascii="仿宋_GB2312" w:hAnsi="仿宋_GB2312" w:eastAsia="仿宋_GB2312" w:cs="仿宋_GB2312"/>
          <w:b/>
          <w:bCs/>
          <w:sz w:val="32"/>
          <w:szCs w:val="32"/>
        </w:rPr>
      </w:pPr>
    </w:p>
    <w:p>
      <w:pPr>
        <w:spacing w:before="156" w:beforeLines="50" w:after="156" w:afterLines="50" w:line="360" w:lineRule="auto"/>
        <w:jc w:val="center"/>
        <w:outlineLvl w:val="0"/>
        <w:rPr>
          <w:rFonts w:ascii="宋体" w:hAnsi="宋体"/>
          <w:b/>
          <w:bCs/>
          <w:sz w:val="28"/>
          <w:szCs w:val="28"/>
        </w:rPr>
      </w:pPr>
      <w:r>
        <w:rPr>
          <w:rFonts w:hint="eastAsia" w:ascii="宋体" w:hAnsi="宋体"/>
          <w:b/>
          <w:bCs/>
          <w:sz w:val="28"/>
          <w:szCs w:val="28"/>
        </w:rPr>
        <w:br w:type="page"/>
      </w:r>
    </w:p>
    <w:p>
      <w:pPr>
        <w:spacing w:before="156" w:beforeLines="50" w:after="156" w:afterLines="50" w:line="360" w:lineRule="auto"/>
        <w:jc w:val="center"/>
        <w:outlineLvl w:val="0"/>
        <w:rPr>
          <w:rFonts w:ascii="宋体" w:hAnsi="宋体"/>
          <w:b/>
          <w:bCs/>
          <w:sz w:val="28"/>
          <w:szCs w:val="28"/>
        </w:rPr>
      </w:pPr>
      <w:bookmarkStart w:id="51" w:name="_Toc12788"/>
      <w:r>
        <w:rPr>
          <w:rFonts w:hint="eastAsia" w:ascii="宋体" w:hAnsi="宋体"/>
          <w:b/>
          <w:bCs/>
          <w:sz w:val="28"/>
          <w:szCs w:val="28"/>
        </w:rPr>
        <w:t>第五章</w:t>
      </w:r>
      <w:bookmarkStart w:id="52" w:name="_Toc435109307"/>
      <w:r>
        <w:rPr>
          <w:rFonts w:hint="eastAsia" w:ascii="宋体" w:hAnsi="宋体"/>
          <w:b/>
          <w:bCs/>
          <w:sz w:val="28"/>
          <w:szCs w:val="28"/>
        </w:rPr>
        <w:t xml:space="preserve">  合同通用条款</w:t>
      </w:r>
      <w:bookmarkEnd w:id="51"/>
      <w:bookmarkEnd w:id="52"/>
      <w:r>
        <w:rPr>
          <w:rFonts w:hint="eastAsia" w:ascii="宋体" w:hAnsi="宋体"/>
          <w:b/>
          <w:bCs/>
          <w:sz w:val="28"/>
          <w:szCs w:val="28"/>
        </w:rPr>
        <w:t>（参考）</w:t>
      </w:r>
    </w:p>
    <w:p>
      <w:pPr>
        <w:spacing w:before="156" w:beforeLines="50" w:after="156" w:afterLines="50" w:line="360" w:lineRule="auto"/>
        <w:jc w:val="center"/>
        <w:outlineLvl w:val="0"/>
        <w:rPr>
          <w:rFonts w:ascii="宋体" w:hAnsi="宋体"/>
          <w:b/>
          <w:bCs/>
          <w:sz w:val="24"/>
        </w:rPr>
      </w:pPr>
      <w:r>
        <w:rPr>
          <w:rFonts w:ascii="宋体" w:hAnsi="宋体"/>
          <w:b/>
          <w:bCs/>
          <w:sz w:val="24"/>
        </w:rPr>
        <w:t>（本合同条款仅供参考，最终合同条款以招标文件要求及采购人要求的条款为准）</w:t>
      </w:r>
    </w:p>
    <w:p>
      <w:pPr>
        <w:rPr>
          <w:rFonts w:ascii="宋体" w:hAnsi="宋体"/>
          <w:szCs w:val="21"/>
        </w:rPr>
      </w:pPr>
      <w:r>
        <w:rPr>
          <w:rFonts w:hint="eastAsia" w:ascii="宋体" w:hAnsi="宋体"/>
          <w:b/>
          <w:bCs/>
          <w:szCs w:val="21"/>
        </w:rPr>
        <w:t>甲 方</w:t>
      </w:r>
      <w:r>
        <w:rPr>
          <w:rFonts w:hint="eastAsia" w:ascii="宋体" w:hAnsi="宋体"/>
          <w:szCs w:val="21"/>
        </w:rPr>
        <w:t>（采购人）：</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rPr>
      </w:pPr>
      <w:r>
        <w:rPr>
          <w:rFonts w:hint="eastAsia" w:ascii="宋体" w:hAnsi="宋体"/>
          <w:szCs w:val="21"/>
        </w:rPr>
        <w:t xml:space="preserve">电 话：                       传 真：                   地 址： </w:t>
      </w:r>
    </w:p>
    <w:p>
      <w:pPr>
        <w:rPr>
          <w:rFonts w:ascii="宋体" w:hAnsi="宋体"/>
          <w:szCs w:val="21"/>
        </w:rPr>
      </w:pPr>
      <w:r>
        <w:rPr>
          <w:rFonts w:hint="eastAsia" w:ascii="宋体" w:hAnsi="宋体"/>
          <w:b/>
          <w:bCs/>
          <w:szCs w:val="21"/>
        </w:rPr>
        <w:t>乙 方</w:t>
      </w:r>
      <w:r>
        <w:rPr>
          <w:rFonts w:hint="eastAsia" w:ascii="宋体" w:hAnsi="宋体"/>
          <w:szCs w:val="21"/>
        </w:rPr>
        <w:t>（中标供应商）：</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rPr>
      </w:pPr>
      <w:r>
        <w:rPr>
          <w:rFonts w:hint="eastAsia" w:ascii="宋体" w:hAnsi="宋体"/>
          <w:szCs w:val="21"/>
        </w:rPr>
        <w:t xml:space="preserve">电 话：                       传 真：                   地 址： </w:t>
      </w:r>
    </w:p>
    <w:p>
      <w:pPr>
        <w:rPr>
          <w:rFonts w:ascii="宋体" w:hAnsi="宋体"/>
          <w:szCs w:val="21"/>
        </w:rPr>
      </w:pPr>
      <w:r>
        <w:rPr>
          <w:rFonts w:hint="eastAsia" w:ascii="宋体" w:hAnsi="宋体"/>
          <w:szCs w:val="21"/>
        </w:rPr>
        <w:t xml:space="preserve">项目名称：                                              项目编号： </w:t>
      </w:r>
    </w:p>
    <w:p>
      <w:pPr>
        <w:rPr>
          <w:rFonts w:ascii="宋体" w:hAnsi="宋体"/>
          <w:szCs w:val="21"/>
        </w:rPr>
      </w:pPr>
      <w:r>
        <w:rPr>
          <w:rFonts w:hint="eastAsia" w:ascii="宋体" w:hAnsi="宋体"/>
          <w:szCs w:val="21"/>
        </w:rPr>
        <w:t xml:space="preserve">    根据</w:t>
      </w:r>
      <w:r>
        <w:rPr>
          <w:rFonts w:hint="eastAsia" w:ascii="宋体" w:hAnsi="宋体"/>
          <w:szCs w:val="21"/>
          <w:u w:val="single"/>
        </w:rPr>
        <w:t xml:space="preserve">             </w:t>
      </w:r>
      <w:r>
        <w:rPr>
          <w:rFonts w:hint="eastAsia" w:ascii="宋体" w:hAnsi="宋体"/>
          <w:szCs w:val="21"/>
        </w:rPr>
        <w:t xml:space="preserve">项目的采购结果，按照《中华人民共和国政府采购法》及其实施条例、《中华人民共和国民法典》的规定，经双方协商，本着平等互利和诚实信用的原则，一致同意签订本合同如下。 </w:t>
      </w:r>
    </w:p>
    <w:p>
      <w:pPr>
        <w:rPr>
          <w:rFonts w:ascii="宋体" w:hAnsi="宋体"/>
          <w:szCs w:val="21"/>
        </w:rPr>
      </w:pPr>
    </w:p>
    <w:p>
      <w:pPr>
        <w:rPr>
          <w:rFonts w:ascii="宋体" w:hAnsi="宋体"/>
          <w:szCs w:val="21"/>
        </w:rPr>
      </w:pPr>
      <w:r>
        <w:rPr>
          <w:rFonts w:hint="eastAsia" w:ascii="宋体" w:hAnsi="宋体"/>
          <w:b/>
          <w:bCs/>
          <w:szCs w:val="21"/>
        </w:rPr>
        <w:t>一、 合同金额</w:t>
      </w:r>
      <w:r>
        <w:rPr>
          <w:rFonts w:hint="eastAsia" w:ascii="宋体" w:hAnsi="宋体"/>
          <w:szCs w:val="21"/>
        </w:rPr>
        <w:t xml:space="preserve"> </w:t>
      </w:r>
    </w:p>
    <w:p>
      <w:pPr>
        <w:rPr>
          <w:rFonts w:ascii="宋体" w:hAnsi="宋体"/>
          <w:szCs w:val="21"/>
        </w:rPr>
      </w:pPr>
      <w:r>
        <w:rPr>
          <w:rFonts w:hint="eastAsia" w:ascii="宋体" w:hAnsi="宋体"/>
          <w:szCs w:val="21"/>
        </w:rPr>
        <w:t xml:space="preserve">合同金额为（大写）：_________________元（￥_______________元）。 </w:t>
      </w:r>
    </w:p>
    <w:p>
      <w:pPr>
        <w:rPr>
          <w:rFonts w:ascii="宋体" w:hAnsi="宋体"/>
          <w:szCs w:val="21"/>
        </w:rPr>
      </w:pPr>
    </w:p>
    <w:p>
      <w:pPr>
        <w:rPr>
          <w:rFonts w:ascii="宋体" w:hAnsi="宋体"/>
          <w:b/>
          <w:bCs/>
          <w:szCs w:val="21"/>
        </w:rPr>
      </w:pPr>
      <w:r>
        <w:rPr>
          <w:rFonts w:hint="eastAsia" w:ascii="宋体" w:hAnsi="宋体"/>
          <w:b/>
          <w:bCs/>
          <w:szCs w:val="21"/>
        </w:rPr>
        <w:t xml:space="preserve">二、 合同内容 </w:t>
      </w:r>
    </w:p>
    <w:p>
      <w:pPr>
        <w:ind w:firstLine="420" w:firstLineChars="200"/>
        <w:rPr>
          <w:rFonts w:ascii="宋体" w:hAnsi="宋体"/>
          <w:szCs w:val="21"/>
        </w:rPr>
      </w:pPr>
      <w:r>
        <w:rPr>
          <w:rFonts w:hint="eastAsia" w:ascii="宋体" w:hAnsi="宋体"/>
          <w:szCs w:val="21"/>
        </w:rPr>
        <w:t>中标供应商按招标文件规定的技术规格标准生产制作采购人所需的货物，并按采购人要求的运输方式准时交货于指定地点。中标供应商保证合同所需的货物的原材料由生产企业供货，确保其质量合格，并按招标文件的要求提供技术服务和售后服务，采购人接受中标供应商所提交的货物并按时支付货款。</w:t>
      </w:r>
    </w:p>
    <w:p>
      <w:pPr>
        <w:pStyle w:val="2"/>
        <w:rPr>
          <w:rFonts w:ascii="宋体" w:hAnsi="宋体" w:eastAsia="宋体"/>
          <w:b w:val="0"/>
          <w:bCs w:val="0"/>
          <w:sz w:val="21"/>
          <w:szCs w:val="21"/>
        </w:rPr>
      </w:pPr>
      <w:r>
        <w:rPr>
          <w:rFonts w:hint="eastAsia" w:ascii="宋体" w:hAnsi="宋体" w:eastAsia="宋体"/>
          <w:b w:val="0"/>
          <w:bCs w:val="0"/>
          <w:sz w:val="21"/>
          <w:szCs w:val="21"/>
        </w:rPr>
        <w:t>（一）采购清单</w:t>
      </w:r>
    </w:p>
    <w:tbl>
      <w:tblPr>
        <w:tblStyle w:val="39"/>
        <w:tblW w:w="4997" w:type="pct"/>
        <w:tblInd w:w="0" w:type="dxa"/>
        <w:tblLayout w:type="autofit"/>
        <w:tblCellMar>
          <w:top w:w="0" w:type="dxa"/>
          <w:left w:w="0" w:type="dxa"/>
          <w:bottom w:w="0" w:type="dxa"/>
          <w:right w:w="0" w:type="dxa"/>
        </w:tblCellMar>
      </w:tblPr>
      <w:tblGrid>
        <w:gridCol w:w="1801"/>
        <w:gridCol w:w="1550"/>
        <w:gridCol w:w="1158"/>
        <w:gridCol w:w="1264"/>
        <w:gridCol w:w="1658"/>
        <w:gridCol w:w="1406"/>
        <w:gridCol w:w="913"/>
      </w:tblGrid>
      <w:tr>
        <w:tblPrEx>
          <w:tblCellMar>
            <w:top w:w="0" w:type="dxa"/>
            <w:left w:w="0" w:type="dxa"/>
            <w:bottom w:w="0" w:type="dxa"/>
            <w:right w:w="0" w:type="dxa"/>
          </w:tblCellMar>
        </w:tblPrEx>
        <w:trPr>
          <w:trHeight w:val="452" w:hRule="exact"/>
        </w:trPr>
        <w:tc>
          <w:tcPr>
            <w:tcW w:w="924" w:type="pct"/>
            <w:tcBorders>
              <w:top w:val="single" w:color="000000" w:sz="6" w:space="0"/>
              <w:left w:val="single" w:color="000000" w:sz="4" w:space="0"/>
              <w:bottom w:val="single" w:color="000000" w:sz="6" w:space="0"/>
              <w:right w:val="single" w:color="000000" w:sz="4" w:space="0"/>
            </w:tcBorders>
          </w:tcPr>
          <w:p>
            <w:pPr>
              <w:pStyle w:val="38"/>
              <w:spacing w:before="71"/>
              <w:ind w:left="567"/>
              <w:rPr>
                <w:rFonts w:ascii="宋体" w:hAnsi="宋体" w:cs="宋体"/>
                <w:sz w:val="24"/>
              </w:rPr>
            </w:pPr>
            <w:r>
              <w:rPr>
                <w:rFonts w:ascii="宋体" w:hAnsi="宋体" w:cs="宋体"/>
                <w:sz w:val="24"/>
              </w:rPr>
              <w:t xml:space="preserve">品名 </w:t>
            </w:r>
          </w:p>
        </w:tc>
        <w:tc>
          <w:tcPr>
            <w:tcW w:w="795" w:type="pct"/>
            <w:tcBorders>
              <w:top w:val="single" w:color="000000" w:sz="6" w:space="0"/>
              <w:left w:val="single" w:color="000000" w:sz="4" w:space="0"/>
              <w:bottom w:val="single" w:color="000000" w:sz="6" w:space="0"/>
              <w:right w:val="single" w:color="000000" w:sz="4" w:space="0"/>
            </w:tcBorders>
          </w:tcPr>
          <w:p>
            <w:pPr>
              <w:pStyle w:val="38"/>
              <w:spacing w:before="71"/>
              <w:ind w:left="458"/>
              <w:rPr>
                <w:rFonts w:ascii="宋体" w:hAnsi="宋体" w:cs="宋体"/>
                <w:sz w:val="24"/>
              </w:rPr>
            </w:pPr>
            <w:r>
              <w:rPr>
                <w:rFonts w:ascii="宋体" w:hAnsi="宋体" w:cs="宋体"/>
                <w:sz w:val="24"/>
              </w:rPr>
              <w:t xml:space="preserve">单位 </w:t>
            </w:r>
          </w:p>
        </w:tc>
        <w:tc>
          <w:tcPr>
            <w:tcW w:w="594" w:type="pct"/>
            <w:tcBorders>
              <w:top w:val="single" w:color="000000" w:sz="6" w:space="0"/>
              <w:left w:val="single" w:color="000000" w:sz="4" w:space="0"/>
              <w:bottom w:val="single" w:color="000000" w:sz="6" w:space="0"/>
              <w:right w:val="single" w:color="000000" w:sz="4" w:space="0"/>
            </w:tcBorders>
          </w:tcPr>
          <w:p>
            <w:pPr>
              <w:pStyle w:val="38"/>
              <w:spacing w:before="71"/>
              <w:ind w:left="282"/>
              <w:rPr>
                <w:rFonts w:ascii="宋体" w:hAnsi="宋体" w:cs="宋体"/>
                <w:sz w:val="24"/>
              </w:rPr>
            </w:pPr>
            <w:r>
              <w:rPr>
                <w:rFonts w:ascii="宋体" w:hAnsi="宋体" w:cs="宋体"/>
                <w:sz w:val="24"/>
              </w:rPr>
              <w:t xml:space="preserve">数量 </w:t>
            </w:r>
          </w:p>
        </w:tc>
        <w:tc>
          <w:tcPr>
            <w:tcW w:w="648" w:type="pct"/>
            <w:tcBorders>
              <w:top w:val="single" w:color="000000" w:sz="6" w:space="0"/>
              <w:left w:val="single" w:color="000000" w:sz="4" w:space="0"/>
              <w:bottom w:val="single" w:color="000000" w:sz="6" w:space="0"/>
              <w:right w:val="single" w:color="000000" w:sz="4" w:space="0"/>
            </w:tcBorders>
          </w:tcPr>
          <w:p>
            <w:pPr>
              <w:pStyle w:val="38"/>
              <w:spacing w:before="71"/>
              <w:ind w:left="327"/>
              <w:rPr>
                <w:rFonts w:ascii="宋体" w:hAnsi="宋体" w:cs="宋体"/>
                <w:sz w:val="24"/>
              </w:rPr>
            </w:pPr>
            <w:r>
              <w:rPr>
                <w:rFonts w:ascii="宋体" w:hAnsi="宋体" w:cs="宋体"/>
                <w:sz w:val="24"/>
              </w:rPr>
              <w:t xml:space="preserve">单价 </w:t>
            </w:r>
          </w:p>
        </w:tc>
        <w:tc>
          <w:tcPr>
            <w:tcW w:w="850" w:type="pct"/>
            <w:tcBorders>
              <w:top w:val="single" w:color="000000" w:sz="6" w:space="0"/>
              <w:left w:val="single" w:color="000000" w:sz="4" w:space="0"/>
              <w:bottom w:val="single" w:color="000000" w:sz="6" w:space="0"/>
              <w:right w:val="single" w:color="000000" w:sz="4" w:space="0"/>
            </w:tcBorders>
          </w:tcPr>
          <w:p>
            <w:pPr>
              <w:pStyle w:val="38"/>
              <w:spacing w:before="71"/>
              <w:ind w:left="263"/>
              <w:rPr>
                <w:rFonts w:ascii="宋体" w:hAnsi="宋体" w:cs="宋体"/>
                <w:sz w:val="24"/>
              </w:rPr>
            </w:pPr>
            <w:r>
              <w:rPr>
                <w:rFonts w:ascii="宋体" w:hAnsi="宋体" w:cs="宋体"/>
                <w:sz w:val="24"/>
              </w:rPr>
              <w:t xml:space="preserve">规格型号 </w:t>
            </w:r>
          </w:p>
        </w:tc>
        <w:tc>
          <w:tcPr>
            <w:tcW w:w="721" w:type="pct"/>
            <w:tcBorders>
              <w:top w:val="single" w:color="000000" w:sz="6" w:space="0"/>
              <w:left w:val="single" w:color="000000" w:sz="4" w:space="0"/>
              <w:bottom w:val="single" w:color="000000" w:sz="6" w:space="0"/>
              <w:right w:val="single" w:color="000000" w:sz="4" w:space="0"/>
            </w:tcBorders>
          </w:tcPr>
          <w:p>
            <w:pPr>
              <w:pStyle w:val="38"/>
              <w:spacing w:before="71"/>
              <w:ind w:left="391"/>
              <w:rPr>
                <w:rFonts w:ascii="宋体" w:hAnsi="宋体" w:cs="宋体"/>
                <w:sz w:val="24"/>
              </w:rPr>
            </w:pPr>
            <w:r>
              <w:rPr>
                <w:rFonts w:ascii="宋体" w:hAnsi="宋体" w:cs="宋体"/>
                <w:sz w:val="24"/>
              </w:rPr>
              <w:t xml:space="preserve">金额 </w:t>
            </w:r>
          </w:p>
        </w:tc>
        <w:tc>
          <w:tcPr>
            <w:tcW w:w="468" w:type="pct"/>
            <w:tcBorders>
              <w:top w:val="single" w:color="000000" w:sz="6" w:space="0"/>
              <w:left w:val="single" w:color="000000" w:sz="4" w:space="0"/>
              <w:bottom w:val="single" w:color="000000" w:sz="6" w:space="0"/>
              <w:right w:val="single" w:color="000000" w:sz="4" w:space="0"/>
            </w:tcBorders>
          </w:tcPr>
          <w:p>
            <w:pPr>
              <w:pStyle w:val="38"/>
              <w:spacing w:before="71"/>
              <w:ind w:left="171"/>
              <w:rPr>
                <w:rFonts w:ascii="宋体" w:hAnsi="宋体" w:cs="宋体"/>
                <w:sz w:val="24"/>
              </w:rPr>
            </w:pPr>
            <w:r>
              <w:rPr>
                <w:rFonts w:ascii="宋体" w:hAnsi="宋体" w:cs="宋体"/>
                <w:sz w:val="24"/>
              </w:rPr>
              <w:t xml:space="preserve">备注 </w:t>
            </w:r>
          </w:p>
        </w:tc>
      </w:tr>
      <w:tr>
        <w:tblPrEx>
          <w:tblCellMar>
            <w:top w:w="0" w:type="dxa"/>
            <w:left w:w="0" w:type="dxa"/>
            <w:bottom w:w="0" w:type="dxa"/>
            <w:right w:w="0" w:type="dxa"/>
          </w:tblCellMar>
        </w:tblPrEx>
        <w:trPr>
          <w:trHeight w:val="448" w:hRule="exact"/>
        </w:trPr>
        <w:tc>
          <w:tcPr>
            <w:tcW w:w="92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地质灾害视频监控系统</w:t>
            </w:r>
          </w:p>
        </w:tc>
        <w:tc>
          <w:tcPr>
            <w:tcW w:w="795"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59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88</w:t>
            </w:r>
          </w:p>
        </w:tc>
        <w:tc>
          <w:tcPr>
            <w:tcW w:w="648"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hAnsi="宋体" w:cs="宋体"/>
                <w:sz w:val="24"/>
              </w:rPr>
            </w:pPr>
            <w:r>
              <w:rPr>
                <w:rFonts w:ascii="宋体"/>
                <w:sz w:val="24"/>
              </w:rPr>
              <w:t xml:space="preserve"> </w:t>
            </w:r>
          </w:p>
        </w:tc>
        <w:tc>
          <w:tcPr>
            <w:tcW w:w="850" w:type="pct"/>
            <w:tcBorders>
              <w:top w:val="single" w:color="000000" w:sz="6" w:space="0"/>
              <w:left w:val="single" w:color="000000" w:sz="4" w:space="0"/>
              <w:bottom w:val="single" w:color="000000" w:sz="6" w:space="0"/>
              <w:right w:val="single" w:color="000000" w:sz="4" w:space="0"/>
            </w:tcBorders>
          </w:tcPr>
          <w:p>
            <w:pPr>
              <w:pStyle w:val="38"/>
              <w:spacing w:before="66"/>
              <w:ind w:left="116"/>
              <w:jc w:val="center"/>
              <w:rPr>
                <w:rFonts w:ascii="宋体" w:hAnsi="宋体" w:cs="宋体"/>
                <w:sz w:val="24"/>
              </w:rPr>
            </w:pPr>
            <w:r>
              <w:rPr>
                <w:rFonts w:ascii="宋体"/>
                <w:sz w:val="24"/>
              </w:rPr>
              <w:t xml:space="preserve"> </w:t>
            </w:r>
          </w:p>
        </w:tc>
        <w:tc>
          <w:tcPr>
            <w:tcW w:w="721"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hAnsi="宋体" w:cs="宋体"/>
                <w:sz w:val="24"/>
              </w:rPr>
            </w:pPr>
            <w:r>
              <w:rPr>
                <w:rFonts w:ascii="宋体"/>
                <w:sz w:val="24"/>
              </w:rPr>
              <w:t xml:space="preserve"> </w:t>
            </w:r>
          </w:p>
        </w:tc>
        <w:tc>
          <w:tcPr>
            <w:tcW w:w="468" w:type="pct"/>
            <w:tcBorders>
              <w:top w:val="single" w:color="000000" w:sz="6" w:space="0"/>
              <w:left w:val="single" w:color="000000" w:sz="4" w:space="0"/>
              <w:bottom w:val="single" w:color="000000" w:sz="6" w:space="0"/>
              <w:right w:val="single" w:color="000000" w:sz="4" w:space="0"/>
            </w:tcBorders>
          </w:tcPr>
          <w:p>
            <w:pPr>
              <w:pStyle w:val="38"/>
              <w:spacing w:before="66"/>
              <w:ind w:left="123"/>
              <w:jc w:val="center"/>
              <w:rPr>
                <w:rFonts w:ascii="宋体" w:hAnsi="宋体" w:cs="宋体"/>
                <w:sz w:val="24"/>
              </w:rPr>
            </w:pPr>
            <w:r>
              <w:rPr>
                <w:rFonts w:ascii="宋体"/>
                <w:sz w:val="24"/>
              </w:rPr>
              <w:t xml:space="preserve"> </w:t>
            </w:r>
          </w:p>
        </w:tc>
      </w:tr>
      <w:tr>
        <w:tblPrEx>
          <w:tblCellMar>
            <w:top w:w="0" w:type="dxa"/>
            <w:left w:w="0" w:type="dxa"/>
            <w:bottom w:w="0" w:type="dxa"/>
            <w:right w:w="0" w:type="dxa"/>
          </w:tblCellMar>
        </w:tblPrEx>
        <w:trPr>
          <w:trHeight w:val="448" w:hRule="exact"/>
        </w:trPr>
        <w:tc>
          <w:tcPr>
            <w:tcW w:w="92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asciiTheme="minorEastAsia" w:hAnsiTheme="minorEastAsia" w:eastAsiaTheme="minorEastAsia"/>
                <w:kern w:val="0"/>
                <w:szCs w:val="21"/>
              </w:rPr>
              <w:t>GNSS</w:t>
            </w:r>
            <w:r>
              <w:rPr>
                <w:rFonts w:hint="eastAsia" w:asciiTheme="minorEastAsia" w:hAnsiTheme="minorEastAsia" w:eastAsiaTheme="minorEastAsia"/>
                <w:kern w:val="0"/>
                <w:szCs w:val="21"/>
              </w:rPr>
              <w:t>表面位移监测站</w:t>
            </w:r>
            <w:r>
              <w:rPr>
                <w:rFonts w:asciiTheme="minorEastAsia" w:hAnsiTheme="minorEastAsia" w:eastAsiaTheme="minorEastAsia"/>
                <w:kern w:val="0"/>
                <w:szCs w:val="21"/>
              </w:rPr>
              <w:t>/</w:t>
            </w:r>
            <w:r>
              <w:rPr>
                <w:rFonts w:hint="eastAsia" w:asciiTheme="minorEastAsia" w:hAnsiTheme="minorEastAsia" w:eastAsiaTheme="minorEastAsia"/>
                <w:kern w:val="0"/>
                <w:szCs w:val="21"/>
              </w:rPr>
              <w:t>基准站</w:t>
            </w:r>
          </w:p>
        </w:tc>
        <w:tc>
          <w:tcPr>
            <w:tcW w:w="795"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59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124</w:t>
            </w:r>
          </w:p>
        </w:tc>
        <w:tc>
          <w:tcPr>
            <w:tcW w:w="648"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850" w:type="pct"/>
            <w:tcBorders>
              <w:top w:val="single" w:color="000000" w:sz="6" w:space="0"/>
              <w:left w:val="single" w:color="000000" w:sz="4" w:space="0"/>
              <w:bottom w:val="single" w:color="000000" w:sz="6" w:space="0"/>
              <w:right w:val="single" w:color="000000" w:sz="4" w:space="0"/>
            </w:tcBorders>
          </w:tcPr>
          <w:p>
            <w:pPr>
              <w:pStyle w:val="38"/>
              <w:spacing w:before="66"/>
              <w:ind w:left="116"/>
              <w:jc w:val="center"/>
              <w:rPr>
                <w:rFonts w:ascii="宋体"/>
                <w:sz w:val="24"/>
              </w:rPr>
            </w:pPr>
          </w:p>
        </w:tc>
        <w:tc>
          <w:tcPr>
            <w:tcW w:w="721"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468" w:type="pct"/>
            <w:tcBorders>
              <w:top w:val="single" w:color="000000" w:sz="6" w:space="0"/>
              <w:left w:val="single" w:color="000000" w:sz="4" w:space="0"/>
              <w:bottom w:val="single" w:color="000000" w:sz="6" w:space="0"/>
              <w:right w:val="single" w:color="000000" w:sz="4" w:space="0"/>
            </w:tcBorders>
          </w:tcPr>
          <w:p>
            <w:pPr>
              <w:pStyle w:val="38"/>
              <w:spacing w:before="66"/>
              <w:ind w:left="123"/>
              <w:jc w:val="center"/>
              <w:rPr>
                <w:rFonts w:ascii="宋体"/>
                <w:sz w:val="24"/>
              </w:rPr>
            </w:pPr>
          </w:p>
        </w:tc>
      </w:tr>
      <w:tr>
        <w:tblPrEx>
          <w:tblCellMar>
            <w:top w:w="0" w:type="dxa"/>
            <w:left w:w="0" w:type="dxa"/>
            <w:bottom w:w="0" w:type="dxa"/>
            <w:right w:w="0" w:type="dxa"/>
          </w:tblCellMar>
        </w:tblPrEx>
        <w:trPr>
          <w:trHeight w:val="448" w:hRule="exact"/>
        </w:trPr>
        <w:tc>
          <w:tcPr>
            <w:tcW w:w="92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深部位移监测站</w:t>
            </w:r>
          </w:p>
        </w:tc>
        <w:tc>
          <w:tcPr>
            <w:tcW w:w="795"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59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42</w:t>
            </w:r>
          </w:p>
        </w:tc>
        <w:tc>
          <w:tcPr>
            <w:tcW w:w="648"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850" w:type="pct"/>
            <w:tcBorders>
              <w:top w:val="single" w:color="000000" w:sz="6" w:space="0"/>
              <w:left w:val="single" w:color="000000" w:sz="4" w:space="0"/>
              <w:bottom w:val="single" w:color="000000" w:sz="6" w:space="0"/>
              <w:right w:val="single" w:color="000000" w:sz="4" w:space="0"/>
            </w:tcBorders>
          </w:tcPr>
          <w:p>
            <w:pPr>
              <w:pStyle w:val="38"/>
              <w:spacing w:before="66"/>
              <w:ind w:left="116"/>
              <w:jc w:val="center"/>
              <w:rPr>
                <w:rFonts w:ascii="宋体"/>
                <w:sz w:val="24"/>
              </w:rPr>
            </w:pPr>
          </w:p>
        </w:tc>
        <w:tc>
          <w:tcPr>
            <w:tcW w:w="721"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468" w:type="pct"/>
            <w:tcBorders>
              <w:top w:val="single" w:color="000000" w:sz="6" w:space="0"/>
              <w:left w:val="single" w:color="000000" w:sz="4" w:space="0"/>
              <w:bottom w:val="single" w:color="000000" w:sz="6" w:space="0"/>
              <w:right w:val="single" w:color="000000" w:sz="4" w:space="0"/>
            </w:tcBorders>
          </w:tcPr>
          <w:p>
            <w:pPr>
              <w:pStyle w:val="38"/>
              <w:spacing w:before="66"/>
              <w:ind w:left="123"/>
              <w:jc w:val="center"/>
              <w:rPr>
                <w:rFonts w:ascii="宋体"/>
                <w:sz w:val="24"/>
              </w:rPr>
            </w:pPr>
          </w:p>
        </w:tc>
      </w:tr>
      <w:tr>
        <w:tblPrEx>
          <w:tblCellMar>
            <w:top w:w="0" w:type="dxa"/>
            <w:left w:w="0" w:type="dxa"/>
            <w:bottom w:w="0" w:type="dxa"/>
            <w:right w:w="0" w:type="dxa"/>
          </w:tblCellMar>
        </w:tblPrEx>
        <w:trPr>
          <w:trHeight w:val="448" w:hRule="exact"/>
        </w:trPr>
        <w:tc>
          <w:tcPr>
            <w:tcW w:w="92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雨量监测站</w:t>
            </w:r>
          </w:p>
        </w:tc>
        <w:tc>
          <w:tcPr>
            <w:tcW w:w="795"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59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133</w:t>
            </w:r>
          </w:p>
        </w:tc>
        <w:tc>
          <w:tcPr>
            <w:tcW w:w="648"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850" w:type="pct"/>
            <w:tcBorders>
              <w:top w:val="single" w:color="000000" w:sz="6" w:space="0"/>
              <w:left w:val="single" w:color="000000" w:sz="4" w:space="0"/>
              <w:bottom w:val="single" w:color="000000" w:sz="6" w:space="0"/>
              <w:right w:val="single" w:color="000000" w:sz="4" w:space="0"/>
            </w:tcBorders>
          </w:tcPr>
          <w:p>
            <w:pPr>
              <w:pStyle w:val="38"/>
              <w:spacing w:before="66"/>
              <w:ind w:left="116"/>
              <w:jc w:val="center"/>
              <w:rPr>
                <w:rFonts w:ascii="宋体"/>
                <w:sz w:val="24"/>
              </w:rPr>
            </w:pPr>
          </w:p>
        </w:tc>
        <w:tc>
          <w:tcPr>
            <w:tcW w:w="721"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468" w:type="pct"/>
            <w:tcBorders>
              <w:top w:val="single" w:color="000000" w:sz="6" w:space="0"/>
              <w:left w:val="single" w:color="000000" w:sz="4" w:space="0"/>
              <w:bottom w:val="single" w:color="000000" w:sz="6" w:space="0"/>
              <w:right w:val="single" w:color="000000" w:sz="4" w:space="0"/>
            </w:tcBorders>
          </w:tcPr>
          <w:p>
            <w:pPr>
              <w:pStyle w:val="38"/>
              <w:spacing w:before="66"/>
              <w:ind w:left="123"/>
              <w:jc w:val="center"/>
              <w:rPr>
                <w:rFonts w:ascii="宋体"/>
                <w:sz w:val="24"/>
              </w:rPr>
            </w:pPr>
          </w:p>
        </w:tc>
      </w:tr>
      <w:tr>
        <w:tblPrEx>
          <w:tblCellMar>
            <w:top w:w="0" w:type="dxa"/>
            <w:left w:w="0" w:type="dxa"/>
            <w:bottom w:w="0" w:type="dxa"/>
            <w:right w:w="0" w:type="dxa"/>
          </w:tblCellMar>
        </w:tblPrEx>
        <w:trPr>
          <w:trHeight w:val="448" w:hRule="exact"/>
        </w:trPr>
        <w:tc>
          <w:tcPr>
            <w:tcW w:w="92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土壤含水率监测站</w:t>
            </w:r>
          </w:p>
        </w:tc>
        <w:tc>
          <w:tcPr>
            <w:tcW w:w="795"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59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135</w:t>
            </w:r>
          </w:p>
        </w:tc>
        <w:tc>
          <w:tcPr>
            <w:tcW w:w="648"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850" w:type="pct"/>
            <w:tcBorders>
              <w:top w:val="single" w:color="000000" w:sz="6" w:space="0"/>
              <w:left w:val="single" w:color="000000" w:sz="4" w:space="0"/>
              <w:bottom w:val="single" w:color="000000" w:sz="6" w:space="0"/>
              <w:right w:val="single" w:color="000000" w:sz="4" w:space="0"/>
            </w:tcBorders>
          </w:tcPr>
          <w:p>
            <w:pPr>
              <w:pStyle w:val="38"/>
              <w:spacing w:before="66"/>
              <w:ind w:left="116"/>
              <w:jc w:val="center"/>
              <w:rPr>
                <w:rFonts w:ascii="宋体"/>
                <w:sz w:val="24"/>
              </w:rPr>
            </w:pPr>
          </w:p>
        </w:tc>
        <w:tc>
          <w:tcPr>
            <w:tcW w:w="721"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468" w:type="pct"/>
            <w:tcBorders>
              <w:top w:val="single" w:color="000000" w:sz="6" w:space="0"/>
              <w:left w:val="single" w:color="000000" w:sz="4" w:space="0"/>
              <w:bottom w:val="single" w:color="000000" w:sz="6" w:space="0"/>
              <w:right w:val="single" w:color="000000" w:sz="4" w:space="0"/>
            </w:tcBorders>
          </w:tcPr>
          <w:p>
            <w:pPr>
              <w:pStyle w:val="38"/>
              <w:spacing w:before="66"/>
              <w:ind w:left="123"/>
              <w:jc w:val="center"/>
              <w:rPr>
                <w:rFonts w:ascii="宋体"/>
                <w:sz w:val="24"/>
              </w:rPr>
            </w:pPr>
          </w:p>
        </w:tc>
      </w:tr>
      <w:tr>
        <w:tblPrEx>
          <w:tblCellMar>
            <w:top w:w="0" w:type="dxa"/>
            <w:left w:w="0" w:type="dxa"/>
            <w:bottom w:w="0" w:type="dxa"/>
            <w:right w:w="0" w:type="dxa"/>
          </w:tblCellMar>
        </w:tblPrEx>
        <w:trPr>
          <w:trHeight w:val="448" w:hRule="exact"/>
        </w:trPr>
        <w:tc>
          <w:tcPr>
            <w:tcW w:w="92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裂缝监测站</w:t>
            </w:r>
          </w:p>
        </w:tc>
        <w:tc>
          <w:tcPr>
            <w:tcW w:w="795"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59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10</w:t>
            </w:r>
          </w:p>
        </w:tc>
        <w:tc>
          <w:tcPr>
            <w:tcW w:w="648"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850" w:type="pct"/>
            <w:tcBorders>
              <w:top w:val="single" w:color="000000" w:sz="6" w:space="0"/>
              <w:left w:val="single" w:color="000000" w:sz="4" w:space="0"/>
              <w:bottom w:val="single" w:color="000000" w:sz="6" w:space="0"/>
              <w:right w:val="single" w:color="000000" w:sz="4" w:space="0"/>
            </w:tcBorders>
          </w:tcPr>
          <w:p>
            <w:pPr>
              <w:pStyle w:val="38"/>
              <w:spacing w:before="66"/>
              <w:ind w:left="116"/>
              <w:jc w:val="center"/>
              <w:rPr>
                <w:rFonts w:ascii="宋体"/>
                <w:sz w:val="24"/>
              </w:rPr>
            </w:pPr>
          </w:p>
        </w:tc>
        <w:tc>
          <w:tcPr>
            <w:tcW w:w="721"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468" w:type="pct"/>
            <w:tcBorders>
              <w:top w:val="single" w:color="000000" w:sz="6" w:space="0"/>
              <w:left w:val="single" w:color="000000" w:sz="4" w:space="0"/>
              <w:bottom w:val="single" w:color="000000" w:sz="6" w:space="0"/>
              <w:right w:val="single" w:color="000000" w:sz="4" w:space="0"/>
            </w:tcBorders>
          </w:tcPr>
          <w:p>
            <w:pPr>
              <w:pStyle w:val="38"/>
              <w:spacing w:before="66"/>
              <w:ind w:left="123"/>
              <w:jc w:val="center"/>
              <w:rPr>
                <w:rFonts w:ascii="宋体"/>
                <w:sz w:val="24"/>
              </w:rPr>
            </w:pPr>
          </w:p>
        </w:tc>
      </w:tr>
      <w:tr>
        <w:tblPrEx>
          <w:tblCellMar>
            <w:top w:w="0" w:type="dxa"/>
            <w:left w:w="0" w:type="dxa"/>
            <w:bottom w:w="0" w:type="dxa"/>
            <w:right w:w="0" w:type="dxa"/>
          </w:tblCellMar>
        </w:tblPrEx>
        <w:trPr>
          <w:trHeight w:val="448" w:hRule="exact"/>
        </w:trPr>
        <w:tc>
          <w:tcPr>
            <w:tcW w:w="92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倾角监测站</w:t>
            </w:r>
          </w:p>
        </w:tc>
        <w:tc>
          <w:tcPr>
            <w:tcW w:w="795"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59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245</w:t>
            </w:r>
          </w:p>
        </w:tc>
        <w:tc>
          <w:tcPr>
            <w:tcW w:w="648"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850" w:type="pct"/>
            <w:tcBorders>
              <w:top w:val="single" w:color="000000" w:sz="6" w:space="0"/>
              <w:left w:val="single" w:color="000000" w:sz="4" w:space="0"/>
              <w:bottom w:val="single" w:color="000000" w:sz="6" w:space="0"/>
              <w:right w:val="single" w:color="000000" w:sz="4" w:space="0"/>
            </w:tcBorders>
          </w:tcPr>
          <w:p>
            <w:pPr>
              <w:pStyle w:val="38"/>
              <w:spacing w:before="66"/>
              <w:ind w:left="116"/>
              <w:jc w:val="center"/>
              <w:rPr>
                <w:rFonts w:ascii="宋体"/>
                <w:sz w:val="24"/>
              </w:rPr>
            </w:pPr>
          </w:p>
        </w:tc>
        <w:tc>
          <w:tcPr>
            <w:tcW w:w="721"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468" w:type="pct"/>
            <w:tcBorders>
              <w:top w:val="single" w:color="000000" w:sz="6" w:space="0"/>
              <w:left w:val="single" w:color="000000" w:sz="4" w:space="0"/>
              <w:bottom w:val="single" w:color="000000" w:sz="6" w:space="0"/>
              <w:right w:val="single" w:color="000000" w:sz="4" w:space="0"/>
            </w:tcBorders>
          </w:tcPr>
          <w:p>
            <w:pPr>
              <w:pStyle w:val="38"/>
              <w:spacing w:before="66"/>
              <w:ind w:left="123"/>
              <w:jc w:val="center"/>
              <w:rPr>
                <w:rFonts w:ascii="宋体"/>
                <w:sz w:val="24"/>
              </w:rPr>
            </w:pPr>
          </w:p>
        </w:tc>
      </w:tr>
      <w:tr>
        <w:tblPrEx>
          <w:tblCellMar>
            <w:top w:w="0" w:type="dxa"/>
            <w:left w:w="0" w:type="dxa"/>
            <w:bottom w:w="0" w:type="dxa"/>
            <w:right w:w="0" w:type="dxa"/>
          </w:tblCellMar>
        </w:tblPrEx>
        <w:trPr>
          <w:trHeight w:val="448" w:hRule="exact"/>
        </w:trPr>
        <w:tc>
          <w:tcPr>
            <w:tcW w:w="92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加速度监测站</w:t>
            </w:r>
          </w:p>
        </w:tc>
        <w:tc>
          <w:tcPr>
            <w:tcW w:w="795"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59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201</w:t>
            </w:r>
          </w:p>
        </w:tc>
        <w:tc>
          <w:tcPr>
            <w:tcW w:w="648"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850" w:type="pct"/>
            <w:tcBorders>
              <w:top w:val="single" w:color="000000" w:sz="6" w:space="0"/>
              <w:left w:val="single" w:color="000000" w:sz="4" w:space="0"/>
              <w:bottom w:val="single" w:color="000000" w:sz="6" w:space="0"/>
              <w:right w:val="single" w:color="000000" w:sz="4" w:space="0"/>
            </w:tcBorders>
          </w:tcPr>
          <w:p>
            <w:pPr>
              <w:pStyle w:val="38"/>
              <w:spacing w:before="66"/>
              <w:ind w:left="116"/>
              <w:jc w:val="center"/>
              <w:rPr>
                <w:rFonts w:ascii="宋体"/>
                <w:sz w:val="24"/>
              </w:rPr>
            </w:pPr>
          </w:p>
        </w:tc>
        <w:tc>
          <w:tcPr>
            <w:tcW w:w="721"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468" w:type="pct"/>
            <w:tcBorders>
              <w:top w:val="single" w:color="000000" w:sz="6" w:space="0"/>
              <w:left w:val="single" w:color="000000" w:sz="4" w:space="0"/>
              <w:bottom w:val="single" w:color="000000" w:sz="6" w:space="0"/>
              <w:right w:val="single" w:color="000000" w:sz="4" w:space="0"/>
            </w:tcBorders>
          </w:tcPr>
          <w:p>
            <w:pPr>
              <w:pStyle w:val="38"/>
              <w:spacing w:before="66"/>
              <w:ind w:left="123"/>
              <w:jc w:val="center"/>
              <w:rPr>
                <w:rFonts w:ascii="宋体"/>
                <w:sz w:val="24"/>
              </w:rPr>
            </w:pPr>
          </w:p>
        </w:tc>
      </w:tr>
      <w:tr>
        <w:tblPrEx>
          <w:tblCellMar>
            <w:top w:w="0" w:type="dxa"/>
            <w:left w:w="0" w:type="dxa"/>
            <w:bottom w:w="0" w:type="dxa"/>
            <w:right w:w="0" w:type="dxa"/>
          </w:tblCellMar>
        </w:tblPrEx>
        <w:trPr>
          <w:trHeight w:val="448" w:hRule="exact"/>
        </w:trPr>
        <w:tc>
          <w:tcPr>
            <w:tcW w:w="92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泥水位监测站</w:t>
            </w:r>
          </w:p>
        </w:tc>
        <w:tc>
          <w:tcPr>
            <w:tcW w:w="795"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59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648"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850" w:type="pct"/>
            <w:tcBorders>
              <w:top w:val="single" w:color="000000" w:sz="6" w:space="0"/>
              <w:left w:val="single" w:color="000000" w:sz="4" w:space="0"/>
              <w:bottom w:val="single" w:color="000000" w:sz="6" w:space="0"/>
              <w:right w:val="single" w:color="000000" w:sz="4" w:space="0"/>
            </w:tcBorders>
          </w:tcPr>
          <w:p>
            <w:pPr>
              <w:pStyle w:val="38"/>
              <w:spacing w:before="66"/>
              <w:ind w:left="116"/>
              <w:jc w:val="center"/>
              <w:rPr>
                <w:rFonts w:ascii="宋体"/>
                <w:sz w:val="24"/>
              </w:rPr>
            </w:pPr>
          </w:p>
        </w:tc>
        <w:tc>
          <w:tcPr>
            <w:tcW w:w="721"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468" w:type="pct"/>
            <w:tcBorders>
              <w:top w:val="single" w:color="000000" w:sz="6" w:space="0"/>
              <w:left w:val="single" w:color="000000" w:sz="4" w:space="0"/>
              <w:bottom w:val="single" w:color="000000" w:sz="6" w:space="0"/>
              <w:right w:val="single" w:color="000000" w:sz="4" w:space="0"/>
            </w:tcBorders>
          </w:tcPr>
          <w:p>
            <w:pPr>
              <w:pStyle w:val="38"/>
              <w:spacing w:before="66"/>
              <w:ind w:left="123"/>
              <w:jc w:val="center"/>
              <w:rPr>
                <w:rFonts w:ascii="宋体"/>
                <w:sz w:val="24"/>
              </w:rPr>
            </w:pPr>
          </w:p>
        </w:tc>
      </w:tr>
      <w:tr>
        <w:tblPrEx>
          <w:tblCellMar>
            <w:top w:w="0" w:type="dxa"/>
            <w:left w:w="0" w:type="dxa"/>
            <w:bottom w:w="0" w:type="dxa"/>
            <w:right w:w="0" w:type="dxa"/>
          </w:tblCellMar>
        </w:tblPrEx>
        <w:trPr>
          <w:trHeight w:val="448" w:hRule="exact"/>
        </w:trPr>
        <w:tc>
          <w:tcPr>
            <w:tcW w:w="92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静力水准监测站</w:t>
            </w:r>
          </w:p>
        </w:tc>
        <w:tc>
          <w:tcPr>
            <w:tcW w:w="795"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59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104</w:t>
            </w:r>
          </w:p>
        </w:tc>
        <w:tc>
          <w:tcPr>
            <w:tcW w:w="648"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850" w:type="pct"/>
            <w:tcBorders>
              <w:top w:val="single" w:color="000000" w:sz="6" w:space="0"/>
              <w:left w:val="single" w:color="000000" w:sz="4" w:space="0"/>
              <w:bottom w:val="single" w:color="000000" w:sz="6" w:space="0"/>
              <w:right w:val="single" w:color="000000" w:sz="4" w:space="0"/>
            </w:tcBorders>
          </w:tcPr>
          <w:p>
            <w:pPr>
              <w:pStyle w:val="38"/>
              <w:spacing w:before="66"/>
              <w:ind w:left="116"/>
              <w:jc w:val="center"/>
              <w:rPr>
                <w:rFonts w:ascii="宋体"/>
                <w:sz w:val="24"/>
              </w:rPr>
            </w:pPr>
          </w:p>
        </w:tc>
        <w:tc>
          <w:tcPr>
            <w:tcW w:w="721"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468" w:type="pct"/>
            <w:tcBorders>
              <w:top w:val="single" w:color="000000" w:sz="6" w:space="0"/>
              <w:left w:val="single" w:color="000000" w:sz="4" w:space="0"/>
              <w:bottom w:val="single" w:color="000000" w:sz="6" w:space="0"/>
              <w:right w:val="single" w:color="000000" w:sz="4" w:space="0"/>
            </w:tcBorders>
          </w:tcPr>
          <w:p>
            <w:pPr>
              <w:pStyle w:val="38"/>
              <w:spacing w:before="66"/>
              <w:ind w:left="123"/>
              <w:jc w:val="center"/>
              <w:rPr>
                <w:rFonts w:ascii="宋体"/>
                <w:sz w:val="24"/>
              </w:rPr>
            </w:pPr>
          </w:p>
        </w:tc>
      </w:tr>
      <w:tr>
        <w:tblPrEx>
          <w:tblCellMar>
            <w:top w:w="0" w:type="dxa"/>
            <w:left w:w="0" w:type="dxa"/>
            <w:bottom w:w="0" w:type="dxa"/>
            <w:right w:w="0" w:type="dxa"/>
          </w:tblCellMar>
        </w:tblPrEx>
        <w:trPr>
          <w:trHeight w:val="448" w:hRule="exact"/>
        </w:trPr>
        <w:tc>
          <w:tcPr>
            <w:tcW w:w="92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声光报警器</w:t>
            </w:r>
          </w:p>
        </w:tc>
        <w:tc>
          <w:tcPr>
            <w:tcW w:w="795"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59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145</w:t>
            </w:r>
          </w:p>
        </w:tc>
        <w:tc>
          <w:tcPr>
            <w:tcW w:w="648"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850" w:type="pct"/>
            <w:tcBorders>
              <w:top w:val="single" w:color="000000" w:sz="6" w:space="0"/>
              <w:left w:val="single" w:color="000000" w:sz="4" w:space="0"/>
              <w:bottom w:val="single" w:color="000000" w:sz="6" w:space="0"/>
              <w:right w:val="single" w:color="000000" w:sz="4" w:space="0"/>
            </w:tcBorders>
          </w:tcPr>
          <w:p>
            <w:pPr>
              <w:pStyle w:val="38"/>
              <w:spacing w:before="66"/>
              <w:ind w:left="116"/>
              <w:jc w:val="center"/>
              <w:rPr>
                <w:rFonts w:ascii="宋体"/>
                <w:sz w:val="24"/>
              </w:rPr>
            </w:pPr>
          </w:p>
        </w:tc>
        <w:tc>
          <w:tcPr>
            <w:tcW w:w="721"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468" w:type="pct"/>
            <w:tcBorders>
              <w:top w:val="single" w:color="000000" w:sz="6" w:space="0"/>
              <w:left w:val="single" w:color="000000" w:sz="4" w:space="0"/>
              <w:bottom w:val="single" w:color="000000" w:sz="6" w:space="0"/>
              <w:right w:val="single" w:color="000000" w:sz="4" w:space="0"/>
            </w:tcBorders>
          </w:tcPr>
          <w:p>
            <w:pPr>
              <w:pStyle w:val="38"/>
              <w:spacing w:before="66"/>
              <w:ind w:left="123"/>
              <w:jc w:val="center"/>
              <w:rPr>
                <w:rFonts w:ascii="宋体"/>
                <w:sz w:val="24"/>
              </w:rPr>
            </w:pPr>
          </w:p>
        </w:tc>
      </w:tr>
      <w:tr>
        <w:tblPrEx>
          <w:tblCellMar>
            <w:top w:w="0" w:type="dxa"/>
            <w:left w:w="0" w:type="dxa"/>
            <w:bottom w:w="0" w:type="dxa"/>
            <w:right w:w="0" w:type="dxa"/>
          </w:tblCellMar>
        </w:tblPrEx>
        <w:trPr>
          <w:trHeight w:val="448" w:hRule="exact"/>
        </w:trPr>
        <w:tc>
          <w:tcPr>
            <w:tcW w:w="92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地下水监测站</w:t>
            </w:r>
          </w:p>
        </w:tc>
        <w:tc>
          <w:tcPr>
            <w:tcW w:w="795"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套</w:t>
            </w:r>
          </w:p>
        </w:tc>
        <w:tc>
          <w:tcPr>
            <w:tcW w:w="594" w:type="pct"/>
            <w:tcBorders>
              <w:top w:val="single" w:color="000000" w:sz="6" w:space="0"/>
              <w:left w:val="single" w:color="000000" w:sz="4" w:space="0"/>
              <w:bottom w:val="single" w:color="000000" w:sz="6" w:space="0"/>
              <w:right w:val="single" w:color="000000" w:sz="4" w:space="0"/>
            </w:tcBorders>
            <w:vAlign w:val="center"/>
          </w:tcPr>
          <w:p>
            <w:pPr>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648"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850" w:type="pct"/>
            <w:tcBorders>
              <w:top w:val="single" w:color="000000" w:sz="6" w:space="0"/>
              <w:left w:val="single" w:color="000000" w:sz="4" w:space="0"/>
              <w:bottom w:val="single" w:color="000000" w:sz="6" w:space="0"/>
              <w:right w:val="single" w:color="000000" w:sz="4" w:space="0"/>
            </w:tcBorders>
          </w:tcPr>
          <w:p>
            <w:pPr>
              <w:pStyle w:val="38"/>
              <w:spacing w:before="66"/>
              <w:ind w:left="116"/>
              <w:jc w:val="center"/>
              <w:rPr>
                <w:rFonts w:ascii="宋体"/>
                <w:sz w:val="24"/>
              </w:rPr>
            </w:pPr>
          </w:p>
        </w:tc>
        <w:tc>
          <w:tcPr>
            <w:tcW w:w="721" w:type="pct"/>
            <w:tcBorders>
              <w:top w:val="single" w:color="000000" w:sz="6" w:space="0"/>
              <w:left w:val="single" w:color="000000" w:sz="4" w:space="0"/>
              <w:bottom w:val="single" w:color="000000" w:sz="6" w:space="0"/>
              <w:right w:val="single" w:color="000000" w:sz="4" w:space="0"/>
            </w:tcBorders>
          </w:tcPr>
          <w:p>
            <w:pPr>
              <w:pStyle w:val="38"/>
              <w:spacing w:before="66"/>
              <w:ind w:left="120"/>
              <w:jc w:val="center"/>
              <w:rPr>
                <w:rFonts w:ascii="宋体"/>
                <w:sz w:val="24"/>
              </w:rPr>
            </w:pPr>
          </w:p>
        </w:tc>
        <w:tc>
          <w:tcPr>
            <w:tcW w:w="468" w:type="pct"/>
            <w:tcBorders>
              <w:top w:val="single" w:color="000000" w:sz="6" w:space="0"/>
              <w:left w:val="single" w:color="000000" w:sz="4" w:space="0"/>
              <w:bottom w:val="single" w:color="000000" w:sz="6" w:space="0"/>
              <w:right w:val="single" w:color="000000" w:sz="4" w:space="0"/>
            </w:tcBorders>
          </w:tcPr>
          <w:p>
            <w:pPr>
              <w:pStyle w:val="38"/>
              <w:spacing w:before="66"/>
              <w:ind w:left="123"/>
              <w:jc w:val="center"/>
              <w:rPr>
                <w:rFonts w:ascii="宋体"/>
                <w:sz w:val="24"/>
              </w:rPr>
            </w:pPr>
          </w:p>
        </w:tc>
      </w:tr>
      <w:tr>
        <w:tblPrEx>
          <w:tblCellMar>
            <w:top w:w="0" w:type="dxa"/>
            <w:left w:w="0" w:type="dxa"/>
            <w:bottom w:w="0" w:type="dxa"/>
            <w:right w:w="0" w:type="dxa"/>
          </w:tblCellMar>
        </w:tblPrEx>
        <w:trPr>
          <w:trHeight w:val="448" w:hRule="exact"/>
        </w:trPr>
        <w:tc>
          <w:tcPr>
            <w:tcW w:w="924" w:type="pct"/>
            <w:tcBorders>
              <w:top w:val="single" w:color="000000" w:sz="6" w:space="0"/>
              <w:left w:val="single" w:color="000000" w:sz="4" w:space="0"/>
              <w:bottom w:val="single" w:color="000000" w:sz="4" w:space="0"/>
              <w:right w:val="single" w:color="000000" w:sz="4" w:space="0"/>
            </w:tcBorders>
          </w:tcPr>
          <w:p>
            <w:pPr>
              <w:pStyle w:val="38"/>
              <w:spacing w:before="66"/>
              <w:ind w:left="567"/>
              <w:rPr>
                <w:rFonts w:ascii="宋体" w:hAnsi="宋体" w:cs="宋体"/>
                <w:sz w:val="24"/>
              </w:rPr>
            </w:pPr>
            <w:r>
              <w:rPr>
                <w:rFonts w:ascii="宋体" w:hAnsi="宋体" w:cs="宋体"/>
                <w:sz w:val="24"/>
              </w:rPr>
              <w:t xml:space="preserve">总计 </w:t>
            </w:r>
          </w:p>
        </w:tc>
        <w:tc>
          <w:tcPr>
            <w:tcW w:w="795" w:type="pct"/>
            <w:tcBorders>
              <w:top w:val="single" w:color="000000" w:sz="6" w:space="0"/>
              <w:left w:val="single" w:color="000000" w:sz="4" w:space="0"/>
              <w:bottom w:val="single" w:color="000000" w:sz="4" w:space="0"/>
              <w:right w:val="single" w:color="000000" w:sz="4" w:space="0"/>
            </w:tcBorders>
          </w:tcPr>
          <w:p>
            <w:pPr>
              <w:pStyle w:val="38"/>
              <w:spacing w:before="66"/>
              <w:ind w:left="124"/>
              <w:jc w:val="center"/>
              <w:rPr>
                <w:rFonts w:ascii="宋体" w:hAnsi="宋体" w:cs="宋体"/>
                <w:sz w:val="24"/>
              </w:rPr>
            </w:pPr>
            <w:r>
              <w:rPr>
                <w:rFonts w:ascii="宋体"/>
                <w:sz w:val="24"/>
              </w:rPr>
              <w:t xml:space="preserve"> </w:t>
            </w:r>
          </w:p>
        </w:tc>
        <w:tc>
          <w:tcPr>
            <w:tcW w:w="594" w:type="pct"/>
            <w:tcBorders>
              <w:top w:val="single" w:color="000000" w:sz="6" w:space="0"/>
              <w:left w:val="single" w:color="000000" w:sz="4" w:space="0"/>
              <w:bottom w:val="single" w:color="000000" w:sz="4" w:space="0"/>
              <w:right w:val="single" w:color="000000" w:sz="4" w:space="0"/>
            </w:tcBorders>
          </w:tcPr>
          <w:p>
            <w:pPr>
              <w:pStyle w:val="38"/>
              <w:spacing w:before="66"/>
              <w:ind w:left="123"/>
              <w:jc w:val="center"/>
              <w:rPr>
                <w:rFonts w:ascii="宋体" w:hAnsi="宋体" w:cs="宋体"/>
                <w:sz w:val="24"/>
              </w:rPr>
            </w:pPr>
            <w:r>
              <w:rPr>
                <w:rFonts w:ascii="宋体"/>
                <w:sz w:val="24"/>
              </w:rPr>
              <w:t xml:space="preserve"> </w:t>
            </w:r>
          </w:p>
        </w:tc>
        <w:tc>
          <w:tcPr>
            <w:tcW w:w="648" w:type="pct"/>
            <w:tcBorders>
              <w:top w:val="single" w:color="000000" w:sz="6" w:space="0"/>
              <w:left w:val="single" w:color="000000" w:sz="4" w:space="0"/>
              <w:bottom w:val="single" w:color="000000" w:sz="4" w:space="0"/>
              <w:right w:val="single" w:color="000000" w:sz="4" w:space="0"/>
            </w:tcBorders>
          </w:tcPr>
          <w:p>
            <w:pPr>
              <w:pStyle w:val="38"/>
              <w:spacing w:before="66"/>
              <w:ind w:left="120"/>
              <w:jc w:val="center"/>
              <w:rPr>
                <w:rFonts w:ascii="宋体" w:hAnsi="宋体" w:cs="宋体"/>
                <w:sz w:val="24"/>
              </w:rPr>
            </w:pPr>
            <w:r>
              <w:rPr>
                <w:rFonts w:ascii="宋体"/>
                <w:sz w:val="24"/>
              </w:rPr>
              <w:t xml:space="preserve"> </w:t>
            </w:r>
          </w:p>
        </w:tc>
        <w:tc>
          <w:tcPr>
            <w:tcW w:w="850" w:type="pct"/>
            <w:tcBorders>
              <w:top w:val="single" w:color="000000" w:sz="6" w:space="0"/>
              <w:left w:val="single" w:color="000000" w:sz="4" w:space="0"/>
              <w:bottom w:val="single" w:color="000000" w:sz="4" w:space="0"/>
              <w:right w:val="single" w:color="000000" w:sz="4" w:space="0"/>
            </w:tcBorders>
          </w:tcPr>
          <w:p>
            <w:pPr>
              <w:pStyle w:val="38"/>
              <w:spacing w:before="66"/>
              <w:ind w:left="116"/>
              <w:jc w:val="center"/>
              <w:rPr>
                <w:rFonts w:ascii="宋体" w:hAnsi="宋体" w:cs="宋体"/>
                <w:sz w:val="24"/>
              </w:rPr>
            </w:pPr>
            <w:r>
              <w:rPr>
                <w:rFonts w:ascii="宋体"/>
                <w:sz w:val="24"/>
              </w:rPr>
              <w:t xml:space="preserve"> </w:t>
            </w:r>
          </w:p>
        </w:tc>
        <w:tc>
          <w:tcPr>
            <w:tcW w:w="721" w:type="pct"/>
            <w:tcBorders>
              <w:top w:val="single" w:color="000000" w:sz="6" w:space="0"/>
              <w:left w:val="single" w:color="000000" w:sz="4" w:space="0"/>
              <w:bottom w:val="single" w:color="000000" w:sz="4" w:space="0"/>
              <w:right w:val="single" w:color="000000" w:sz="4" w:space="0"/>
            </w:tcBorders>
          </w:tcPr>
          <w:p>
            <w:pPr>
              <w:pStyle w:val="38"/>
              <w:spacing w:before="66"/>
              <w:ind w:left="120"/>
              <w:jc w:val="center"/>
              <w:rPr>
                <w:rFonts w:ascii="宋体" w:hAnsi="宋体" w:cs="宋体"/>
                <w:sz w:val="24"/>
              </w:rPr>
            </w:pPr>
            <w:r>
              <w:rPr>
                <w:rFonts w:ascii="宋体"/>
                <w:sz w:val="24"/>
              </w:rPr>
              <w:t xml:space="preserve"> </w:t>
            </w:r>
          </w:p>
        </w:tc>
        <w:tc>
          <w:tcPr>
            <w:tcW w:w="468" w:type="pct"/>
            <w:tcBorders>
              <w:top w:val="single" w:color="000000" w:sz="6" w:space="0"/>
              <w:left w:val="single" w:color="000000" w:sz="4" w:space="0"/>
              <w:bottom w:val="single" w:color="000000" w:sz="4" w:space="0"/>
              <w:right w:val="single" w:color="000000" w:sz="4" w:space="0"/>
            </w:tcBorders>
          </w:tcPr>
          <w:p>
            <w:pPr>
              <w:pStyle w:val="38"/>
              <w:spacing w:before="66"/>
              <w:ind w:left="123"/>
              <w:jc w:val="center"/>
              <w:rPr>
                <w:rFonts w:ascii="宋体" w:hAnsi="宋体" w:cs="宋体"/>
                <w:sz w:val="24"/>
              </w:rPr>
            </w:pPr>
            <w:r>
              <w:rPr>
                <w:rFonts w:ascii="宋体"/>
                <w:sz w:val="24"/>
              </w:rPr>
              <w:t xml:space="preserve"> </w:t>
            </w:r>
          </w:p>
        </w:tc>
      </w:tr>
    </w:tbl>
    <w:p>
      <w:pPr>
        <w:rPr>
          <w:rFonts w:ascii="宋体" w:hAnsi="宋体"/>
          <w:b/>
          <w:bCs/>
          <w:szCs w:val="21"/>
        </w:rPr>
      </w:pPr>
    </w:p>
    <w:p>
      <w:pPr>
        <w:rPr>
          <w:rFonts w:ascii="宋体" w:hAnsi="宋体"/>
          <w:szCs w:val="21"/>
        </w:rPr>
      </w:pPr>
      <w:r>
        <w:rPr>
          <w:rFonts w:hint="eastAsia" w:ascii="宋体" w:hAnsi="宋体"/>
          <w:szCs w:val="21"/>
        </w:rPr>
        <w:t>（二）技术要求</w:t>
      </w:r>
    </w:p>
    <w:p>
      <w:pPr>
        <w:rPr>
          <w:rFonts w:ascii="宋体" w:hAnsi="宋体"/>
          <w:szCs w:val="21"/>
        </w:rPr>
      </w:pPr>
      <w:r>
        <w:rPr>
          <w:rFonts w:hint="eastAsia" w:ascii="宋体" w:hAnsi="宋体"/>
          <w:szCs w:val="21"/>
        </w:rPr>
        <w:t>根据项目采购文件协商确定</w:t>
      </w:r>
    </w:p>
    <w:p>
      <w:pPr>
        <w:rPr>
          <w:rFonts w:ascii="宋体" w:hAnsi="宋体"/>
          <w:szCs w:val="21"/>
        </w:rPr>
      </w:pPr>
      <w:r>
        <w:rPr>
          <w:rFonts w:hint="eastAsia" w:ascii="宋体" w:hAnsi="宋体"/>
          <w:szCs w:val="21"/>
        </w:rPr>
        <w:t>（三）售后服务要求</w:t>
      </w:r>
    </w:p>
    <w:p>
      <w:pPr>
        <w:rPr>
          <w:rFonts w:ascii="宋体" w:hAnsi="宋体"/>
          <w:szCs w:val="21"/>
        </w:rPr>
      </w:pPr>
      <w:r>
        <w:rPr>
          <w:rFonts w:hint="eastAsia" w:ascii="宋体" w:hAnsi="宋体"/>
          <w:szCs w:val="21"/>
        </w:rPr>
        <w:t>根据项目采购文件协商确定</w:t>
      </w:r>
    </w:p>
    <w:p>
      <w:pPr>
        <w:rPr>
          <w:rFonts w:ascii="宋体" w:hAnsi="宋体"/>
          <w:szCs w:val="21"/>
        </w:rPr>
      </w:pPr>
    </w:p>
    <w:p>
      <w:pPr>
        <w:rPr>
          <w:rFonts w:ascii="宋体" w:hAnsi="宋体"/>
          <w:b/>
          <w:bCs/>
          <w:szCs w:val="21"/>
        </w:rPr>
      </w:pPr>
      <w:r>
        <w:rPr>
          <w:rFonts w:hint="eastAsia" w:ascii="宋体" w:hAnsi="宋体"/>
          <w:b/>
          <w:bCs/>
          <w:szCs w:val="21"/>
        </w:rPr>
        <w:t xml:space="preserve">三、项目完成期限 </w:t>
      </w:r>
    </w:p>
    <w:p>
      <w:pPr>
        <w:ind w:firstLine="420" w:firstLineChars="200"/>
        <w:rPr>
          <w:rFonts w:ascii="宋体" w:hAnsi="宋体"/>
          <w:szCs w:val="21"/>
        </w:rPr>
      </w:pPr>
      <w:r>
        <w:rPr>
          <w:rFonts w:hint="eastAsia" w:ascii="宋体" w:hAnsi="宋体"/>
          <w:szCs w:val="21"/>
        </w:rPr>
        <w:t>（一）建设期：本项目涉及146处大、中、小型地质灾害在册隐患点，根据省、市相关文件规定，其中66处大、中型地质灾害在册隐患点需2021年汛期前完成专业监测设备安装及调试工作，另外80处中、小型地质灾害在册隐患点需2021年底完成安装及调试工作，2022年5月前完成第三方测试及初验，2022年10月前完成终验及成果移交工作。</w:t>
      </w:r>
    </w:p>
    <w:p>
      <w:pPr>
        <w:ind w:firstLine="420" w:firstLineChars="200"/>
        <w:rPr>
          <w:rFonts w:ascii="宋体" w:hAnsi="宋体"/>
          <w:szCs w:val="21"/>
        </w:rPr>
      </w:pPr>
      <w:r>
        <w:rPr>
          <w:rFonts w:hint="eastAsia" w:ascii="宋体" w:hAnsi="宋体"/>
          <w:szCs w:val="21"/>
        </w:rPr>
        <w:t>（二）质保期：自项目整体通过专家终验之日起三年。</w:t>
      </w:r>
    </w:p>
    <w:p>
      <w:pPr>
        <w:ind w:firstLine="420" w:firstLineChars="200"/>
        <w:rPr>
          <w:rFonts w:ascii="宋体" w:hAnsi="宋体"/>
          <w:szCs w:val="21"/>
        </w:rPr>
      </w:pPr>
      <w:r>
        <w:rPr>
          <w:rFonts w:hint="eastAsia" w:ascii="宋体" w:hAnsi="宋体"/>
          <w:szCs w:val="21"/>
        </w:rPr>
        <w:t>1）质量保证期内乙方对本合同项目所有的货物实行包修、包维护保养，保修期后设备维修配件更换只收取成本费用。</w:t>
      </w:r>
    </w:p>
    <w:p>
      <w:pPr>
        <w:ind w:firstLine="420" w:firstLineChars="200"/>
        <w:rPr>
          <w:rFonts w:ascii="宋体" w:hAnsi="宋体"/>
          <w:szCs w:val="21"/>
        </w:rPr>
      </w:pPr>
      <w:r>
        <w:rPr>
          <w:rFonts w:hint="eastAsia" w:ascii="宋体" w:hAnsi="宋体"/>
          <w:szCs w:val="21"/>
        </w:rPr>
        <w:t>2）在质量保证期内，如货物非因甲方的人为原因而出现的问题由乙方负责保修、包换或包退，并承担修理、调换或退货的实际费用。</w:t>
      </w:r>
    </w:p>
    <w:p>
      <w:pPr>
        <w:ind w:firstLine="420" w:firstLineChars="200"/>
        <w:rPr>
          <w:rFonts w:ascii="宋体" w:hAnsi="宋体"/>
          <w:szCs w:val="21"/>
        </w:rPr>
      </w:pPr>
      <w:r>
        <w:rPr>
          <w:rFonts w:hint="eastAsia" w:ascii="宋体" w:hAnsi="宋体"/>
          <w:szCs w:val="21"/>
        </w:rPr>
        <w:t>3）质量保证期内，乙方负责对其提供的货物整机进行维修和系统维护，不再收取任何费用，但非乙方责任的人为因素、自然因素（如火灾、雷击等）造成的故障除外。</w:t>
      </w:r>
    </w:p>
    <w:p>
      <w:pPr>
        <w:ind w:firstLine="420" w:firstLineChars="200"/>
        <w:rPr>
          <w:highlight w:val="yellow"/>
        </w:rPr>
      </w:pPr>
      <w:r>
        <w:rPr>
          <w:rFonts w:hint="eastAsia" w:ascii="宋体" w:hAnsi="宋体"/>
          <w:szCs w:val="21"/>
        </w:rPr>
        <w:t>4）对甲方的维护通知，乙方在接报后</w:t>
      </w:r>
      <w:r>
        <w:rPr>
          <w:rFonts w:ascii="宋体" w:hAnsi="宋体"/>
          <w:szCs w:val="21"/>
        </w:rPr>
        <w:t>4</w:t>
      </w:r>
      <w:r>
        <w:rPr>
          <w:rFonts w:hint="eastAsia" w:ascii="宋体" w:hAnsi="宋体"/>
          <w:szCs w:val="21"/>
        </w:rPr>
        <w:t>小时内响应，</w:t>
      </w:r>
      <w:r>
        <w:rPr>
          <w:rFonts w:ascii="宋体" w:hAnsi="宋体"/>
          <w:szCs w:val="21"/>
        </w:rPr>
        <w:t>24</w:t>
      </w:r>
      <w:r>
        <w:rPr>
          <w:rFonts w:hint="eastAsia" w:ascii="宋体" w:hAnsi="宋体"/>
          <w:szCs w:val="21"/>
        </w:rPr>
        <w:t>小时内到达现场，</w:t>
      </w:r>
      <w:r>
        <w:rPr>
          <w:rFonts w:ascii="宋体" w:hAnsi="宋体"/>
          <w:szCs w:val="21"/>
        </w:rPr>
        <w:t>48</w:t>
      </w:r>
      <w:r>
        <w:rPr>
          <w:rFonts w:hint="eastAsia" w:ascii="宋体" w:hAnsi="宋体"/>
          <w:szCs w:val="21"/>
        </w:rPr>
        <w:t>小时内处理完毕。若在</w:t>
      </w:r>
      <w:r>
        <w:rPr>
          <w:rFonts w:ascii="宋体" w:hAnsi="宋体"/>
          <w:szCs w:val="21"/>
        </w:rPr>
        <w:t>48</w:t>
      </w:r>
      <w:r>
        <w:rPr>
          <w:rFonts w:hint="eastAsia" w:ascii="宋体" w:hAnsi="宋体"/>
          <w:szCs w:val="21"/>
        </w:rPr>
        <w:t>小时内仍未能有效解决，乙方须提供同档次的设备予甲方使用。</w:t>
      </w:r>
    </w:p>
    <w:p>
      <w:pPr>
        <w:rPr>
          <w:rFonts w:ascii="宋体" w:hAnsi="宋体"/>
          <w:szCs w:val="21"/>
          <w:highlight w:val="yellow"/>
        </w:rPr>
      </w:pPr>
    </w:p>
    <w:p>
      <w:pPr>
        <w:rPr>
          <w:rFonts w:ascii="宋体" w:hAnsi="宋体"/>
          <w:szCs w:val="21"/>
        </w:rPr>
      </w:pPr>
      <w:r>
        <w:rPr>
          <w:rFonts w:hint="eastAsia" w:ascii="宋体" w:hAnsi="宋体"/>
          <w:b/>
          <w:bCs/>
          <w:szCs w:val="21"/>
        </w:rPr>
        <w:t>四、 履约保函</w:t>
      </w:r>
    </w:p>
    <w:p>
      <w:pPr>
        <w:ind w:firstLine="420" w:firstLineChars="200"/>
        <w:rPr>
          <w:rFonts w:ascii="宋体" w:hAnsi="宋体"/>
          <w:b/>
          <w:bCs/>
          <w:szCs w:val="21"/>
        </w:rPr>
      </w:pPr>
      <w:r>
        <w:rPr>
          <w:rFonts w:hint="eastAsia" w:ascii="宋体" w:hAnsi="宋体"/>
          <w:szCs w:val="21"/>
        </w:rPr>
        <w:t>中标供应商签订合同前，应向甲方提交以甲方为受益人的银行保函，金额为合同总价的</w:t>
      </w:r>
      <w:r>
        <w:rPr>
          <w:rFonts w:ascii="宋体" w:hAnsi="宋体"/>
          <w:szCs w:val="21"/>
        </w:rPr>
        <w:t>5</w:t>
      </w:r>
      <w:r>
        <w:rPr>
          <w:rFonts w:hint="eastAsia" w:ascii="宋体" w:hAnsi="宋体"/>
          <w:szCs w:val="21"/>
        </w:rPr>
        <w:t>%。中标供应商按照承诺完成运维且三年质保期满后银行保函自动失效。签订合同后，若中标供应商不按双方签订合同规定履约，甲方有权兑现中标供应商提供的银行保函全部金额。银行保函金额不足以赔偿损失的，按实际损失赔偿。</w:t>
      </w:r>
    </w:p>
    <w:p>
      <w:pPr>
        <w:rPr>
          <w:rFonts w:ascii="宋体" w:hAnsi="宋体"/>
          <w:szCs w:val="21"/>
        </w:rPr>
      </w:pPr>
      <w:r>
        <w:rPr>
          <w:rFonts w:hint="eastAsia" w:ascii="宋体" w:hAnsi="宋体"/>
          <w:b/>
          <w:bCs/>
          <w:szCs w:val="21"/>
        </w:rPr>
        <w:t>五、付款方式</w:t>
      </w:r>
    </w:p>
    <w:p>
      <w:pPr>
        <w:ind w:firstLine="420" w:firstLineChars="200"/>
        <w:rPr>
          <w:rFonts w:ascii="宋体" w:hAnsi="宋体"/>
          <w:szCs w:val="21"/>
        </w:rPr>
      </w:pPr>
      <w:bookmarkStart w:id="53" w:name="_Hlk65600768"/>
      <w:r>
        <w:rPr>
          <w:rFonts w:hint="eastAsia" w:ascii="宋体" w:hAnsi="宋体"/>
          <w:szCs w:val="21"/>
        </w:rPr>
        <w:t>根据采购方资金预算，本项目款项分两年支付，2021年支付</w:t>
      </w:r>
      <w:bookmarkStart w:id="54" w:name="_Hlk65600605"/>
      <w:r>
        <w:rPr>
          <w:rFonts w:hint="eastAsia" w:ascii="宋体" w:hAnsi="宋体"/>
          <w:szCs w:val="21"/>
        </w:rPr>
        <w:t>不超过</w:t>
      </w:r>
      <w:bookmarkEnd w:id="54"/>
      <w:r>
        <w:rPr>
          <w:rFonts w:hint="eastAsia" w:ascii="宋体" w:hAnsi="宋体"/>
          <w:szCs w:val="21"/>
        </w:rPr>
        <w:t>800万元(最终以2</w:t>
      </w:r>
      <w:r>
        <w:rPr>
          <w:rFonts w:ascii="宋体" w:hAnsi="宋体"/>
          <w:szCs w:val="21"/>
        </w:rPr>
        <w:t>021</w:t>
      </w:r>
      <w:r>
        <w:rPr>
          <w:rFonts w:hint="eastAsia" w:ascii="宋体" w:hAnsi="宋体"/>
          <w:szCs w:val="21"/>
        </w:rPr>
        <w:t>年财政批复为准</w:t>
      </w:r>
      <w:r>
        <w:rPr>
          <w:rFonts w:ascii="宋体" w:hAnsi="宋体"/>
          <w:szCs w:val="21"/>
        </w:rPr>
        <w:t>)</w:t>
      </w:r>
      <w:r>
        <w:rPr>
          <w:rFonts w:hint="eastAsia" w:ascii="宋体" w:hAnsi="宋体"/>
          <w:szCs w:val="21"/>
        </w:rPr>
        <w:t>，剩余项目款项根据2022年财政资金下达时间支付。</w:t>
      </w:r>
    </w:p>
    <w:p>
      <w:pPr>
        <w:ind w:firstLine="420" w:firstLineChars="200"/>
        <w:rPr>
          <w:rFonts w:ascii="宋体" w:hAnsi="宋体"/>
          <w:szCs w:val="21"/>
        </w:rPr>
      </w:pPr>
      <w:r>
        <w:rPr>
          <w:rFonts w:hint="eastAsia" w:ascii="宋体" w:hAnsi="宋体"/>
          <w:szCs w:val="21"/>
        </w:rPr>
        <w:t>2021年度支付的合同价款：</w:t>
      </w:r>
    </w:p>
    <w:p>
      <w:pPr>
        <w:ind w:firstLine="420" w:firstLineChars="200"/>
        <w:rPr>
          <w:rFonts w:ascii="宋体" w:hAnsi="宋体"/>
          <w:szCs w:val="21"/>
        </w:rPr>
      </w:pPr>
      <w:r>
        <w:rPr>
          <w:rFonts w:hint="eastAsia" w:ascii="宋体" w:hAnsi="宋体"/>
          <w:szCs w:val="21"/>
        </w:rPr>
        <w:t>1）合同签订后，采购人支付</w:t>
      </w:r>
      <w:r>
        <w:rPr>
          <w:rFonts w:ascii="宋体" w:hAnsi="宋体"/>
          <w:szCs w:val="21"/>
        </w:rPr>
        <w:t>xxx</w:t>
      </w:r>
      <w:r>
        <w:rPr>
          <w:rFonts w:hint="eastAsia" w:ascii="宋体" w:hAnsi="宋体"/>
          <w:szCs w:val="21"/>
        </w:rPr>
        <w:t>万元(支付至合同总价的xx%，不超过合同总价的5</w:t>
      </w:r>
      <w:r>
        <w:rPr>
          <w:rFonts w:ascii="宋体" w:hAnsi="宋体"/>
          <w:szCs w:val="21"/>
        </w:rPr>
        <w:t>0%</w:t>
      </w:r>
      <w:r>
        <w:rPr>
          <w:rFonts w:hint="eastAsia" w:ascii="宋体" w:hAnsi="宋体"/>
          <w:szCs w:val="21"/>
        </w:rPr>
        <w:t>)；</w:t>
      </w:r>
    </w:p>
    <w:p>
      <w:pPr>
        <w:ind w:firstLine="420" w:firstLineChars="200"/>
        <w:rPr>
          <w:rFonts w:ascii="宋体" w:hAnsi="宋体"/>
          <w:szCs w:val="21"/>
        </w:rPr>
      </w:pPr>
      <w:r>
        <w:rPr>
          <w:rFonts w:hint="eastAsia" w:ascii="宋体" w:hAnsi="宋体"/>
          <w:szCs w:val="21"/>
        </w:rPr>
        <w:t>2）中标供应商根据采购方要求安装设备套数达到全部设备总套数的60%，提供每点安装完成的证明材料（采购方项目经办确认签字的监测设备材料初验记录表、监测设备安装记录表、监测点设备建成初验记录表、监测点信息汇总清单等），采购人支付</w:t>
      </w:r>
      <w:r>
        <w:rPr>
          <w:rFonts w:ascii="宋体" w:hAnsi="宋体"/>
          <w:szCs w:val="21"/>
        </w:rPr>
        <w:t>xxx</w:t>
      </w:r>
      <w:r>
        <w:rPr>
          <w:rFonts w:hint="eastAsia" w:ascii="宋体" w:hAnsi="宋体"/>
          <w:szCs w:val="21"/>
        </w:rPr>
        <w:t>万元(支付至合同总价的xx%)。</w:t>
      </w:r>
    </w:p>
    <w:p>
      <w:pPr>
        <w:ind w:firstLine="420" w:firstLineChars="200"/>
        <w:rPr>
          <w:rFonts w:ascii="宋体" w:hAnsi="宋体"/>
          <w:szCs w:val="21"/>
        </w:rPr>
      </w:pPr>
      <w:r>
        <w:rPr>
          <w:rFonts w:hint="eastAsia" w:ascii="宋体" w:hAnsi="宋体"/>
          <w:szCs w:val="21"/>
        </w:rPr>
        <w:t>2022年度支付的合同价款：</w:t>
      </w:r>
    </w:p>
    <w:p>
      <w:pPr>
        <w:ind w:firstLine="420" w:firstLineChars="200"/>
        <w:rPr>
          <w:rFonts w:ascii="宋体" w:hAnsi="宋体"/>
          <w:szCs w:val="21"/>
        </w:rPr>
      </w:pPr>
      <w:r>
        <w:rPr>
          <w:rFonts w:hint="eastAsia" w:ascii="宋体" w:hAnsi="宋体"/>
          <w:szCs w:val="21"/>
        </w:rPr>
        <w:t>1）采购的所有设备完成安装，提供安装完成的证明材料（采购方项目经办确认签字的监测设备材料初验记录表、监测设备安装记录表、监测点设备建成初验记录表、监测点信息汇总清单等），设备完成调试，供应商协助完成采购方平台监测预警模块开发，数据接入采购方指定平台，通过第三方测试和专家初验，并且承诺的派驻人员到场后，采购人于2022年  月底前支付xxx万元(支付至合同总价的85%)；</w:t>
      </w:r>
    </w:p>
    <w:p>
      <w:pPr>
        <w:ind w:firstLine="420" w:firstLineChars="200"/>
        <w:rPr>
          <w:rFonts w:ascii="宋体" w:hAnsi="宋体"/>
          <w:szCs w:val="21"/>
        </w:rPr>
      </w:pPr>
      <w:r>
        <w:rPr>
          <w:rFonts w:hint="eastAsia" w:ascii="宋体" w:hAnsi="宋体"/>
          <w:szCs w:val="21"/>
        </w:rPr>
        <w:t>2）通过初验后，设备试运行一个月，提交试运行报告及项目建设成果报告，项目整体通过专家终验合格后，采购人于2022年  月底前支付xxx万元(支付至合同总价的100%)</w:t>
      </w:r>
    </w:p>
    <w:p>
      <w:pPr>
        <w:ind w:firstLine="422" w:firstLineChars="200"/>
        <w:rPr>
          <w:rFonts w:ascii="宋体" w:hAnsi="宋体"/>
          <w:b/>
          <w:bCs/>
          <w:szCs w:val="21"/>
        </w:rPr>
      </w:pPr>
      <w:r>
        <w:rPr>
          <w:rFonts w:hint="eastAsia" w:ascii="宋体" w:hAnsi="宋体"/>
          <w:b/>
          <w:bCs/>
          <w:szCs w:val="21"/>
        </w:rPr>
        <w:t>因采购人使用的是财政资金，采购人在规定的付款时间内向相关财政部门申请支付手续，最终的款项支付时间以财政部门批复下达资金的时间为准，由此原因造成的延期付款免责。</w:t>
      </w:r>
      <w:bookmarkEnd w:id="53"/>
    </w:p>
    <w:p>
      <w:pPr>
        <w:rPr>
          <w:rFonts w:ascii="宋体" w:hAnsi="宋体"/>
          <w:szCs w:val="21"/>
        </w:rPr>
      </w:pPr>
    </w:p>
    <w:p>
      <w:pPr>
        <w:rPr>
          <w:rFonts w:ascii="宋体" w:hAnsi="宋体"/>
          <w:b/>
          <w:bCs/>
          <w:szCs w:val="21"/>
        </w:rPr>
      </w:pPr>
      <w:r>
        <w:rPr>
          <w:rFonts w:hint="eastAsia" w:ascii="宋体" w:hAnsi="宋体"/>
          <w:b/>
          <w:bCs/>
          <w:szCs w:val="21"/>
        </w:rPr>
        <w:t xml:space="preserve">六、 知识产权产权归属 </w:t>
      </w:r>
    </w:p>
    <w:p>
      <w:pPr>
        <w:ind w:firstLine="420" w:firstLineChars="200"/>
        <w:rPr>
          <w:rFonts w:ascii="宋体" w:hAnsi="宋体"/>
          <w:szCs w:val="21"/>
        </w:rPr>
      </w:pPr>
      <w:r>
        <w:rPr>
          <w:rFonts w:hint="eastAsia" w:ascii="宋体" w:hAnsi="宋体"/>
          <w:szCs w:val="21"/>
        </w:rPr>
        <w:t>乙方应保证向甲方提供的设备、技术服务等不侵害任何第三方的知识产权，不会产生因第三方提出侵犯其专利权、商标权或其他知识产权而引起的法律和经济纠纷；如因第三方提出其专利权、商标权或其他知识产权的权利主张的，否则，乙方赔偿甲方因此遭受的一切损失（包括但不限于赔偿金、违约金、律师费、差旅费等）。</w:t>
      </w:r>
    </w:p>
    <w:p>
      <w:pPr>
        <w:ind w:firstLine="420" w:firstLineChars="200"/>
        <w:rPr>
          <w:rFonts w:ascii="宋体" w:hAnsi="宋体"/>
          <w:szCs w:val="21"/>
        </w:rPr>
      </w:pPr>
      <w:r>
        <w:rPr>
          <w:rFonts w:hint="eastAsia" w:ascii="宋体" w:hAnsi="宋体"/>
          <w:szCs w:val="21"/>
        </w:rPr>
        <w:t xml:space="preserve"> </w:t>
      </w:r>
    </w:p>
    <w:p>
      <w:pPr>
        <w:rPr>
          <w:rFonts w:ascii="宋体" w:hAnsi="宋体" w:cs="宋体"/>
          <w:b/>
          <w:bCs/>
          <w:szCs w:val="21"/>
        </w:rPr>
      </w:pPr>
      <w:r>
        <w:rPr>
          <w:rFonts w:hint="eastAsia" w:ascii="宋体" w:hAnsi="宋体" w:cs="宋体"/>
          <w:b/>
          <w:bCs/>
          <w:szCs w:val="21"/>
        </w:rPr>
        <w:t xml:space="preserve">七、 保密 </w:t>
      </w:r>
    </w:p>
    <w:p>
      <w:pPr>
        <w:ind w:firstLine="420"/>
        <w:rPr>
          <w:rFonts w:ascii="宋体" w:hAnsi="宋体" w:cs="宋体"/>
          <w:szCs w:val="21"/>
        </w:rPr>
      </w:pPr>
      <w:r>
        <w:rPr>
          <w:rFonts w:hint="eastAsia" w:ascii="宋体" w:hAnsi="宋体" w:cs="宋体"/>
          <w:szCs w:val="21"/>
        </w:rPr>
        <w:t>乙方必须采取措施对本项目实施过程中的数据、源代码、技术文档等资料保密，否则，由于乙方过错导致的上述资料泄密的，乙方必须承担一切责任。保密期限：永久保密。</w:t>
      </w:r>
    </w:p>
    <w:p>
      <w:pPr>
        <w:ind w:firstLine="420" w:firstLineChars="200"/>
        <w:rPr>
          <w:rFonts w:ascii="宋体" w:hAnsi="宋体" w:cs="宋体"/>
          <w:szCs w:val="21"/>
        </w:rPr>
      </w:pPr>
      <w:r>
        <w:rPr>
          <w:rFonts w:hint="eastAsia" w:ascii="宋体" w:hAnsi="宋体" w:cs="宋体"/>
          <w:szCs w:val="21"/>
        </w:rPr>
        <w:t xml:space="preserve">1）未经甲方事先书面同意，乙方不得将本合同提供的条文、规格、计划、图纸、模型、样品或资料提供给与本合同无关的任何第三方，不得将其用于履行本合同之外的其它用途。即使向与履行本合同有关的人员提供，也应注意保密并限于履行合同所必需的范围。 </w:t>
      </w:r>
    </w:p>
    <w:p>
      <w:pPr>
        <w:ind w:firstLine="420" w:firstLineChars="200"/>
        <w:rPr>
          <w:rFonts w:ascii="宋体" w:hAnsi="宋体" w:cs="宋体"/>
          <w:szCs w:val="21"/>
        </w:rPr>
      </w:pPr>
      <w:r>
        <w:rPr>
          <w:rFonts w:hint="eastAsia" w:ascii="宋体" w:hAnsi="宋体" w:cs="宋体"/>
          <w:szCs w:val="21"/>
        </w:rPr>
        <w:t xml:space="preserve">2）除了合同本身之外，上款所列举的任何物品、资料均是甲方所有。如果甲方有要求，乙方在完成合同后应将这些物件及全部复制件还给甲方。 </w:t>
      </w:r>
    </w:p>
    <w:p>
      <w:pPr>
        <w:rPr>
          <w:rFonts w:ascii="宋体" w:hAnsi="宋体" w:cs="宋体"/>
          <w:szCs w:val="21"/>
        </w:rPr>
      </w:pPr>
    </w:p>
    <w:p>
      <w:pPr>
        <w:rPr>
          <w:rFonts w:ascii="宋体" w:hAnsi="宋体" w:cs="宋体"/>
          <w:b/>
          <w:bCs/>
          <w:szCs w:val="21"/>
        </w:rPr>
      </w:pPr>
      <w:r>
        <w:rPr>
          <w:rFonts w:hint="eastAsia" w:ascii="宋体" w:hAnsi="宋体" w:cs="宋体"/>
          <w:b/>
          <w:bCs/>
          <w:szCs w:val="21"/>
        </w:rPr>
        <w:t xml:space="preserve">八、 违约责任与赔偿损失 </w:t>
      </w:r>
    </w:p>
    <w:p>
      <w:pPr>
        <w:rPr>
          <w:rFonts w:ascii="宋体" w:hAnsi="宋体" w:cs="宋体"/>
          <w:szCs w:val="21"/>
        </w:rPr>
      </w:pPr>
      <w:r>
        <w:rPr>
          <w:rFonts w:hint="eastAsia" w:ascii="宋体" w:hAnsi="宋体" w:cs="宋体"/>
          <w:szCs w:val="21"/>
        </w:rPr>
        <w:t xml:space="preserve">1）乙方提供的服务不符合采购文件、投标文件或本合同规定的，甲方有权拒收，并且乙方须向甲方支付本合同总价5%的违约金。 </w:t>
      </w:r>
    </w:p>
    <w:p>
      <w:pPr>
        <w:rPr>
          <w:rFonts w:ascii="宋体" w:hAnsi="宋体" w:cs="宋体"/>
          <w:szCs w:val="21"/>
        </w:rPr>
      </w:pPr>
      <w:r>
        <w:rPr>
          <w:rFonts w:hint="eastAsia" w:ascii="宋体" w:hAnsi="宋体" w:cs="宋体"/>
          <w:szCs w:val="21"/>
        </w:rPr>
        <w:t xml:space="preserve">2）乙方未能按本合同规定的交货时间提供服务，从逾期之日起每日按本合同总价0.3‰向甲方支付逾期违约金；逾期15天以上的，甲方有权终止合同，要求乙方退还甲方已支付的合同价款，由此给甲方造成损失的，乙方应承担相应的赔偿责任。 </w:t>
      </w:r>
    </w:p>
    <w:p>
      <w:pPr>
        <w:rPr>
          <w:rFonts w:ascii="宋体" w:hAnsi="宋体" w:cs="宋体"/>
          <w:szCs w:val="21"/>
        </w:rPr>
      </w:pPr>
      <w:r>
        <w:rPr>
          <w:rFonts w:hint="eastAsia" w:ascii="宋体" w:hAnsi="宋体" w:cs="宋体"/>
          <w:szCs w:val="21"/>
        </w:rPr>
        <w:t>3）甲方无正当理由拒收接受服务，到期拒付服务款项的，甲方向乙方偿付本合同总价5%的违约金。甲方逾期付款，则每日按本合同总价的0.3‰向乙方偿付违约金。</w:t>
      </w:r>
    </w:p>
    <w:p>
      <w:pPr>
        <w:rPr>
          <w:rFonts w:ascii="宋体" w:hAnsi="宋体" w:cs="宋体"/>
          <w:szCs w:val="21"/>
        </w:rPr>
      </w:pPr>
      <w:r>
        <w:rPr>
          <w:rFonts w:hint="eastAsia" w:ascii="宋体" w:hAnsi="宋体" w:cs="宋体"/>
          <w:szCs w:val="21"/>
        </w:rPr>
        <w:t>4）乙方未按合同规定履行售后服务承诺的，甲方可选定第三方单位进行修复，其费用全部由乙方支付；否则，甲方有权从银行保函中兑现，若银行保函中金额不足以支付维修费用的，甲方有权要求乙方限期支付超出的部分。</w:t>
      </w:r>
    </w:p>
    <w:p>
      <w:pPr>
        <w:rPr>
          <w:rFonts w:ascii="宋体" w:hAnsi="宋体" w:cs="宋体"/>
          <w:szCs w:val="21"/>
        </w:rPr>
      </w:pPr>
      <w:r>
        <w:rPr>
          <w:rFonts w:hint="eastAsia" w:ascii="宋体" w:hAnsi="宋体" w:cs="宋体"/>
          <w:szCs w:val="21"/>
        </w:rPr>
        <w:t>5）非因法定、不可抗力与政府行为或者双方协商一致，任何一方单方终止或解除本合同的，另一方有权要求解除方（或终止方）按照本合同总价的5%支付违约金，由此给另一方造成损失的，还应当承担相应的赔偿责任。</w:t>
      </w:r>
    </w:p>
    <w:p>
      <w:pPr>
        <w:rPr>
          <w:rFonts w:ascii="宋体" w:hAnsi="宋体" w:cs="宋体"/>
          <w:szCs w:val="21"/>
        </w:rPr>
      </w:pPr>
      <w:r>
        <w:rPr>
          <w:rFonts w:hint="eastAsia" w:ascii="宋体" w:hAnsi="宋体" w:cs="宋体"/>
          <w:szCs w:val="21"/>
          <w:lang w:bidi="ar"/>
        </w:rPr>
        <w:t>6）任何一方违约，守约方除可要求对方承担本协议约定的违约责任外，还可要求违约方承担守约方因追究违约责任所支付的一切费用，包括但不限于诉讼费、律师费、鉴定费等。</w:t>
      </w:r>
    </w:p>
    <w:p>
      <w:pPr>
        <w:rPr>
          <w:rFonts w:ascii="宋体" w:hAnsi="宋体" w:cs="宋体"/>
          <w:szCs w:val="21"/>
        </w:rPr>
      </w:pPr>
      <w:r>
        <w:rPr>
          <w:rFonts w:hint="eastAsia" w:ascii="宋体" w:hAnsi="宋体" w:cs="宋体"/>
          <w:szCs w:val="21"/>
        </w:rPr>
        <w:t>7）其它违约责任按《中华人民共和国民法典》处理。</w:t>
      </w:r>
    </w:p>
    <w:p>
      <w:pPr>
        <w:rPr>
          <w:rFonts w:ascii="宋体" w:hAnsi="宋体" w:cs="宋体"/>
          <w:b/>
          <w:bCs/>
          <w:szCs w:val="21"/>
        </w:rPr>
      </w:pPr>
    </w:p>
    <w:p>
      <w:pPr>
        <w:rPr>
          <w:rFonts w:ascii="宋体" w:hAnsi="宋体" w:cs="宋体"/>
          <w:b/>
          <w:bCs/>
          <w:szCs w:val="21"/>
        </w:rPr>
      </w:pPr>
      <w:r>
        <w:rPr>
          <w:rFonts w:hint="eastAsia" w:ascii="宋体" w:hAnsi="宋体" w:cs="宋体"/>
          <w:b/>
          <w:bCs/>
          <w:szCs w:val="21"/>
        </w:rPr>
        <w:t xml:space="preserve">九、 争端的解决 </w:t>
      </w:r>
    </w:p>
    <w:p>
      <w:pPr>
        <w:rPr>
          <w:rFonts w:ascii="宋体" w:hAnsi="宋体" w:cs="宋体"/>
          <w:szCs w:val="21"/>
        </w:rPr>
      </w:pPr>
      <w:r>
        <w:rPr>
          <w:rFonts w:hint="eastAsia" w:ascii="宋体" w:hAnsi="宋体" w:cs="宋体"/>
          <w:szCs w:val="21"/>
        </w:rPr>
        <w:t xml:space="preserve">凡与本协议有关的一切争议，甲乙双方应首先通过友好协商方式，如经协商后仍不能达成协议时，双方均可向甲方所在地人民法院提起诉讼。 </w:t>
      </w:r>
    </w:p>
    <w:p>
      <w:pPr>
        <w:rPr>
          <w:rFonts w:ascii="宋体" w:hAnsi="宋体" w:cs="宋体"/>
          <w:szCs w:val="21"/>
        </w:rPr>
      </w:pPr>
    </w:p>
    <w:p>
      <w:pPr>
        <w:rPr>
          <w:rFonts w:ascii="宋体" w:hAnsi="宋体" w:cs="宋体"/>
          <w:b/>
          <w:bCs/>
          <w:szCs w:val="21"/>
        </w:rPr>
      </w:pPr>
      <w:r>
        <w:rPr>
          <w:rFonts w:hint="eastAsia" w:ascii="宋体" w:hAnsi="宋体" w:cs="宋体"/>
          <w:b/>
          <w:bCs/>
          <w:szCs w:val="21"/>
        </w:rPr>
        <w:t xml:space="preserve">十、 不可抗力 </w:t>
      </w:r>
    </w:p>
    <w:p>
      <w:pPr>
        <w:rPr>
          <w:rFonts w:ascii="宋体" w:hAnsi="宋体" w:cs="宋体"/>
          <w:szCs w:val="21"/>
        </w:rPr>
      </w:pPr>
      <w:r>
        <w:rPr>
          <w:rFonts w:hint="eastAsia" w:ascii="宋体" w:hAnsi="宋体" w:cs="宋体"/>
          <w:szCs w:val="21"/>
        </w:rPr>
        <w:t>由于不能预见、不能避免和不能克服的自然原因或社会原因，致使本合同不能履行或者不能完全履行时，遇到上述不可抗力或政府行为的一方，应立即书面通知合同其他方，并应在不可抗力或政府行为发生后十五日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遭受不可抗力或政府行为的一方未履行上述义务的，不能免除其违约责任。</w:t>
      </w:r>
    </w:p>
    <w:p>
      <w:pPr>
        <w:rPr>
          <w:rFonts w:ascii="宋体" w:hAnsi="宋体" w:cs="宋体"/>
          <w:szCs w:val="21"/>
        </w:rPr>
      </w:pPr>
      <w:r>
        <w:rPr>
          <w:rFonts w:hint="eastAsia" w:ascii="宋体" w:hAnsi="宋体" w:cs="宋体"/>
          <w:szCs w:val="21"/>
        </w:rPr>
        <w:t>在出现不可抗力或政府行为的情况下，双方均应采取适当措施减轻损失。任何一方因未采取措施或采取措施不当导致损失扩大的，应当对扩大的损失承担责任。</w:t>
      </w:r>
    </w:p>
    <w:p>
      <w:pPr>
        <w:rPr>
          <w:rFonts w:ascii="宋体" w:hAnsi="宋体" w:cs="宋体"/>
          <w:b/>
          <w:bCs/>
          <w:szCs w:val="21"/>
        </w:rPr>
      </w:pPr>
      <w:r>
        <w:rPr>
          <w:rFonts w:hint="eastAsia" w:ascii="宋体" w:hAnsi="宋体" w:cs="宋体"/>
          <w:b/>
          <w:bCs/>
          <w:szCs w:val="21"/>
        </w:rPr>
        <w:t xml:space="preserve">十一、 税费 </w:t>
      </w:r>
    </w:p>
    <w:p>
      <w:pPr>
        <w:rPr>
          <w:rFonts w:ascii="宋体" w:hAnsi="宋体" w:cs="宋体"/>
          <w:szCs w:val="21"/>
        </w:rPr>
      </w:pPr>
      <w:r>
        <w:rPr>
          <w:rFonts w:hint="eastAsia" w:ascii="宋体" w:hAnsi="宋体" w:cs="宋体"/>
          <w:szCs w:val="21"/>
        </w:rPr>
        <w:t xml:space="preserve">在中国境内、外发生的与本合同执行有关的一切税费均由乙方负担。 </w:t>
      </w:r>
    </w:p>
    <w:p>
      <w:pPr>
        <w:rPr>
          <w:rFonts w:ascii="宋体" w:hAnsi="宋体" w:cs="宋体"/>
          <w:szCs w:val="21"/>
        </w:rPr>
      </w:pPr>
    </w:p>
    <w:p>
      <w:pPr>
        <w:rPr>
          <w:rFonts w:ascii="宋体" w:hAnsi="宋体" w:cs="宋体"/>
          <w:b/>
          <w:bCs/>
          <w:szCs w:val="21"/>
        </w:rPr>
      </w:pPr>
      <w:r>
        <w:rPr>
          <w:rFonts w:hint="eastAsia" w:ascii="宋体" w:hAnsi="宋体" w:cs="宋体"/>
          <w:b/>
          <w:bCs/>
          <w:szCs w:val="21"/>
        </w:rPr>
        <w:t>十二、通知送达</w:t>
      </w:r>
    </w:p>
    <w:p>
      <w:pPr>
        <w:jc w:val="left"/>
        <w:rPr>
          <w:rFonts w:ascii="宋体" w:hAnsi="宋体" w:cs="宋体"/>
          <w:szCs w:val="21"/>
        </w:rPr>
      </w:pPr>
      <w:r>
        <w:rPr>
          <w:rFonts w:hint="eastAsia" w:ascii="宋体" w:hAnsi="宋体" w:cs="宋体"/>
          <w:szCs w:val="21"/>
        </w:rPr>
        <w:t>与本合同签订、履行以及争议解决等有关的文件、通知、材料等的送达，均以合同首部列明的地址和邮箱为准，只要有关的文件、通知、材料送达至上述地址或邮箱，无论受送达方是否实际拆阅或查阅，均视为送达。</w:t>
      </w:r>
    </w:p>
    <w:p>
      <w:pPr>
        <w:jc w:val="left"/>
        <w:rPr>
          <w:rFonts w:ascii="宋体" w:hAnsi="宋体" w:cs="宋体"/>
          <w:szCs w:val="21"/>
        </w:rPr>
      </w:pPr>
      <w:r>
        <w:rPr>
          <w:rFonts w:hint="eastAsia" w:ascii="宋体" w:hAnsi="宋体" w:cs="宋体"/>
          <w:szCs w:val="21"/>
        </w:rPr>
        <w:t>任何一方联系地址、联系方式或联系人变更，应在发生变更情况之日起3个工作日内以电话或书面形式通知另一方；否则，按未变更地址送达视为有效送达，无论该文件是否退回或被拒收，由此产生的责任与损失由变更方承担。</w:t>
      </w:r>
    </w:p>
    <w:p/>
    <w:p>
      <w:pPr>
        <w:rPr>
          <w:rFonts w:ascii="宋体" w:hAnsi="宋体" w:cs="宋体"/>
          <w:b/>
          <w:bCs/>
          <w:szCs w:val="21"/>
        </w:rPr>
      </w:pPr>
      <w:r>
        <w:rPr>
          <w:rFonts w:hint="eastAsia" w:ascii="宋体" w:hAnsi="宋体" w:cs="宋体"/>
          <w:b/>
          <w:bCs/>
          <w:szCs w:val="21"/>
        </w:rPr>
        <w:t xml:space="preserve">十三、 其它 </w:t>
      </w:r>
    </w:p>
    <w:p>
      <w:pPr>
        <w:rPr>
          <w:rFonts w:ascii="宋体" w:hAnsi="宋体" w:cs="宋体"/>
          <w:szCs w:val="21"/>
        </w:rPr>
      </w:pPr>
      <w:r>
        <w:rPr>
          <w:rFonts w:hint="eastAsia" w:ascii="宋体" w:hAnsi="宋体" w:cs="宋体"/>
          <w:szCs w:val="21"/>
        </w:rPr>
        <w:t xml:space="preserve">1）本合同所有附件、采购文件、投标文件、中标通知书均为合同的有效组成部分，与本合同具有同等法律效力。 </w:t>
      </w:r>
    </w:p>
    <w:p>
      <w:pPr>
        <w:rPr>
          <w:rFonts w:ascii="宋体" w:hAnsi="宋体" w:cs="宋体"/>
          <w:szCs w:val="21"/>
        </w:rPr>
      </w:pPr>
      <w:r>
        <w:rPr>
          <w:rFonts w:hint="eastAsia" w:ascii="宋体" w:hAnsi="宋体" w:cs="宋体"/>
          <w:szCs w:val="21"/>
        </w:rPr>
        <w:t xml:space="preserve">2）在执行本合同的过程中，所有经双方签署确认的文件（包括会议纪要、补充协议、往来信函）即成为本合同的有效组成部分。 </w:t>
      </w:r>
    </w:p>
    <w:p>
      <w:pPr>
        <w:rPr>
          <w:rFonts w:ascii="宋体" w:hAnsi="宋体" w:cs="宋体"/>
          <w:szCs w:val="21"/>
        </w:rPr>
      </w:pPr>
      <w:r>
        <w:rPr>
          <w:rFonts w:hint="eastAsia" w:ascii="宋体" w:hAnsi="宋体" w:cs="宋体"/>
          <w:szCs w:val="21"/>
        </w:rPr>
        <w:t xml:space="preserve">3）如一方地址、电话、传真号码有变更，应在变更当日内书面通知对方，否则，应承担相应责任。 </w:t>
      </w:r>
    </w:p>
    <w:p>
      <w:pPr>
        <w:rPr>
          <w:rFonts w:ascii="宋体" w:hAnsi="宋体" w:cs="宋体"/>
          <w:szCs w:val="21"/>
        </w:rPr>
      </w:pPr>
      <w:r>
        <w:rPr>
          <w:rFonts w:hint="eastAsia" w:ascii="宋体" w:hAnsi="宋体" w:cs="宋体"/>
          <w:szCs w:val="21"/>
        </w:rPr>
        <w:t>4）除甲方事先书面同意外，乙方不得部分或全部转让其应履行的合同项下的义务。</w:t>
      </w:r>
    </w:p>
    <w:p>
      <w:pPr>
        <w:rPr>
          <w:rFonts w:ascii="宋体" w:hAnsi="宋体" w:cs="宋体"/>
          <w:szCs w:val="21"/>
        </w:rPr>
      </w:pPr>
      <w:r>
        <w:rPr>
          <w:rFonts w:hint="eastAsia" w:ascii="宋体" w:hAnsi="宋体" w:cs="宋体"/>
          <w:szCs w:val="21"/>
        </w:rPr>
        <w:t xml:space="preserve"> </w:t>
      </w:r>
    </w:p>
    <w:p>
      <w:pPr>
        <w:rPr>
          <w:rFonts w:ascii="宋体" w:hAnsi="宋体" w:cs="宋体"/>
          <w:b/>
          <w:bCs/>
          <w:szCs w:val="21"/>
        </w:rPr>
      </w:pPr>
      <w:r>
        <w:rPr>
          <w:rFonts w:hint="eastAsia" w:ascii="宋体" w:hAnsi="宋体" w:cs="宋体"/>
          <w:b/>
          <w:bCs/>
          <w:szCs w:val="21"/>
        </w:rPr>
        <w:t xml:space="preserve">十四、 合同生效： </w:t>
      </w:r>
    </w:p>
    <w:p>
      <w:pPr>
        <w:rPr>
          <w:rFonts w:ascii="宋体" w:hAnsi="宋体" w:cs="宋体"/>
          <w:szCs w:val="21"/>
        </w:rPr>
      </w:pPr>
      <w:r>
        <w:rPr>
          <w:rFonts w:hint="eastAsia" w:ascii="宋体" w:hAnsi="宋体" w:cs="宋体"/>
          <w:szCs w:val="21"/>
        </w:rPr>
        <w:t>1）本协议一式柒份，具有同等效力，甲方肆份、乙方贰份、招标代理机构壹份。协议自双方授权代表签字并加盖公章之日起生效。</w:t>
      </w:r>
    </w:p>
    <w:p>
      <w:pPr>
        <w:rPr>
          <w:rFonts w:ascii="宋体" w:hAnsi="宋体" w:cs="宋体"/>
          <w:szCs w:val="21"/>
        </w:rPr>
      </w:pPr>
      <w:r>
        <w:rPr>
          <w:rFonts w:hint="eastAsia" w:ascii="宋体" w:hAnsi="宋体" w:cs="宋体"/>
          <w:szCs w:val="21"/>
        </w:rPr>
        <w:t>2）本协议在履行过程中未尽事宜，由双方签署补充协议确定，并与本协议具有同等法律效力。</w:t>
      </w:r>
    </w:p>
    <w:p>
      <w:pPr>
        <w:jc w:val="left"/>
        <w:rPr>
          <w:rFonts w:ascii="宋体" w:hAnsi="宋体" w:cs="宋体"/>
          <w:szCs w:val="21"/>
        </w:rPr>
      </w:pPr>
      <w:r>
        <w:rPr>
          <w:rFonts w:hint="eastAsia" w:ascii="宋体" w:hAnsi="宋体" w:cs="宋体"/>
          <w:szCs w:val="21"/>
        </w:rPr>
        <w:t>3）本合同中有关争议解决的条款，不因本合同期满、解除或宣告无效而失效。</w:t>
      </w:r>
    </w:p>
    <w:p>
      <w:pPr>
        <w:rPr>
          <w:rFonts w:ascii="宋体" w:hAnsi="宋体" w:cs="宋体"/>
          <w:szCs w:val="21"/>
        </w:rPr>
      </w:pPr>
      <w:r>
        <w:rPr>
          <w:rFonts w:hint="eastAsia" w:ascii="宋体" w:hAnsi="宋体" w:cs="宋体"/>
          <w:szCs w:val="21"/>
        </w:rPr>
        <w:t>（以下无正文）</w:t>
      </w:r>
    </w:p>
    <w:p>
      <w:pPr>
        <w:rPr>
          <w:rFonts w:ascii="宋体" w:hAnsi="宋体" w:cs="宋体"/>
          <w:szCs w:val="21"/>
        </w:rPr>
      </w:pPr>
    </w:p>
    <w:p>
      <w:pPr>
        <w:rPr>
          <w:rFonts w:ascii="宋体" w:hAnsi="宋体" w:cs="宋体"/>
          <w:szCs w:val="21"/>
        </w:rPr>
      </w:pPr>
      <w:r>
        <w:rPr>
          <w:rFonts w:hint="eastAsia" w:ascii="宋体" w:hAnsi="宋体" w:cs="宋体"/>
          <w:szCs w:val="21"/>
        </w:rPr>
        <w:t xml:space="preserve">甲方（盖章）：                                 乙方（盖章）： </w:t>
      </w:r>
    </w:p>
    <w:p>
      <w:pPr>
        <w:rPr>
          <w:rFonts w:ascii="宋体" w:hAnsi="宋体" w:cs="宋体"/>
          <w:szCs w:val="21"/>
        </w:rPr>
      </w:pPr>
    </w:p>
    <w:p>
      <w:pPr>
        <w:rPr>
          <w:rFonts w:ascii="宋体" w:hAnsi="宋体" w:cs="宋体"/>
          <w:szCs w:val="21"/>
        </w:rPr>
      </w:pPr>
      <w:r>
        <w:rPr>
          <w:rFonts w:hint="eastAsia" w:ascii="宋体" w:hAnsi="宋体" w:cs="宋体"/>
          <w:szCs w:val="21"/>
        </w:rPr>
        <w:t xml:space="preserve">代表：                                        代表： </w:t>
      </w:r>
    </w:p>
    <w:p>
      <w:pPr>
        <w:rPr>
          <w:rFonts w:ascii="宋体" w:hAnsi="宋体" w:cs="宋体"/>
          <w:szCs w:val="21"/>
        </w:rPr>
      </w:pPr>
    </w:p>
    <w:p>
      <w:pPr>
        <w:rPr>
          <w:rFonts w:ascii="宋体" w:hAnsi="宋体" w:cs="宋体"/>
          <w:szCs w:val="21"/>
        </w:rPr>
      </w:pPr>
      <w:r>
        <w:rPr>
          <w:rFonts w:hint="eastAsia" w:ascii="宋体" w:hAnsi="宋体" w:cs="宋体"/>
          <w:szCs w:val="21"/>
        </w:rPr>
        <w:t xml:space="preserve">签定地点： </w:t>
      </w:r>
    </w:p>
    <w:p>
      <w:pPr>
        <w:rPr>
          <w:rFonts w:ascii="宋体" w:hAnsi="宋体" w:cs="宋体"/>
          <w:szCs w:val="21"/>
        </w:rPr>
      </w:pPr>
    </w:p>
    <w:p>
      <w:pPr>
        <w:rPr>
          <w:rFonts w:ascii="宋体" w:hAnsi="宋体" w:cs="宋体"/>
          <w:szCs w:val="21"/>
        </w:rPr>
      </w:pPr>
      <w:r>
        <w:rPr>
          <w:rFonts w:hint="eastAsia" w:ascii="宋体" w:hAnsi="宋体" w:cs="宋体"/>
          <w:szCs w:val="21"/>
        </w:rPr>
        <w:t xml:space="preserve">签定日期：     年     月     日               签定日期：    年     月     日 </w:t>
      </w:r>
    </w:p>
    <w:p>
      <w:pPr>
        <w:rPr>
          <w:rFonts w:ascii="宋体" w:hAnsi="宋体" w:cs="宋体"/>
          <w:szCs w:val="21"/>
        </w:rPr>
      </w:pPr>
    </w:p>
    <w:p>
      <w:pPr>
        <w:rPr>
          <w:rFonts w:ascii="宋体" w:hAnsi="宋体" w:cs="宋体"/>
          <w:szCs w:val="21"/>
        </w:rPr>
      </w:pPr>
      <w:r>
        <w:rPr>
          <w:rFonts w:hint="eastAsia" w:ascii="宋体" w:hAnsi="宋体" w:cs="宋体"/>
          <w:szCs w:val="21"/>
        </w:rPr>
        <w:t xml:space="preserve">                                              开户名称： </w:t>
      </w:r>
    </w:p>
    <w:p>
      <w:pPr>
        <w:rPr>
          <w:rFonts w:ascii="宋体" w:hAnsi="宋体" w:cs="宋体"/>
          <w:szCs w:val="21"/>
        </w:rPr>
      </w:pPr>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 xml:space="preserve">                                              银行账号： </w:t>
      </w:r>
    </w:p>
    <w:p>
      <w:pPr>
        <w:rPr>
          <w:rFonts w:ascii="宋体" w:hAnsi="宋体" w:cs="宋体"/>
          <w:szCs w:val="21"/>
        </w:rPr>
      </w:pPr>
    </w:p>
    <w:p>
      <w:pPr>
        <w:rPr>
          <w:rFonts w:ascii="宋体" w:hAnsi="宋体" w:cs="宋体"/>
          <w:szCs w:val="21"/>
        </w:rPr>
      </w:pPr>
      <w:r>
        <w:rPr>
          <w:rFonts w:hint="eastAsia" w:ascii="宋体" w:hAnsi="宋体" w:cs="宋体"/>
          <w:szCs w:val="21"/>
        </w:rPr>
        <w:t xml:space="preserve">                                              开 户 行： </w:t>
      </w:r>
    </w:p>
    <w:p>
      <w:pPr>
        <w:snapToGrid w:val="0"/>
        <w:spacing w:line="360" w:lineRule="auto"/>
        <w:ind w:firstLine="4200" w:firstLineChars="2000"/>
        <w:rPr>
          <w:rFonts w:ascii="宋体" w:hAnsi="宋体"/>
          <w:szCs w:val="21"/>
        </w:rPr>
      </w:pPr>
    </w:p>
    <w:p>
      <w:pPr>
        <w:spacing w:before="156" w:beforeLines="50" w:after="156" w:afterLines="50" w:line="360" w:lineRule="auto"/>
        <w:jc w:val="center"/>
        <w:outlineLvl w:val="0"/>
        <w:rPr>
          <w:rFonts w:ascii="宋体" w:hAnsi="宋体"/>
          <w:b/>
          <w:bCs/>
          <w:sz w:val="28"/>
          <w:szCs w:val="28"/>
        </w:rPr>
      </w:pPr>
      <w:r>
        <w:rPr>
          <w:rFonts w:ascii="宋体" w:hAnsi="宋体"/>
          <w:b/>
          <w:bCs/>
          <w:sz w:val="28"/>
          <w:szCs w:val="28"/>
        </w:rPr>
        <w:br w:type="page"/>
      </w:r>
      <w:bookmarkStart w:id="55" w:name="_Toc30288"/>
      <w:r>
        <w:rPr>
          <w:rFonts w:hint="eastAsia" w:ascii="宋体" w:hAnsi="宋体"/>
          <w:b/>
          <w:bCs/>
          <w:sz w:val="28"/>
          <w:szCs w:val="28"/>
        </w:rPr>
        <w:t>第六章  投标文件格式</w:t>
      </w:r>
      <w:bookmarkEnd w:id="55"/>
    </w:p>
    <w:p>
      <w:pPr>
        <w:autoSpaceDE w:val="0"/>
        <w:autoSpaceDN w:val="0"/>
        <w:adjustRightInd w:val="0"/>
        <w:snapToGrid w:val="0"/>
        <w:spacing w:line="360" w:lineRule="auto"/>
        <w:jc w:val="center"/>
        <w:outlineLvl w:val="1"/>
        <w:rPr>
          <w:rFonts w:ascii="宋体" w:hAnsi="宋体"/>
          <w:b/>
          <w:sz w:val="28"/>
          <w:szCs w:val="28"/>
          <w:lang w:eastAsia="zh-TW"/>
        </w:rPr>
      </w:pPr>
      <w:r>
        <w:rPr>
          <w:rFonts w:hint="eastAsia" w:ascii="宋体" w:hAnsi="宋体"/>
          <w:b/>
          <w:sz w:val="28"/>
          <w:szCs w:val="28"/>
          <w:lang w:eastAsia="zh-TW"/>
        </w:rPr>
        <w:t>投标文件包装封面参考</w:t>
      </w:r>
    </w:p>
    <w:tbl>
      <w:tblPr>
        <w:tblStyle w:val="17"/>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5" w:hRule="atLeast"/>
          <w:jc w:val="center"/>
        </w:trPr>
        <w:tc>
          <w:tcPr>
            <w:tcW w:w="10682" w:type="dxa"/>
          </w:tcPr>
          <w:p>
            <w:pPr>
              <w:pStyle w:val="5"/>
              <w:spacing w:line="360" w:lineRule="auto"/>
              <w:rPr>
                <w:rFonts w:ascii="宋体" w:hAnsi="宋体"/>
                <w:b/>
                <w:kern w:val="2"/>
                <w:sz w:val="32"/>
              </w:rPr>
            </w:pPr>
          </w:p>
          <w:p>
            <w:pPr>
              <w:pStyle w:val="5"/>
              <w:spacing w:line="360" w:lineRule="auto"/>
              <w:rPr>
                <w:rFonts w:ascii="宋体" w:hAnsi="宋体"/>
                <w:b/>
                <w:kern w:val="2"/>
                <w:sz w:val="32"/>
              </w:rPr>
            </w:pPr>
          </w:p>
          <w:p>
            <w:pPr>
              <w:pStyle w:val="5"/>
              <w:spacing w:line="360" w:lineRule="auto"/>
              <w:jc w:val="center"/>
              <w:rPr>
                <w:rFonts w:ascii="宋体" w:hAnsi="宋体"/>
                <w:b/>
                <w:kern w:val="2"/>
                <w:sz w:val="72"/>
                <w:szCs w:val="72"/>
              </w:rPr>
            </w:pPr>
            <w:r>
              <w:rPr>
                <w:rFonts w:hint="eastAsia" w:ascii="宋体" w:hAnsi="宋体"/>
                <w:b/>
                <w:kern w:val="2"/>
                <w:sz w:val="72"/>
                <w:szCs w:val="72"/>
              </w:rPr>
              <w:t>投 标 文 件</w:t>
            </w:r>
          </w:p>
          <w:p>
            <w:pPr>
              <w:pStyle w:val="5"/>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开标信封</w:t>
            </w:r>
          </w:p>
          <w:p>
            <w:pPr>
              <w:pStyle w:val="5"/>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正本</w:t>
            </w:r>
          </w:p>
          <w:p>
            <w:pPr>
              <w:pStyle w:val="5"/>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副本</w:t>
            </w:r>
          </w:p>
          <w:p>
            <w:pPr>
              <w:pStyle w:val="5"/>
              <w:spacing w:line="360" w:lineRule="auto"/>
              <w:rPr>
                <w:rFonts w:ascii="宋体" w:hAnsi="宋体"/>
                <w:b/>
                <w:kern w:val="2"/>
                <w:sz w:val="32"/>
              </w:rPr>
            </w:pPr>
          </w:p>
          <w:p>
            <w:pPr>
              <w:pStyle w:val="5"/>
              <w:spacing w:line="360" w:lineRule="auto"/>
              <w:rPr>
                <w:rFonts w:ascii="宋体" w:hAnsi="宋体"/>
                <w:b/>
                <w:kern w:val="2"/>
                <w:sz w:val="32"/>
              </w:rPr>
            </w:pPr>
          </w:p>
          <w:p>
            <w:pPr>
              <w:pStyle w:val="5"/>
              <w:spacing w:line="400" w:lineRule="exact"/>
              <w:ind w:firstLine="900" w:firstLineChars="320"/>
              <w:rPr>
                <w:rFonts w:ascii="宋体" w:hAnsi="宋体"/>
                <w:b/>
                <w:kern w:val="2"/>
                <w:sz w:val="28"/>
                <w:szCs w:val="28"/>
              </w:rPr>
            </w:pPr>
            <w:r>
              <w:rPr>
                <w:rFonts w:hint="eastAsia" w:ascii="宋体" w:hAnsi="宋体"/>
                <w:b/>
                <w:kern w:val="2"/>
                <w:sz w:val="28"/>
                <w:szCs w:val="28"/>
              </w:rPr>
              <w:t>项目编号：GZBC21HG01005</w:t>
            </w:r>
          </w:p>
          <w:p>
            <w:pPr>
              <w:pStyle w:val="5"/>
              <w:spacing w:line="400" w:lineRule="exact"/>
              <w:ind w:left="2287" w:leftChars="420" w:hanging="1405" w:hangingChars="500"/>
              <w:rPr>
                <w:rFonts w:ascii="宋体" w:hAnsi="宋体"/>
                <w:b/>
                <w:kern w:val="2"/>
                <w:sz w:val="28"/>
                <w:szCs w:val="28"/>
              </w:rPr>
            </w:pPr>
            <w:r>
              <w:rPr>
                <w:rFonts w:hint="eastAsia" w:ascii="宋体" w:hAnsi="宋体"/>
                <w:b/>
                <w:kern w:val="2"/>
                <w:sz w:val="28"/>
                <w:szCs w:val="28"/>
              </w:rPr>
              <w:t>项目名称：广州市地质灾害在册隐患点专业监测设备采购</w:t>
            </w:r>
          </w:p>
          <w:p>
            <w:pPr>
              <w:pStyle w:val="5"/>
              <w:spacing w:line="400" w:lineRule="exact"/>
              <w:ind w:firstLine="900" w:firstLineChars="320"/>
              <w:rPr>
                <w:rFonts w:ascii="宋体" w:hAnsi="宋体"/>
                <w:b/>
                <w:kern w:val="2"/>
                <w:sz w:val="28"/>
                <w:szCs w:val="28"/>
              </w:rPr>
            </w:pPr>
            <w:r>
              <w:rPr>
                <w:rFonts w:hint="eastAsia" w:ascii="宋体" w:hAnsi="宋体"/>
                <w:b/>
                <w:kern w:val="2"/>
                <w:sz w:val="28"/>
                <w:szCs w:val="28"/>
              </w:rPr>
              <w:t>投标人名称：</w:t>
            </w:r>
          </w:p>
          <w:p>
            <w:pPr>
              <w:pStyle w:val="5"/>
              <w:spacing w:line="400" w:lineRule="exact"/>
              <w:ind w:firstLine="900" w:firstLineChars="320"/>
              <w:rPr>
                <w:rFonts w:ascii="宋体" w:hAnsi="宋体"/>
                <w:b/>
                <w:kern w:val="2"/>
                <w:sz w:val="28"/>
                <w:szCs w:val="28"/>
              </w:rPr>
            </w:pPr>
            <w:r>
              <w:rPr>
                <w:rFonts w:hint="eastAsia" w:ascii="宋体" w:hAnsi="宋体"/>
                <w:b/>
                <w:kern w:val="2"/>
                <w:sz w:val="28"/>
                <w:szCs w:val="28"/>
              </w:rPr>
              <w:t>投标人地址：</w:t>
            </w:r>
          </w:p>
          <w:p>
            <w:pPr>
              <w:pStyle w:val="5"/>
              <w:spacing w:line="400" w:lineRule="exact"/>
              <w:ind w:firstLine="900" w:firstLineChars="320"/>
              <w:rPr>
                <w:rFonts w:ascii="宋体" w:hAnsi="宋体"/>
                <w:b/>
                <w:kern w:val="2"/>
                <w:sz w:val="28"/>
                <w:szCs w:val="28"/>
              </w:rPr>
            </w:pPr>
            <w:r>
              <w:rPr>
                <w:rFonts w:hint="eastAsia" w:ascii="宋体" w:hAnsi="宋体"/>
                <w:b/>
                <w:kern w:val="2"/>
                <w:sz w:val="28"/>
                <w:szCs w:val="28"/>
              </w:rPr>
              <w:t>递交地址：</w:t>
            </w:r>
          </w:p>
          <w:p>
            <w:pPr>
              <w:pStyle w:val="5"/>
              <w:spacing w:line="400" w:lineRule="exact"/>
              <w:ind w:firstLine="900" w:firstLineChars="320"/>
              <w:rPr>
                <w:rFonts w:ascii="宋体" w:hAnsi="宋体"/>
                <w:b/>
                <w:kern w:val="2"/>
                <w:sz w:val="28"/>
                <w:szCs w:val="28"/>
              </w:rPr>
            </w:pPr>
            <w:r>
              <w:rPr>
                <w:rFonts w:ascii="宋体" w:hAnsi="宋体"/>
                <w:b/>
                <w:kern w:val="2"/>
                <w:sz w:val="28"/>
                <w:szCs w:val="28"/>
              </w:rPr>
              <w:t>(</w:t>
            </w:r>
            <w:r>
              <w:rPr>
                <w:rFonts w:ascii="宋体" w:hAnsi="宋体"/>
                <w:b/>
                <w:kern w:val="2"/>
                <w:sz w:val="28"/>
                <w:szCs w:val="28"/>
                <w:u w:val="single"/>
              </w:rPr>
              <w:t xml:space="preserve">    </w:t>
            </w:r>
            <w:r>
              <w:rPr>
                <w:rFonts w:hint="eastAsia" w:ascii="宋体" w:hAnsi="宋体"/>
                <w:b/>
                <w:kern w:val="2"/>
                <w:sz w:val="28"/>
                <w:szCs w:val="28"/>
              </w:rPr>
              <w:t>年</w:t>
            </w:r>
            <w:r>
              <w:rPr>
                <w:rFonts w:ascii="宋体" w:hAnsi="宋体"/>
                <w:b/>
                <w:kern w:val="2"/>
                <w:sz w:val="28"/>
                <w:szCs w:val="28"/>
                <w:u w:val="single"/>
              </w:rPr>
              <w:t xml:space="preserve">    </w:t>
            </w:r>
            <w:r>
              <w:rPr>
                <w:rFonts w:hint="eastAsia" w:ascii="宋体" w:hAnsi="宋体"/>
                <w:b/>
                <w:kern w:val="2"/>
                <w:sz w:val="28"/>
                <w:szCs w:val="28"/>
              </w:rPr>
              <w:t>月</w:t>
            </w:r>
            <w:r>
              <w:rPr>
                <w:rFonts w:ascii="宋体" w:hAnsi="宋体"/>
                <w:b/>
                <w:kern w:val="2"/>
                <w:sz w:val="28"/>
                <w:szCs w:val="28"/>
                <w:u w:val="single"/>
              </w:rPr>
              <w:t xml:space="preserve">    </w:t>
            </w:r>
            <w:r>
              <w:rPr>
                <w:rFonts w:hint="eastAsia" w:ascii="宋体" w:hAnsi="宋体"/>
                <w:b/>
                <w:kern w:val="2"/>
                <w:sz w:val="28"/>
                <w:szCs w:val="28"/>
              </w:rPr>
              <w:t>日</w:t>
            </w:r>
            <w:r>
              <w:rPr>
                <w:rFonts w:ascii="宋体" w:hAnsi="宋体"/>
                <w:b/>
                <w:kern w:val="2"/>
                <w:sz w:val="28"/>
                <w:szCs w:val="28"/>
                <w:u w:val="single"/>
              </w:rPr>
              <w:t xml:space="preserve">    </w:t>
            </w:r>
            <w:r>
              <w:rPr>
                <w:rFonts w:hint="eastAsia" w:ascii="宋体" w:hAnsi="宋体"/>
                <w:b/>
                <w:kern w:val="2"/>
                <w:sz w:val="28"/>
                <w:szCs w:val="28"/>
              </w:rPr>
              <w:t>时</w:t>
            </w:r>
            <w:r>
              <w:rPr>
                <w:rFonts w:ascii="宋体" w:hAnsi="宋体"/>
                <w:b/>
                <w:kern w:val="2"/>
                <w:sz w:val="28"/>
                <w:szCs w:val="28"/>
                <w:u w:val="single"/>
              </w:rPr>
              <w:t xml:space="preserve">    </w:t>
            </w:r>
            <w:r>
              <w:rPr>
                <w:rFonts w:hint="eastAsia" w:ascii="宋体" w:hAnsi="宋体"/>
                <w:b/>
                <w:kern w:val="2"/>
                <w:sz w:val="28"/>
                <w:szCs w:val="28"/>
              </w:rPr>
              <w:t>分</w:t>
            </w:r>
            <w:r>
              <w:rPr>
                <w:rFonts w:ascii="宋体" w:hAnsi="宋体"/>
                <w:b/>
                <w:kern w:val="2"/>
                <w:sz w:val="28"/>
                <w:szCs w:val="28"/>
              </w:rPr>
              <w:t>)</w:t>
            </w:r>
            <w:r>
              <w:rPr>
                <w:rFonts w:hint="eastAsia" w:ascii="宋体" w:hAnsi="宋体"/>
                <w:b/>
                <w:kern w:val="2"/>
                <w:sz w:val="28"/>
                <w:szCs w:val="28"/>
              </w:rPr>
              <w:t>之前不得启封</w:t>
            </w:r>
          </w:p>
          <w:p>
            <w:pPr>
              <w:pStyle w:val="5"/>
              <w:spacing w:line="400" w:lineRule="exact"/>
              <w:ind w:firstLine="900" w:firstLineChars="320"/>
              <w:rPr>
                <w:rFonts w:ascii="宋体" w:hAnsi="宋体"/>
                <w:b/>
                <w:kern w:val="2"/>
                <w:sz w:val="28"/>
                <w:szCs w:val="28"/>
              </w:rPr>
            </w:pPr>
          </w:p>
          <w:p>
            <w:pPr>
              <w:pStyle w:val="5"/>
              <w:spacing w:line="400" w:lineRule="exact"/>
              <w:ind w:firstLine="900" w:firstLineChars="320"/>
              <w:rPr>
                <w:rFonts w:ascii="宋体" w:hAnsi="宋体"/>
                <w:b/>
                <w:kern w:val="2"/>
                <w:sz w:val="28"/>
                <w:szCs w:val="28"/>
              </w:rPr>
            </w:pPr>
          </w:p>
          <w:p>
            <w:pPr>
              <w:pStyle w:val="5"/>
              <w:spacing w:line="400" w:lineRule="exact"/>
              <w:rPr>
                <w:rFonts w:ascii="宋体" w:hAnsi="宋体"/>
                <w:b/>
                <w:kern w:val="2"/>
                <w:sz w:val="28"/>
                <w:szCs w:val="28"/>
              </w:rPr>
            </w:pPr>
          </w:p>
        </w:tc>
      </w:tr>
    </w:tbl>
    <w:p>
      <w:pPr>
        <w:rPr>
          <w:szCs w:val="21"/>
        </w:rPr>
      </w:pPr>
      <w:r>
        <w:rPr>
          <w:rFonts w:hint="eastAsia"/>
          <w:szCs w:val="21"/>
        </w:rPr>
        <w:br w:type="page"/>
      </w:r>
    </w:p>
    <w:p>
      <w:pPr>
        <w:jc w:val="center"/>
        <w:rPr>
          <w:rFonts w:ascii="宋体" w:hAnsi="宋体"/>
          <w:sz w:val="24"/>
        </w:rPr>
      </w:pPr>
      <w:r>
        <w:rPr>
          <w:rFonts w:hint="eastAsia" w:ascii="宋体" w:hAnsi="宋体"/>
          <w:sz w:val="24"/>
        </w:rPr>
        <w:t>投标文件目录表</w:t>
      </w:r>
    </w:p>
    <w:p>
      <w:pPr>
        <w:jc w:val="center"/>
        <w:rPr>
          <w:rFonts w:ascii="宋体" w:hAnsi="宋体"/>
          <w:sz w:val="24"/>
        </w:rPr>
      </w:pPr>
    </w:p>
    <w:p>
      <w:pPr>
        <w:ind w:left="210" w:leftChars="100"/>
        <w:rPr>
          <w:rFonts w:ascii="宋体" w:hAnsi="宋体"/>
          <w:b/>
        </w:rPr>
      </w:pPr>
      <w:r>
        <w:rPr>
          <w:rFonts w:hint="eastAsia" w:ascii="宋体" w:hAnsi="宋体"/>
          <w:b/>
        </w:rPr>
        <w:t>说明：投标文件包括但不限于以下组成内容，请按顺序制作。</w:t>
      </w:r>
    </w:p>
    <w:p>
      <w:pPr>
        <w:ind w:firstLine="210" w:firstLineChars="100"/>
        <w:rPr>
          <w:rFonts w:ascii="宋体" w:hAnsi="宋体"/>
        </w:rPr>
      </w:pPr>
      <w:r>
        <w:rPr>
          <w:rFonts w:hint="eastAsia" w:ascii="宋体" w:hAnsi="宋体"/>
        </w:rPr>
        <w:t xml:space="preserve">项目名称：广州市地质灾害在册隐患点专业监测设备采购    项目编号：GZBC21HG01005 </w:t>
      </w:r>
    </w:p>
    <w:p>
      <w:pPr>
        <w:jc w:val="center"/>
        <w:rPr>
          <w:rFonts w:ascii="宋体" w:hAnsi="宋体"/>
          <w:b/>
          <w:sz w:val="24"/>
        </w:rPr>
      </w:pPr>
      <w:r>
        <w:rPr>
          <w:rFonts w:hint="eastAsia" w:ascii="宋体" w:hAnsi="宋体"/>
          <w:b/>
          <w:sz w:val="24"/>
        </w:rPr>
        <w:t xml:space="preserve">自 查 表 </w:t>
      </w:r>
    </w:p>
    <w:p>
      <w:pPr>
        <w:jc w:val="center"/>
        <w:rPr>
          <w:rFonts w:ascii="宋体" w:hAnsi="宋体"/>
          <w:b/>
          <w:sz w:val="24"/>
        </w:rPr>
      </w:pPr>
      <w:r>
        <w:rPr>
          <w:rFonts w:hint="eastAsia" w:ascii="宋体" w:hAnsi="宋体"/>
          <w:b/>
          <w:sz w:val="24"/>
        </w:rPr>
        <w:t>资格性/符合性自查表</w:t>
      </w:r>
    </w:p>
    <w:tbl>
      <w:tblPr>
        <w:tblStyle w:val="17"/>
        <w:tblW w:w="1004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20"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20"/>
                <w:rFonts w:hint="eastAsia" w:ascii="宋体" w:hAnsi="宋体"/>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20"/>
                <w:rFonts w:hint="eastAsia" w:ascii="宋体" w:hAnsi="宋体"/>
                <w:szCs w:val="21"/>
              </w:rPr>
              <w:t>招标文件要求</w:t>
            </w:r>
            <w:r>
              <w:rPr>
                <w:rFonts w:hint="eastAsia" w:ascii="宋体" w:hAns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hAnsi="宋体" w:cs="宋体"/>
                <w:szCs w:val="21"/>
              </w:rPr>
            </w:pPr>
            <w:r>
              <w:rPr>
                <w:rStyle w:val="20"/>
                <w:rFonts w:hint="eastAsia" w:ascii="宋体" w:hAnsi="宋体"/>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Style w:val="20"/>
                <w:rFonts w:hint="eastAsia" w:ascii="宋体" w:hAnsi="宋体"/>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3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27"/>
              <w:adjustRightInd w:val="0"/>
              <w:snapToGrid w:val="0"/>
              <w:spacing w:before="0" w:beforeAutospacing="0" w:after="0" w:afterAutospacing="0"/>
              <w:jc w:val="center"/>
              <w:rPr>
                <w:b/>
                <w:sz w:val="21"/>
                <w:szCs w:val="21"/>
              </w:rPr>
            </w:pPr>
            <w:r>
              <w:rPr>
                <w:rFonts w:hint="eastAsia"/>
                <w:b/>
                <w:sz w:val="21"/>
                <w:szCs w:val="21"/>
              </w:rPr>
              <w:t>初步审查</w:t>
            </w:r>
          </w:p>
          <w:p>
            <w:pPr>
              <w:pStyle w:val="27"/>
              <w:adjustRightInd w:val="0"/>
              <w:snapToGrid w:val="0"/>
              <w:spacing w:before="0" w:beforeAutospacing="0" w:after="0" w:afterAutospacing="0"/>
              <w:jc w:val="both"/>
              <w:rPr>
                <w:b/>
                <w:bCs/>
                <w:sz w:val="21"/>
                <w:szCs w:val="21"/>
              </w:rPr>
            </w:pPr>
          </w:p>
          <w:p>
            <w:pPr>
              <w:pStyle w:val="27"/>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b/>
                <w:kern w:val="0"/>
                <w:szCs w:val="21"/>
              </w:rPr>
              <w:t>1.</w:t>
            </w:r>
            <w:r>
              <w:rPr>
                <w:rFonts w:hint="eastAsia" w:ascii="宋体" w:hAnsi="宋体"/>
                <w:bCs/>
                <w:szCs w:val="21"/>
              </w:rPr>
              <w:t>有效的企业法人营业执照（或事业法人登记证）、其他组织的营业执照或者民办非企业单位登记证书复印件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szCs w:val="21"/>
              </w:rPr>
              <w:t>2.</w:t>
            </w:r>
            <w:r>
              <w:rPr>
                <w:rFonts w:ascii="宋体" w:hAnsi="宋体" w:cs="宋体"/>
                <w:szCs w:val="21"/>
              </w:rPr>
              <w:t>供应商必须具有良好的商业信誉和健全的财务会计制度（提供 2019 年的财务状况报告或者 2020 年基本户开户银行出具的资信证明）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szCs w:val="20"/>
              </w:rPr>
              <w:t>3.</w:t>
            </w:r>
            <w:r>
              <w:rPr>
                <w:rFonts w:ascii="宋体" w:hAnsi="宋体" w:cs="宋体"/>
                <w:szCs w:val="21"/>
              </w:rPr>
              <w:t>供应商有依法缴纳税收和社会保障资金的良好记录（提供磋商截止之日前 6 个月任意 1 个月依法缴纳税收和社会保障资金相关证明材料；如依法免税和依法不需要缴纳社会保障资金，则须提供相应文件证明其依法免税和不需要缴纳社会保障资金）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 xml:space="preserve">第（ ）页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szCs w:val="20"/>
              </w:rPr>
              <w:t>4.</w:t>
            </w:r>
            <w:r>
              <w:rPr>
                <w:rFonts w:hint="eastAsia" w:ascii="宋体" w:hAnsi="宋体" w:cs="宋体"/>
                <w:szCs w:val="21"/>
              </w:rPr>
              <w:t>投标函（格式1）</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szCs w:val="21"/>
              </w:rPr>
              <w:t>5.</w:t>
            </w:r>
            <w:r>
              <w:rPr>
                <w:rFonts w:hint="eastAsia" w:ascii="宋体" w:hAnsi="宋体" w:cs="宋体"/>
                <w:szCs w:val="21"/>
              </w:rPr>
              <w:t>投标人资格声明函（格式2）</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Theme="minorEastAsia" w:hAnsiTheme="minorEastAsia" w:eastAsiaTheme="minorEastAsia" w:cstheme="minorEastAsia"/>
                <w:b/>
                <w:szCs w:val="21"/>
              </w:rPr>
              <w:t>6.</w:t>
            </w:r>
            <w:r>
              <w:rPr>
                <w:rFonts w:hint="eastAsia" w:asciiTheme="minorEastAsia" w:hAnsiTheme="minorEastAsia" w:eastAsiaTheme="minorEastAsia" w:cstheme="minorEastAsia"/>
                <w:bCs/>
                <w:szCs w:val="21"/>
              </w:rPr>
              <w:t>法定代表人</w:t>
            </w:r>
            <w:r>
              <w:rPr>
                <w:rFonts w:hint="eastAsia"/>
                <w:bCs/>
                <w:szCs w:val="21"/>
              </w:rPr>
              <w:t>证明书或法定代表人授权委托书</w:t>
            </w:r>
            <w:r>
              <w:rPr>
                <w:rFonts w:hint="eastAsia" w:ascii="宋体" w:hAnsi="宋体" w:cs="宋体"/>
                <w:szCs w:val="21"/>
              </w:rPr>
              <w:t>（格式3、4）</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99" w:hRule="atLeast"/>
          <w:jc w:val="center"/>
        </w:trPr>
        <w:tc>
          <w:tcPr>
            <w:tcW w:w="907" w:type="dxa"/>
            <w:vMerge w:val="continue"/>
            <w:tcBorders>
              <w:left w:val="single" w:color="auto" w:sz="12" w:space="0"/>
              <w:right w:val="outset" w:color="111111" w:sz="6" w:space="0"/>
            </w:tcBorders>
            <w:vAlign w:val="center"/>
          </w:tcPr>
          <w:p>
            <w:pPr>
              <w:pStyle w:val="27"/>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tabs>
                <w:tab w:val="left" w:pos="426"/>
              </w:tabs>
              <w:adjustRightInd w:val="0"/>
              <w:snapToGrid w:val="0"/>
              <w:spacing w:line="360" w:lineRule="auto"/>
              <w:rPr>
                <w:rFonts w:ascii="宋体" w:hAnsi="宋体" w:cs="宋体"/>
                <w:szCs w:val="21"/>
              </w:rPr>
            </w:pPr>
            <w:r>
              <w:rPr>
                <w:rFonts w:hint="eastAsia" w:ascii="宋体" w:hAnsi="宋体" w:cs="宋体"/>
                <w:b/>
                <w:bCs/>
                <w:szCs w:val="21"/>
              </w:rPr>
              <w:t>7.</w:t>
            </w:r>
            <w:r>
              <w:rPr>
                <w:rFonts w:hint="eastAsia" w:ascii="宋体" w:hAnsi="宋体"/>
                <w:bCs/>
                <w:szCs w:val="21"/>
              </w:rPr>
              <w:t>《公平竞争承诺书》复印件</w:t>
            </w:r>
            <w:r>
              <w:rPr>
                <w:rFonts w:hint="eastAsia" w:ascii="宋体" w:hAnsi="宋体" w:cs="宋体"/>
                <w:szCs w:val="21"/>
              </w:rPr>
              <w:t>（格式5）</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bl>
    <w:p>
      <w:pPr>
        <w:rPr>
          <w:rFonts w:ascii="宋体" w:hAnsi="宋体"/>
          <w:b/>
          <w:szCs w:val="21"/>
        </w:rPr>
      </w:pPr>
      <w:r>
        <w:rPr>
          <w:rFonts w:hint="eastAsia" w:ascii="宋体" w:hAnsi="宋体"/>
          <w:b/>
          <w:szCs w:val="21"/>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ascii="宋体" w:hAnsi="宋体"/>
          <w:b/>
          <w:szCs w:val="21"/>
        </w:rPr>
      </w:pPr>
      <w:r>
        <w:rPr>
          <w:rFonts w:hint="eastAsia" w:ascii="宋体" w:hAnsi="宋体"/>
          <w:b/>
          <w:szCs w:val="21"/>
        </w:rPr>
        <w:br w:type="page"/>
      </w:r>
    </w:p>
    <w:p>
      <w:pPr>
        <w:adjustRightInd w:val="0"/>
        <w:snapToGrid w:val="0"/>
        <w:rPr>
          <w:rFonts w:ascii="宋体" w:hAns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hAnsi="宋体"/>
          <w:b/>
          <w:szCs w:val="21"/>
        </w:rPr>
      </w:pPr>
      <w:r>
        <w:rPr>
          <w:rFonts w:hint="eastAsia" w:ascii="宋体" w:hAnsi="宋体"/>
          <w:b/>
          <w:szCs w:val="21"/>
        </w:rPr>
        <w:t>价格评审自查表</w:t>
      </w:r>
    </w:p>
    <w:tbl>
      <w:tblPr>
        <w:tblStyle w:val="1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6"/>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Courier New"/>
              </w:rPr>
            </w:pPr>
            <w:r>
              <w:rPr>
                <w:rFonts w:hint="eastAsia" w:ascii="宋体" w:hAnsi="宋体"/>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cs="Courier New"/>
              </w:rPr>
              <w:t>开标一览表(报价表)</w:t>
            </w:r>
            <w:r>
              <w:rPr>
                <w:rFonts w:hint="eastAsia" w:ascii="宋体" w:hAnsi="宋体" w:cs="宋体"/>
                <w:szCs w:val="21"/>
              </w:rPr>
              <w:t>（格式6）</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6"/>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szCs w:val="21"/>
              </w:rPr>
              <w:t>投标分项报价表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00" w:type="dxa"/>
            <w:vMerge w:val="restart"/>
            <w:tcBorders>
              <w:top w:val="single" w:color="auto" w:sz="4" w:space="0"/>
              <w:left w:val="single" w:color="auto" w:sz="12" w:space="0"/>
              <w:right w:val="single" w:color="auto" w:sz="4" w:space="0"/>
            </w:tcBorders>
            <w:vAlign w:val="center"/>
          </w:tcPr>
          <w:p>
            <w:pPr>
              <w:numPr>
                <w:ilvl w:val="0"/>
                <w:numId w:val="16"/>
              </w:numPr>
              <w:adjustRightInd w:val="0"/>
              <w:snapToGrid w:val="0"/>
              <w:rPr>
                <w:rFonts w:ascii="宋体" w:hAnsi="宋体"/>
                <w:szCs w:val="21"/>
              </w:rPr>
            </w:pPr>
          </w:p>
        </w:tc>
        <w:tc>
          <w:tcPr>
            <w:tcW w:w="3142"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价格扣除</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cs="Courier New"/>
              </w:rPr>
              <w:t>中小企业声明函（可选）</w:t>
            </w:r>
            <w:r>
              <w:rPr>
                <w:rFonts w:hint="eastAsia" w:ascii="宋体" w:hAnsi="宋体" w:cs="宋体"/>
                <w:szCs w:val="21"/>
              </w:rPr>
              <w:t>（格式7）</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right w:val="single" w:color="auto" w:sz="4" w:space="0"/>
            </w:tcBorders>
            <w:vAlign w:val="center"/>
          </w:tcPr>
          <w:p>
            <w:pPr>
              <w:numPr>
                <w:ilvl w:val="0"/>
                <w:numId w:val="16"/>
              </w:numPr>
              <w:adjustRightInd w:val="0"/>
              <w:snapToGrid w:val="0"/>
              <w:rPr>
                <w:rFonts w:ascii="宋体" w:hAnsi="宋体"/>
                <w:szCs w:val="21"/>
              </w:rPr>
            </w:pPr>
          </w:p>
        </w:tc>
        <w:tc>
          <w:tcPr>
            <w:tcW w:w="3142" w:type="dxa"/>
            <w:vMerge w:val="continue"/>
            <w:tcBorders>
              <w:left w:val="single" w:color="auto" w:sz="4" w:space="0"/>
              <w:bottom w:val="single" w:color="auto" w:sz="12" w:space="0"/>
              <w:right w:val="single" w:color="auto" w:sz="4" w:space="0"/>
            </w:tcBorders>
            <w:vAlign w:val="center"/>
          </w:tcPr>
          <w:p>
            <w:pPr>
              <w:snapToGrid w:val="0"/>
              <w:jc w:val="center"/>
              <w:rPr>
                <w:rFonts w:ascii="宋体" w:hAnsi="宋体"/>
                <w:szCs w:val="21"/>
              </w:rPr>
            </w:pPr>
          </w:p>
        </w:tc>
        <w:tc>
          <w:tcPr>
            <w:tcW w:w="267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left"/>
              <w:rPr>
                <w:rFonts w:ascii="宋体" w:hAnsi="宋体" w:cs="Courier New"/>
              </w:rPr>
            </w:pPr>
            <w:r>
              <w:rPr>
                <w:rFonts w:hint="eastAsia" w:ascii="宋体" w:hAnsi="宋体" w:cs="Courier New"/>
              </w:rPr>
              <w:t>政策适用性说明（如有）</w:t>
            </w:r>
          </w:p>
        </w:tc>
        <w:tc>
          <w:tcPr>
            <w:tcW w:w="3346"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ascii="宋体" w:hAnsi="宋体"/>
          <w:b/>
          <w:szCs w:val="21"/>
        </w:rPr>
      </w:pPr>
    </w:p>
    <w:p>
      <w:pPr>
        <w:adjustRightInd w:val="0"/>
        <w:snapToGrid w:val="0"/>
        <w:jc w:val="center"/>
        <w:rPr>
          <w:rFonts w:ascii="宋体" w:hAnsi="宋体"/>
          <w:b/>
          <w:szCs w:val="21"/>
        </w:rPr>
      </w:pPr>
      <w:r>
        <w:rPr>
          <w:rFonts w:hint="eastAsia" w:ascii="宋体" w:hAnsi="宋体"/>
          <w:b/>
          <w:szCs w:val="21"/>
        </w:rPr>
        <w:t>技术评审自查表</w:t>
      </w:r>
    </w:p>
    <w:tbl>
      <w:tblPr>
        <w:tblStyle w:val="1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7"/>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Style w:val="37"/>
                <w:rFonts w:ascii="宋体" w:hAnsi="宋体"/>
                <w:b w:val="0"/>
                <w:bCs w:val="0"/>
                <w:szCs w:val="21"/>
              </w:rPr>
            </w:pPr>
            <w:r>
              <w:rPr>
                <w:rStyle w:val="37"/>
                <w:rFonts w:ascii="宋体" w:hAnsi="宋体"/>
                <w:b w:val="0"/>
                <w:bCs w:val="0"/>
                <w:szCs w:val="21"/>
              </w:rPr>
              <w:t>样品评分</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7"/>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Style w:val="37"/>
                <w:rFonts w:ascii="宋体" w:hAnsi="宋体"/>
                <w:b w:val="0"/>
                <w:bCs w:val="0"/>
                <w:szCs w:val="21"/>
              </w:rPr>
            </w:pPr>
            <w:r>
              <w:rPr>
                <w:rStyle w:val="37"/>
                <w:rFonts w:ascii="宋体" w:hAnsi="宋体"/>
                <w:b w:val="0"/>
                <w:bCs w:val="0"/>
                <w:szCs w:val="21"/>
              </w:rPr>
              <w:t>现场阐述</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7"/>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Style w:val="37"/>
                <w:rFonts w:ascii="宋体" w:hAnsi="宋体"/>
                <w:b w:val="0"/>
                <w:bCs w:val="0"/>
                <w:szCs w:val="21"/>
              </w:rPr>
            </w:pPr>
            <w:r>
              <w:rPr>
                <w:rStyle w:val="37"/>
                <w:rFonts w:ascii="宋体" w:hAnsi="宋体"/>
                <w:b w:val="0"/>
                <w:bCs w:val="0"/>
                <w:szCs w:val="21"/>
              </w:rPr>
              <w:t>投标产品技术要求及参数响应</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7"/>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Style w:val="37"/>
                <w:rFonts w:ascii="宋体" w:hAnsi="宋体"/>
                <w:b w:val="0"/>
                <w:bCs w:val="0"/>
                <w:szCs w:val="21"/>
              </w:rPr>
            </w:pPr>
            <w:r>
              <w:rPr>
                <w:rStyle w:val="37"/>
                <w:rFonts w:ascii="宋体" w:hAnsi="宋体"/>
                <w:b w:val="0"/>
                <w:bCs w:val="0"/>
                <w:szCs w:val="21"/>
              </w:rPr>
              <w:t>《项目实施方案》评分</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ascii="宋体" w:hAnsi="宋体"/>
          <w:b/>
          <w:szCs w:val="21"/>
        </w:rPr>
      </w:pPr>
    </w:p>
    <w:p>
      <w:pPr>
        <w:adjustRightInd w:val="0"/>
        <w:snapToGrid w:val="0"/>
        <w:jc w:val="center"/>
        <w:rPr>
          <w:rFonts w:ascii="宋体" w:hAnsi="宋体"/>
          <w:b/>
          <w:szCs w:val="21"/>
        </w:rPr>
      </w:pPr>
      <w:r>
        <w:rPr>
          <w:rFonts w:hint="eastAsia" w:ascii="宋体" w:hAnsi="宋体"/>
          <w:b/>
          <w:szCs w:val="21"/>
        </w:rPr>
        <w:t>商务评审自查表</w:t>
      </w:r>
    </w:p>
    <w:tbl>
      <w:tblPr>
        <w:tblStyle w:val="1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 w:val="0"/>
                <w:bCs w:val="0"/>
                <w:szCs w:val="21"/>
              </w:rPr>
            </w:pPr>
            <w:r>
              <w:rPr>
                <w:rStyle w:val="37"/>
                <w:rFonts w:ascii="宋体" w:hAnsi="宋体"/>
                <w:b w:val="0"/>
                <w:bCs w:val="0"/>
                <w:szCs w:val="21"/>
              </w:rPr>
              <w:t>售后服务方案</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 w:val="0"/>
                <w:bCs w:val="0"/>
                <w:szCs w:val="21"/>
              </w:rPr>
            </w:pPr>
            <w:r>
              <w:rPr>
                <w:rStyle w:val="37"/>
                <w:rFonts w:ascii="宋体" w:hAnsi="宋体"/>
                <w:b w:val="0"/>
                <w:bCs w:val="0"/>
                <w:szCs w:val="21"/>
              </w:rPr>
              <w:t>常驻本地售后服务人员</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8"/>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b w:val="0"/>
                <w:bCs w:val="0"/>
                <w:szCs w:val="21"/>
              </w:rPr>
            </w:pPr>
            <w:r>
              <w:rPr>
                <w:rStyle w:val="37"/>
                <w:rFonts w:ascii="宋体" w:hAnsi="宋体"/>
                <w:b w:val="0"/>
                <w:bCs w:val="0"/>
                <w:szCs w:val="21"/>
              </w:rPr>
              <w:t>本地化服务</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4.</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b w:val="0"/>
                <w:bCs w:val="0"/>
                <w:szCs w:val="21"/>
              </w:rPr>
            </w:pPr>
            <w:r>
              <w:rPr>
                <w:rStyle w:val="37"/>
                <w:rFonts w:ascii="宋体" w:hAnsi="宋体"/>
                <w:b w:val="0"/>
                <w:bCs w:val="0"/>
                <w:szCs w:val="21"/>
              </w:rPr>
              <w:t>供应商综合实力</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5.</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 w:val="0"/>
                <w:bCs w:val="0"/>
                <w:szCs w:val="21"/>
              </w:rPr>
            </w:pPr>
            <w:r>
              <w:rPr>
                <w:rStyle w:val="37"/>
                <w:rFonts w:ascii="宋体" w:hAnsi="宋体"/>
                <w:b w:val="0"/>
                <w:bCs w:val="0"/>
                <w:szCs w:val="21"/>
              </w:rPr>
              <w:t>业绩</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ascii="宋体" w:hAnsi="宋体"/>
        </w:rPr>
      </w:pPr>
    </w:p>
    <w:tbl>
      <w:tblPr>
        <w:tblStyle w:val="1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581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其他内容资料</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cs="Courier New"/>
                <w:kern w:val="0"/>
              </w:rPr>
              <w:t>用户需求响应一览表（格式8）</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szCs w:val="21"/>
              </w:rPr>
              <w:t>投标人基本情况表</w:t>
            </w:r>
            <w:r>
              <w:rPr>
                <w:rFonts w:hint="eastAsia" w:ascii="宋体" w:hAnsi="宋体" w:cs="Courier New"/>
                <w:kern w:val="0"/>
              </w:rPr>
              <w:t>（格式9）</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cs="Courier New"/>
                <w:kern w:val="0"/>
              </w:rPr>
              <w:t>招标代理服务费承诺书（格式10）</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Courier New"/>
                <w:kern w:val="0"/>
              </w:rPr>
              <w:t>开票资料说明函（格式11）</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19"/>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ascii="宋体" w:hAnsi="宋体"/>
                <w:szCs w:val="21"/>
              </w:rPr>
              <w:t>…………</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p>
        </w:tc>
      </w:tr>
    </w:tbl>
    <w:p>
      <w:pPr>
        <w:rPr>
          <w:rFonts w:ascii="宋体" w:hAnsi="宋体"/>
          <w:b/>
          <w:szCs w:val="21"/>
        </w:rPr>
      </w:pPr>
      <w:r>
        <w:rPr>
          <w:rFonts w:hint="eastAsia" w:ascii="宋体" w:hAnsi="宋体"/>
          <w:b/>
          <w:szCs w:val="21"/>
        </w:rPr>
        <w:br w:type="page"/>
      </w:r>
    </w:p>
    <w:p>
      <w:pPr>
        <w:numPr>
          <w:ilvl w:val="0"/>
          <w:numId w:val="20"/>
        </w:numPr>
        <w:spacing w:line="440" w:lineRule="exact"/>
        <w:rPr>
          <w:rFonts w:ascii="宋体" w:hAnsi="宋体"/>
          <w:bCs/>
          <w:sz w:val="28"/>
        </w:rPr>
      </w:pPr>
    </w:p>
    <w:p>
      <w:pPr>
        <w:jc w:val="center"/>
        <w:outlineLvl w:val="2"/>
        <w:rPr>
          <w:rFonts w:ascii="宋体" w:hAnsi="宋体"/>
          <w:b/>
          <w:sz w:val="28"/>
          <w:szCs w:val="28"/>
        </w:rPr>
      </w:pPr>
      <w:r>
        <w:rPr>
          <w:rFonts w:hint="eastAsia" w:ascii="宋体" w:hAnsi="宋体"/>
          <w:b/>
          <w:sz w:val="28"/>
          <w:szCs w:val="28"/>
        </w:rPr>
        <w:t>投  标  函</w:t>
      </w:r>
    </w:p>
    <w:p>
      <w:pPr>
        <w:spacing w:line="360" w:lineRule="auto"/>
        <w:ind w:left="105" w:leftChars="50" w:firstLine="2"/>
        <w:rPr>
          <w:rFonts w:ascii="宋体" w:hAnsi="宋体"/>
          <w:b/>
        </w:rPr>
      </w:pPr>
      <w:r>
        <w:rPr>
          <w:rFonts w:hint="eastAsia" w:ascii="宋体" w:hAnsi="宋体"/>
          <w:b/>
        </w:rPr>
        <w:t>致：广州宝诚招标代理咨询有限公司</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广州市地质灾害在册隐患点专业监测设备采购  </w:t>
      </w:r>
      <w:r>
        <w:rPr>
          <w:rFonts w:hint="eastAsia" w:ascii="宋体" w:hAnsi="宋体"/>
          <w:kern w:val="28"/>
        </w:rPr>
        <w:t>采购相关服务的</w:t>
      </w:r>
      <w:r>
        <w:rPr>
          <w:rFonts w:hint="eastAsia" w:ascii="宋体" w:hAnsi="宋体"/>
        </w:rPr>
        <w:t>招标文件（项目编号：GZBC21HG01005），</w:t>
      </w:r>
      <w:r>
        <w:rPr>
          <w:rFonts w:hint="eastAsia" w:ascii="宋体" w:hAnsi="宋体"/>
          <w:u w:val="single"/>
        </w:rPr>
        <w:t>(投标人名称、地址)</w:t>
      </w:r>
      <w:r>
        <w:rPr>
          <w:rFonts w:hint="eastAsia" w:ascii="宋体" w:hAnsi="宋体"/>
        </w:rPr>
        <w:t>作为投标人已正式授权</w:t>
      </w:r>
      <w:r>
        <w:rPr>
          <w:rFonts w:hint="eastAsia" w:ascii="宋体" w:hAnsi="宋体"/>
          <w:u w:val="single"/>
        </w:rPr>
        <w:t xml:space="preserve"> (被投标人授权代表全名、职务)</w:t>
      </w:r>
      <w:r>
        <w:rPr>
          <w:rFonts w:hint="eastAsia" w:ascii="宋体" w:hAnsi="宋体"/>
        </w:rPr>
        <w:t>为我方签名代表，签名代表在此声明并同意：</w:t>
      </w:r>
    </w:p>
    <w:p>
      <w:pPr>
        <w:numPr>
          <w:ilvl w:val="0"/>
          <w:numId w:val="21"/>
        </w:numPr>
        <w:snapToGrid w:val="0"/>
        <w:spacing w:line="360" w:lineRule="auto"/>
        <w:rPr>
          <w:rFonts w:ascii="宋体" w:hAnsi="宋体"/>
          <w:b/>
          <w:szCs w:val="21"/>
        </w:rPr>
      </w:pPr>
      <w:r>
        <w:rPr>
          <w:rFonts w:hint="eastAsia" w:ascii="宋体" w:hAnsi="宋体"/>
          <w:b/>
          <w:szCs w:val="21"/>
        </w:rPr>
        <w:t>我们愿意遵守采购代理机构招标文件的各项规定，自愿参加投标，并已清楚招标文件的要求及有关文件规定，并严格按照招标文件的规定履行全部责任和义务。</w:t>
      </w:r>
    </w:p>
    <w:p>
      <w:pPr>
        <w:numPr>
          <w:ilvl w:val="0"/>
          <w:numId w:val="21"/>
        </w:numPr>
        <w:snapToGrid w:val="0"/>
        <w:spacing w:line="360" w:lineRule="auto"/>
        <w:rPr>
          <w:rFonts w:ascii="宋体" w:hAnsi="宋体"/>
          <w:b/>
          <w:szCs w:val="21"/>
        </w:rPr>
      </w:pPr>
      <w:r>
        <w:rPr>
          <w:rFonts w:hint="eastAsia" w:ascii="宋体" w:hAnsi="宋体"/>
          <w:b/>
          <w:szCs w:val="21"/>
        </w:rPr>
        <w:t>我们同意本投标自投标截止之日起</w:t>
      </w:r>
      <w:r>
        <w:rPr>
          <w:rFonts w:hint="eastAsia" w:ascii="宋体" w:hAnsi="宋体"/>
          <w:b/>
          <w:szCs w:val="21"/>
          <w:u w:val="single"/>
        </w:rPr>
        <w:t>90</w:t>
      </w:r>
      <w:r>
        <w:rPr>
          <w:rFonts w:hint="eastAsia" w:ascii="宋体" w:hAnsi="宋体"/>
          <w:b/>
          <w:szCs w:val="21"/>
        </w:rPr>
        <w:t>天内有效。如果我们的投标被接受，则直至合同生效时止，本投标始终有效并不撤回已递交的投标文件。</w:t>
      </w:r>
    </w:p>
    <w:p>
      <w:pPr>
        <w:numPr>
          <w:ilvl w:val="0"/>
          <w:numId w:val="21"/>
        </w:numPr>
        <w:snapToGrid w:val="0"/>
        <w:spacing w:line="360" w:lineRule="auto"/>
        <w:rPr>
          <w:rFonts w:ascii="宋体" w:hAnsi="宋体"/>
          <w:b/>
          <w:szCs w:val="21"/>
        </w:rPr>
      </w:pPr>
      <w:r>
        <w:rPr>
          <w:rFonts w:hint="eastAsia" w:ascii="宋体" w:hAnsi="宋体"/>
          <w:b/>
          <w:szCs w:val="21"/>
        </w:rPr>
        <w:t>我们已经详细地阅读并完全明白了全部招标文件及附件，包括澄清（如有）及参考文件，我们完全理解本招标文件的要求，我们同意放弃对招标文件提出不明或误解的一切权力。</w:t>
      </w:r>
    </w:p>
    <w:p>
      <w:pPr>
        <w:numPr>
          <w:ilvl w:val="0"/>
          <w:numId w:val="21"/>
        </w:numPr>
        <w:snapToGrid w:val="0"/>
        <w:spacing w:line="360" w:lineRule="auto"/>
        <w:rPr>
          <w:rFonts w:ascii="宋体" w:hAnsi="宋体"/>
          <w:b/>
          <w:szCs w:val="21"/>
        </w:rPr>
      </w:pPr>
      <w:r>
        <w:rPr>
          <w:rFonts w:hint="eastAsia" w:ascii="宋体" w:hAnsi="宋体"/>
          <w:b/>
          <w:szCs w:val="21"/>
        </w:rPr>
        <w:t>我们同意提供招标采购单位与评标委员会要求的有关投标的一切数据或资料。</w:t>
      </w:r>
    </w:p>
    <w:p>
      <w:pPr>
        <w:numPr>
          <w:ilvl w:val="0"/>
          <w:numId w:val="21"/>
        </w:numPr>
        <w:snapToGrid w:val="0"/>
        <w:spacing w:line="360" w:lineRule="auto"/>
        <w:rPr>
          <w:rFonts w:ascii="宋体" w:hAnsi="宋体"/>
          <w:b/>
          <w:szCs w:val="21"/>
        </w:rPr>
      </w:pPr>
      <w:r>
        <w:rPr>
          <w:rFonts w:hint="eastAsia" w:ascii="宋体" w:hAnsi="宋体"/>
          <w:b/>
          <w:szCs w:val="21"/>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1"/>
        </w:numPr>
        <w:snapToGrid w:val="0"/>
        <w:spacing w:line="360" w:lineRule="auto"/>
        <w:rPr>
          <w:rFonts w:ascii="宋体" w:hAnsi="宋体"/>
          <w:b/>
          <w:szCs w:val="21"/>
        </w:rPr>
      </w:pPr>
      <w:r>
        <w:rPr>
          <w:rFonts w:hint="eastAsia" w:ascii="宋体" w:hAnsi="宋体"/>
          <w:b/>
          <w:szCs w:val="21"/>
        </w:rPr>
        <w:t xml:space="preserve">如果我们未对招标文件全部要求作出实质性响应，则完全同意并接受按无效投标处理。 </w:t>
      </w:r>
    </w:p>
    <w:p>
      <w:pPr>
        <w:numPr>
          <w:ilvl w:val="0"/>
          <w:numId w:val="21"/>
        </w:numPr>
        <w:snapToGrid w:val="0"/>
        <w:spacing w:line="360" w:lineRule="auto"/>
        <w:rPr>
          <w:rFonts w:ascii="宋体" w:hAnsi="宋体"/>
          <w:b/>
          <w:szCs w:val="21"/>
        </w:rPr>
      </w:pPr>
      <w:r>
        <w:rPr>
          <w:rFonts w:hint="eastAsia" w:ascii="宋体" w:hAnsi="宋体"/>
          <w:b/>
          <w:szCs w:val="2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1"/>
        </w:numPr>
        <w:snapToGrid w:val="0"/>
        <w:spacing w:line="360" w:lineRule="auto"/>
        <w:rPr>
          <w:rFonts w:ascii="宋体" w:hAnsi="宋体"/>
          <w:b/>
          <w:szCs w:val="21"/>
        </w:rPr>
      </w:pPr>
      <w:r>
        <w:rPr>
          <w:rFonts w:hint="eastAsia" w:ascii="宋体" w:hAnsi="宋体"/>
          <w:b/>
          <w:szCs w:val="21"/>
        </w:rPr>
        <w:t>如果我们提供的声明或承诺不真实，则完全同意认定为我司提供虚假材料，并同意作相应处理。</w:t>
      </w:r>
    </w:p>
    <w:p>
      <w:pPr>
        <w:numPr>
          <w:ilvl w:val="0"/>
          <w:numId w:val="21"/>
        </w:numPr>
        <w:snapToGrid w:val="0"/>
        <w:spacing w:line="360" w:lineRule="auto"/>
        <w:rPr>
          <w:rFonts w:ascii="宋体" w:hAnsi="宋体"/>
          <w:b/>
          <w:szCs w:val="21"/>
        </w:rPr>
      </w:pPr>
      <w:r>
        <w:rPr>
          <w:rFonts w:hint="eastAsia" w:ascii="宋体" w:hAnsi="宋体"/>
          <w:b/>
          <w:szCs w:val="21"/>
        </w:rPr>
        <w:t>我们是依法注册的法人，在法律、财务及运作上完全独立于本项目采购人、用户单位（如有）和采购代理机构。</w:t>
      </w:r>
    </w:p>
    <w:p>
      <w:pPr>
        <w:numPr>
          <w:ilvl w:val="0"/>
          <w:numId w:val="21"/>
        </w:numPr>
        <w:snapToGrid w:val="0"/>
        <w:spacing w:line="360" w:lineRule="auto"/>
        <w:rPr>
          <w:rFonts w:ascii="宋体" w:hAnsi="宋体"/>
          <w:b/>
          <w:szCs w:val="21"/>
        </w:rPr>
      </w:pPr>
      <w:r>
        <w:rPr>
          <w:rFonts w:hint="eastAsia" w:ascii="宋体" w:hAnsi="宋体"/>
          <w:b/>
          <w:szCs w:val="21"/>
        </w:rPr>
        <w:t>所有有关本次投标的函电请寄：</w:t>
      </w:r>
      <w:r>
        <w:rPr>
          <w:rFonts w:hint="eastAsia" w:ascii="宋体" w:hAnsi="宋体"/>
          <w:b/>
          <w:szCs w:val="21"/>
          <w:u w:val="single"/>
        </w:rPr>
        <w:t xml:space="preserve">  （投标人地址）   </w:t>
      </w:r>
      <w:r>
        <w:rPr>
          <w:rFonts w:hint="eastAsia" w:ascii="宋体" w:hAnsi="宋体"/>
          <w:b/>
          <w:szCs w:val="21"/>
        </w:rPr>
        <w:t xml:space="preserve">  </w:t>
      </w:r>
    </w:p>
    <w:p>
      <w:pPr>
        <w:autoSpaceDE w:val="0"/>
        <w:autoSpaceDN w:val="0"/>
        <w:adjustRightInd w:val="0"/>
        <w:spacing w:line="360" w:lineRule="auto"/>
        <w:ind w:left="420" w:firstLine="310"/>
        <w:rPr>
          <w:rFonts w:ascii="宋体" w:hAnsi="宋体"/>
          <w:b/>
          <w:szCs w:val="21"/>
        </w:rPr>
      </w:pPr>
      <w:r>
        <w:rPr>
          <w:rFonts w:hint="eastAsia" w:ascii="宋体" w:hAnsi="宋体"/>
          <w:b/>
          <w:szCs w:val="21"/>
        </w:rPr>
        <w:t xml:space="preserve">备注：本投标函内容不得擅自删改，否则视为无效投标。 </w:t>
      </w:r>
    </w:p>
    <w:p>
      <w:pPr>
        <w:ind w:left="480"/>
        <w:rPr>
          <w:rFonts w:ascii="宋体" w:hAnsi="宋体"/>
        </w:rPr>
      </w:pPr>
    </w:p>
    <w:p>
      <w:pPr>
        <w:adjustRightInd w:val="0"/>
        <w:snapToGrid w:val="0"/>
        <w:spacing w:line="360" w:lineRule="auto"/>
        <w:ind w:firstLine="436" w:firstLineChars="200"/>
        <w:rPr>
          <w:rFonts w:ascii="宋体" w:hAnsi="宋体"/>
          <w:u w:val="single"/>
        </w:rPr>
      </w:pPr>
      <w:r>
        <w:rPr>
          <w:rFonts w:hint="eastAsia" w:ascii="宋体" w:hAnsi="宋体"/>
          <w:spacing w:val="4"/>
        </w:rPr>
        <w:t>投标人名称：</w:t>
      </w:r>
      <w:r>
        <w:rPr>
          <w:rFonts w:hint="eastAsia" w:ascii="宋体" w:hAnsi="宋体"/>
          <w:spacing w:val="4"/>
          <w:u w:val="single"/>
        </w:rPr>
        <w:t xml:space="preserve">                             </w:t>
      </w:r>
    </w:p>
    <w:p>
      <w:pPr>
        <w:adjustRightInd w:val="0"/>
        <w:snapToGrid w:val="0"/>
        <w:spacing w:line="360" w:lineRule="auto"/>
        <w:ind w:firstLine="436" w:firstLineChars="200"/>
        <w:rPr>
          <w:rFonts w:ascii="宋体" w:hAnsi="宋体"/>
          <w:u w:val="single"/>
        </w:rPr>
      </w:pPr>
      <w:r>
        <w:rPr>
          <w:rFonts w:hint="eastAsia" w:ascii="宋体" w:hAnsi="宋体"/>
          <w:spacing w:val="4"/>
        </w:rPr>
        <w:t>投标人公章：</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pPr>
      <w:r>
        <w:rPr>
          <w:rFonts w:hint="eastAsia" w:ascii="宋体" w:hAnsi="宋体"/>
        </w:rPr>
        <w:t>法定代表人或投标人授权代表（签署本人姓名或印盖本人姓名章）：</w:t>
      </w:r>
      <w:r>
        <w:rPr>
          <w:rFonts w:hint="eastAsia" w:ascii="宋体" w:hAnsi="宋体"/>
          <w:u w:val="single"/>
        </w:rPr>
        <w:t xml:space="preserve">     </w:t>
      </w:r>
      <w:r>
        <w:rPr>
          <w:rFonts w:ascii="宋体" w:hAnsi="宋体"/>
          <w:spacing w:val="4"/>
          <w:u w:val="single"/>
        </w:rPr>
        <w:t xml:space="preserve"> </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sectPr>
          <w:pgSz w:w="11906" w:h="16838"/>
          <w:pgMar w:top="1440" w:right="1080" w:bottom="1440" w:left="1080" w:header="851" w:footer="992" w:gutter="0"/>
          <w:cols w:space="720" w:num="1"/>
          <w:docGrid w:type="lines" w:linePitch="312" w:charSpace="0"/>
        </w:sectPr>
      </w:pPr>
      <w:r>
        <w:rPr>
          <w:rFonts w:hint="eastAsia" w:ascii="宋体" w:hAnsi="宋体"/>
        </w:rPr>
        <w:t>电话：</w:t>
      </w:r>
      <w:r>
        <w:rPr>
          <w:rFonts w:ascii="宋体" w:hAnsi="宋体"/>
          <w:spacing w:val="4"/>
          <w:u w:val="single"/>
        </w:rPr>
        <w:t xml:space="preserve">         </w:t>
      </w:r>
      <w:r>
        <w:rPr>
          <w:rFonts w:ascii="宋体" w:hAnsi="宋体"/>
        </w:rPr>
        <w:t xml:space="preserve"> </w:t>
      </w:r>
      <w:r>
        <w:rPr>
          <w:rFonts w:hint="eastAsia" w:ascii="宋体" w:hAnsi="宋体"/>
        </w:rPr>
        <w:t>传真：</w:t>
      </w:r>
      <w:r>
        <w:rPr>
          <w:rFonts w:ascii="宋体" w:hAnsi="宋体"/>
          <w:spacing w:val="4"/>
          <w:u w:val="single"/>
        </w:rPr>
        <w:t xml:space="preserve">         </w:t>
      </w:r>
      <w:r>
        <w:rPr>
          <w:rFonts w:ascii="宋体" w:hAnsi="宋体"/>
        </w:rPr>
        <w:t xml:space="preserve">     </w:t>
      </w:r>
      <w:r>
        <w:rPr>
          <w:rFonts w:hint="eastAsia" w:ascii="宋体" w:hAnsi="宋体"/>
        </w:rPr>
        <w:t>邮编：</w:t>
      </w:r>
      <w:r>
        <w:rPr>
          <w:rFonts w:ascii="宋体" w:hAnsi="宋体"/>
          <w:spacing w:val="4"/>
          <w:u w:val="single"/>
        </w:rPr>
        <w:t xml:space="preserve">         </w:t>
      </w:r>
    </w:p>
    <w:p>
      <w:pPr>
        <w:numPr>
          <w:ilvl w:val="0"/>
          <w:numId w:val="20"/>
        </w:numPr>
        <w:spacing w:line="440" w:lineRule="exact"/>
        <w:rPr>
          <w:rFonts w:ascii="宋体" w:hAnsi="宋体"/>
          <w:bCs/>
          <w:sz w:val="28"/>
        </w:rPr>
      </w:pPr>
      <w:r>
        <w:rPr>
          <w:rFonts w:ascii="宋体" w:hAnsi="宋体"/>
          <w:bCs/>
          <w:sz w:val="28"/>
        </w:rPr>
        <w:t xml:space="preserve"> </w:t>
      </w:r>
    </w:p>
    <w:p>
      <w:pPr>
        <w:jc w:val="center"/>
        <w:outlineLvl w:val="2"/>
        <w:rPr>
          <w:rFonts w:ascii="宋体" w:hAnsi="宋体"/>
          <w:b/>
          <w:sz w:val="28"/>
          <w:szCs w:val="28"/>
        </w:rPr>
      </w:pPr>
      <w:bookmarkStart w:id="56" w:name="_Toc275865606"/>
      <w:r>
        <w:rPr>
          <w:rFonts w:hint="eastAsia" w:ascii="宋体" w:hAnsi="宋体"/>
          <w:b/>
          <w:sz w:val="28"/>
          <w:szCs w:val="28"/>
        </w:rPr>
        <w:t>投标人资格声明函</w:t>
      </w:r>
      <w:bookmarkEnd w:id="56"/>
    </w:p>
    <w:p>
      <w:pPr>
        <w:rPr>
          <w:rFonts w:ascii="宋体" w:hAnsi="宋体"/>
          <w:b/>
        </w:rPr>
      </w:pPr>
      <w:r>
        <w:rPr>
          <w:rFonts w:hint="eastAsia" w:ascii="宋体" w:hAnsi="宋体"/>
          <w:b/>
        </w:rPr>
        <w:t>广州宝诚招标代理咨询有限公司：</w:t>
      </w:r>
    </w:p>
    <w:p>
      <w:pPr>
        <w:snapToGrid w:val="0"/>
        <w:spacing w:before="156" w:beforeLines="50" w:line="360" w:lineRule="auto"/>
        <w:ind w:firstLine="424" w:firstLineChars="202"/>
        <w:rPr>
          <w:rFonts w:ascii="宋体" w:hAns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ascii="宋体" w:hAnsi="宋体"/>
          <w:u w:val="single"/>
        </w:rPr>
        <w:t xml:space="preserve">  </w:t>
      </w:r>
      <w:r>
        <w:rPr>
          <w:rFonts w:hint="eastAsia" w:ascii="宋体" w:hAnsi="宋体"/>
          <w:kern w:val="28"/>
          <w:u w:val="single"/>
        </w:rPr>
        <w:t>广州市地质灾害在册隐患点专业监测设备采购</w:t>
      </w:r>
      <w:r>
        <w:rPr>
          <w:rFonts w:ascii="宋体" w:hAnsi="宋体"/>
          <w:u w:val="single"/>
        </w:rPr>
        <w:t xml:space="preserve">  </w:t>
      </w:r>
      <w:r>
        <w:rPr>
          <w:rFonts w:hint="eastAsia" w:ascii="宋体" w:hAnsi="宋体"/>
        </w:rPr>
        <w:t>项目（项目编号：GZBC21HG01005）的采购公告，本公司（企业）愿意参加投标，并声明：</w:t>
      </w:r>
    </w:p>
    <w:p>
      <w:pPr>
        <w:snapToGrid w:val="0"/>
        <w:spacing w:line="360" w:lineRule="auto"/>
        <w:ind w:firstLine="424" w:firstLineChars="202"/>
        <w:rPr>
          <w:rFonts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hAns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本公司（企业）</w:t>
      </w:r>
      <w:r>
        <w:rPr>
          <w:rFonts w:ascii="宋体" w:hAnsi="宋体"/>
        </w:rPr>
        <w:t>具有履行合同所必需的设备和专业技术能力</w:t>
      </w:r>
      <w:r>
        <w:rPr>
          <w:rFonts w:hint="eastAsia" w:ascii="宋体" w:hAnsi="宋体"/>
        </w:rPr>
        <w:t>，且本公司（企业）参加政府采购活动前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hAnsi="宋体"/>
          <w:b/>
        </w:rPr>
      </w:pPr>
      <w:r>
        <w:rPr>
          <w:rFonts w:hint="eastAsia" w:ascii="宋体" w:hAnsi="宋体"/>
          <w:b/>
        </w:rPr>
        <w:t>特此声明！</w:t>
      </w:r>
    </w:p>
    <w:p>
      <w:pPr>
        <w:adjustRightInd w:val="0"/>
        <w:snapToGrid w:val="0"/>
        <w:spacing w:line="360" w:lineRule="auto"/>
        <w:ind w:left="425"/>
        <w:rPr>
          <w:rFonts w:ascii="宋体" w:hAnsi="宋体"/>
          <w:spacing w:val="4"/>
        </w:rPr>
      </w:pPr>
    </w:p>
    <w:p>
      <w:pPr>
        <w:pStyle w:val="16"/>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rPr>
          <w:rFonts w:ascii="宋体" w:hAnsi="宋体"/>
          <w:spacing w:val="4"/>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p>
    <w:p>
      <w:pPr>
        <w:rPr>
          <w:rFonts w:ascii="宋体" w:hAnsi="宋体"/>
          <w:spacing w:val="4"/>
        </w:rPr>
      </w:pPr>
      <w:r>
        <w:rPr>
          <w:rFonts w:hint="eastAsia" w:ascii="宋体" w:hAnsi="宋体"/>
          <w:spacing w:val="4"/>
        </w:rPr>
        <w:br w:type="page"/>
      </w:r>
    </w:p>
    <w:p>
      <w:pPr>
        <w:numPr>
          <w:ilvl w:val="0"/>
          <w:numId w:val="20"/>
        </w:numPr>
        <w:spacing w:line="440" w:lineRule="exact"/>
        <w:rPr>
          <w:rFonts w:ascii="宋体" w:hAnsi="宋体"/>
          <w:szCs w:val="21"/>
        </w:rPr>
      </w:pPr>
    </w:p>
    <w:p>
      <w:pPr>
        <w:jc w:val="center"/>
        <w:outlineLvl w:val="2"/>
        <w:rPr>
          <w:rFonts w:ascii="宋体" w:hAnsi="宋体"/>
          <w:b/>
          <w:sz w:val="28"/>
          <w:szCs w:val="28"/>
        </w:rPr>
      </w:pPr>
      <w:bookmarkStart w:id="57" w:name="_Toc50736477"/>
      <w:bookmarkStart w:id="58" w:name="_Toc275865607"/>
      <w:bookmarkStart w:id="59" w:name="_Toc50737297"/>
      <w:bookmarkStart w:id="60" w:name="_Toc52165081"/>
      <w:bookmarkStart w:id="61" w:name="_Toc50737329"/>
      <w:r>
        <w:rPr>
          <w:rFonts w:hint="eastAsia" w:ascii="宋体" w:hAnsi="宋体"/>
          <w:b/>
          <w:sz w:val="28"/>
          <w:szCs w:val="28"/>
        </w:rPr>
        <w:t>法定代表人授权委托书</w:t>
      </w:r>
      <w:bookmarkEnd w:id="57"/>
      <w:bookmarkEnd w:id="58"/>
      <w:bookmarkEnd w:id="59"/>
      <w:bookmarkEnd w:id="60"/>
      <w:bookmarkEnd w:id="61"/>
    </w:p>
    <w:p>
      <w:pPr>
        <w:pStyle w:val="9"/>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（投标人地址）  </w:t>
      </w:r>
      <w:r>
        <w:rPr>
          <w:rFonts w:hint="eastAsia" w:hAnsi="宋体"/>
          <w:sz w:val="21"/>
        </w:rPr>
        <w:t>的</w:t>
      </w:r>
      <w:r>
        <w:rPr>
          <w:rFonts w:hint="eastAsia" w:hAnsi="宋体"/>
          <w:sz w:val="21"/>
          <w:u w:val="single"/>
        </w:rPr>
        <w:t xml:space="preserve">  （投标人名称）    </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9"/>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pPr>
        <w:spacing w:line="360" w:lineRule="auto"/>
        <w:rPr>
          <w:rFonts w:ascii="宋体" w:hAnsi="宋体"/>
          <w:szCs w:val="21"/>
        </w:rPr>
      </w:pPr>
    </w:p>
    <w:p>
      <w:pPr>
        <w:pStyle w:val="16"/>
      </w:pPr>
    </w:p>
    <w:p>
      <w:pPr>
        <w:spacing w:line="360" w:lineRule="auto"/>
        <w:rPr>
          <w:rFonts w:ascii="宋体" w:hAns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hAnsi="宋体"/>
          <w:szCs w:val="21"/>
        </w:rPr>
      </w:pPr>
      <w:r>
        <w:rPr>
          <w:rFonts w:hint="eastAsia" w:ascii="宋体" w:hAnsi="宋体"/>
          <w:szCs w:val="21"/>
        </w:rPr>
        <w:t>地      址：</w:t>
      </w:r>
    </w:p>
    <w:p>
      <w:pPr>
        <w:tabs>
          <w:tab w:val="left" w:pos="3780"/>
        </w:tabs>
        <w:spacing w:line="360" w:lineRule="auto"/>
        <w:rPr>
          <w:rFonts w:ascii="宋体" w:hAnsi="宋体"/>
          <w:szCs w:val="21"/>
        </w:rPr>
      </w:pPr>
      <w:r>
        <w:rPr>
          <w:rFonts w:hint="eastAsia" w:ascii="宋体" w:hAnsi="宋体"/>
          <w:szCs w:val="21"/>
        </w:rPr>
        <w:t>法定代表人（签署本人姓名或印盖本人姓名章）：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rPr>
      </w:pPr>
    </w:p>
    <w:tbl>
      <w:tblPr>
        <w:tblStyle w:val="17"/>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35" w:hRule="atLeast"/>
        </w:trPr>
        <w:tc>
          <w:tcPr>
            <w:tcW w:w="9344" w:type="dxa"/>
            <w:vAlign w:val="center"/>
          </w:tcPr>
          <w:p>
            <w:pPr>
              <w:pStyle w:val="30"/>
              <w:ind w:left="105"/>
              <w:jc w:val="center"/>
              <w:rPr>
                <w:b/>
              </w:rPr>
            </w:pPr>
            <w:r>
              <w:rPr>
                <w:rFonts w:hint="eastAsia"/>
                <w:b/>
              </w:rPr>
              <w:t>被授权人（授权代表）</w:t>
            </w:r>
          </w:p>
          <w:p>
            <w:pPr>
              <w:pStyle w:val="30"/>
              <w:ind w:left="105"/>
              <w:jc w:val="center"/>
            </w:pPr>
            <w:r>
              <w:rPr>
                <w:rFonts w:hint="eastAsia"/>
                <w:b/>
              </w:rPr>
              <w:t>居民身份证复印件粘贴处（正、反面）</w:t>
            </w:r>
          </w:p>
        </w:tc>
      </w:tr>
    </w:tbl>
    <w:p>
      <w:pPr>
        <w:spacing w:line="360" w:lineRule="auto"/>
        <w:rPr>
          <w:rFonts w:ascii="宋体" w:hAnsi="宋体"/>
          <w:b/>
        </w:rPr>
      </w:pPr>
      <w:r>
        <w:rPr>
          <w:rFonts w:hint="eastAsia" w:ascii="宋体" w:hAnsi="宋体"/>
          <w:b/>
        </w:rPr>
        <w:t>注：此委托书一式两份，一份装订在报价文件正本内，另一份由授权代表携带出席评审会。</w:t>
      </w:r>
    </w:p>
    <w:p>
      <w:pPr>
        <w:spacing w:line="360" w:lineRule="auto"/>
        <w:rPr>
          <w:rFonts w:ascii="宋体" w:hAnsi="宋体"/>
        </w:rPr>
      </w:pPr>
    </w:p>
    <w:p>
      <w:pPr>
        <w:spacing w:line="360" w:lineRule="auto"/>
        <w:rPr>
          <w:rFonts w:ascii="宋体" w:hAnsi="宋体"/>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br w:type="page"/>
      </w:r>
    </w:p>
    <w:p>
      <w:pPr>
        <w:numPr>
          <w:ilvl w:val="0"/>
          <w:numId w:val="20"/>
        </w:numPr>
        <w:spacing w:line="440" w:lineRule="exact"/>
        <w:rPr>
          <w:rFonts w:ascii="宋体" w:hAnsi="宋体"/>
        </w:rPr>
      </w:pPr>
    </w:p>
    <w:p>
      <w:pPr>
        <w:jc w:val="center"/>
        <w:outlineLvl w:val="2"/>
        <w:rPr>
          <w:rFonts w:ascii="宋体" w:hAnsi="宋体"/>
          <w:b/>
          <w:sz w:val="28"/>
          <w:szCs w:val="28"/>
        </w:rPr>
      </w:pPr>
      <w:bookmarkStart w:id="62" w:name="_Toc275865608"/>
      <w:r>
        <w:rPr>
          <w:rFonts w:hint="eastAsia" w:ascii="宋体" w:hAnsi="宋体"/>
          <w:b/>
          <w:sz w:val="28"/>
          <w:szCs w:val="28"/>
        </w:rPr>
        <w:t>法定代表人证明书</w:t>
      </w:r>
      <w:bookmarkEnd w:id="62"/>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360" w:lineRule="auto"/>
        <w:ind w:firstLine="420" w:firstLineChars="200"/>
        <w:rPr>
          <w:rFonts w:ascii="宋体" w:hAns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tbl>
      <w:tblPr>
        <w:tblStyle w:val="17"/>
        <w:tblpPr w:leftFromText="180" w:rightFromText="180" w:vertAnchor="text" w:tblpX="115" w:tblpY="631"/>
        <w:tblW w:w="9344"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4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70" w:hRule="atLeast"/>
        </w:trPr>
        <w:tc>
          <w:tcPr>
            <w:tcW w:w="9344" w:type="dxa"/>
            <w:vAlign w:val="center"/>
          </w:tcPr>
          <w:p>
            <w:pPr>
              <w:spacing w:line="480" w:lineRule="auto"/>
              <w:jc w:val="center"/>
              <w:rPr>
                <w:rFonts w:ascii="宋体" w:hAnsi="宋体"/>
                <w:sz w:val="24"/>
              </w:rPr>
            </w:pPr>
            <w:r>
              <w:rPr>
                <w:rFonts w:hint="eastAsia" w:ascii="宋体" w:hAnsi="宋体"/>
                <w:sz w:val="24"/>
              </w:rPr>
              <w:t>法定代表人</w:t>
            </w:r>
          </w:p>
          <w:p>
            <w:pPr>
              <w:spacing w:line="600" w:lineRule="auto"/>
              <w:jc w:val="center"/>
              <w:rPr>
                <w:rFonts w:ascii="宋体" w:hAnsi="宋体"/>
                <w:sz w:val="24"/>
                <w:u w:val="single"/>
              </w:rPr>
            </w:pPr>
            <w:r>
              <w:rPr>
                <w:rFonts w:hint="eastAsia" w:ascii="宋体" w:hAnsi="宋体"/>
                <w:sz w:val="24"/>
              </w:rPr>
              <w:t>居民身份证复印件粘贴处（正、反面）</w:t>
            </w:r>
          </w:p>
        </w:tc>
      </w:tr>
    </w:tbl>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r>
        <w:rPr>
          <w:rFonts w:hint="eastAsia" w:ascii="宋体" w:hAnsi="宋体"/>
          <w:b/>
          <w:bCs/>
        </w:rPr>
        <w:t xml:space="preserve">                         </w:t>
      </w:r>
    </w:p>
    <w:p>
      <w:pPr>
        <w:spacing w:line="500" w:lineRule="exact"/>
        <w:rPr>
          <w:rFonts w:ascii="宋体" w:hAnsi="宋体"/>
          <w:u w:val="single"/>
        </w:rPr>
      </w:pPr>
      <w:r>
        <w:rPr>
          <w:rFonts w:hint="eastAsia" w:ascii="宋体" w:hAnsi="宋体"/>
          <w:b/>
          <w:bCs/>
        </w:rPr>
        <w:t xml:space="preserve">                                           </w:t>
      </w:r>
      <w:r>
        <w:rPr>
          <w:rFonts w:hint="eastAsia" w:ascii="宋体" w:hAnsi="宋体"/>
        </w:rPr>
        <w:t>投标人名称：（单位盖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pPr>
        <w:spacing w:line="500" w:lineRule="exact"/>
        <w:rPr>
          <w:rFonts w:ascii="宋体" w:hAnsi="宋体"/>
        </w:rPr>
      </w:pPr>
      <w:r>
        <w:rPr>
          <w:rFonts w:hint="eastAsia" w:ascii="宋体" w:hAnsi="宋体"/>
        </w:rPr>
        <w:t xml:space="preserve">                                           地址：</w:t>
      </w:r>
      <w:r>
        <w:rPr>
          <w:rFonts w:hint="eastAsia" w:ascii="宋体" w:hAnsi="宋体"/>
          <w:u w:val="single"/>
        </w:rPr>
        <w:t xml:space="preserve">           </w:t>
      </w:r>
    </w:p>
    <w:p>
      <w:pPr>
        <w:spacing w:line="500" w:lineRule="exact"/>
        <w:rPr>
          <w:rFonts w:ascii="宋体" w:hAnsi="宋体"/>
          <w:u w:val="single"/>
        </w:rPr>
      </w:pPr>
      <w:r>
        <w:rPr>
          <w:rFonts w:hint="eastAsia" w:ascii="宋体" w:hAnsi="宋体"/>
        </w:rPr>
        <w:t xml:space="preserve">                                           签发日期：</w:t>
      </w:r>
      <w:r>
        <w:rPr>
          <w:rFonts w:hint="eastAsia" w:ascii="宋体" w:hAnsi="宋体"/>
          <w:u w:val="single"/>
        </w:rPr>
        <w:t xml:space="preserve">           </w:t>
      </w:r>
    </w:p>
    <w:p>
      <w:pPr>
        <w:spacing w:line="440" w:lineRule="exact"/>
        <w:rPr>
          <w:rFonts w:ascii="宋体" w:hAnsi="宋体"/>
          <w:b/>
          <w:bCs/>
        </w:rPr>
      </w:pPr>
    </w:p>
    <w:p>
      <w:pPr>
        <w:spacing w:line="440" w:lineRule="exact"/>
        <w:rPr>
          <w:rFonts w:ascii="宋体" w:hAnsi="宋体"/>
        </w:rPr>
      </w:pPr>
      <w:r>
        <w:rPr>
          <w:rFonts w:ascii="宋体" w:hAnsi="宋体"/>
        </w:rPr>
        <w:br w:type="page"/>
      </w:r>
    </w:p>
    <w:p>
      <w:pPr>
        <w:numPr>
          <w:ilvl w:val="0"/>
          <w:numId w:val="20"/>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公平竞争承诺书</w:t>
      </w:r>
    </w:p>
    <w:p>
      <w:pPr>
        <w:spacing w:line="360" w:lineRule="auto"/>
        <w:ind w:firstLine="420" w:firstLineChars="200"/>
        <w:rPr>
          <w:rFonts w:ascii="宋体" w:hAnsi="宋体"/>
        </w:rPr>
      </w:pPr>
      <w:r>
        <w:rPr>
          <w:rFonts w:hint="eastAsia" w:ascii="宋体" w:hAnsi="宋体"/>
        </w:rPr>
        <w:t>本公司郑重承诺：本公司保证所提交的相关资质文件和证明材料的真实性，有良好的历史诚信记录，并将依法参与</w:t>
      </w:r>
      <w:r>
        <w:rPr>
          <w:rFonts w:hint="eastAsia" w:ascii="宋体" w:hAnsi="宋体"/>
          <w:u w:val="single"/>
        </w:rPr>
        <w:t xml:space="preserve">  </w:t>
      </w:r>
      <w:r>
        <w:rPr>
          <w:rFonts w:hint="eastAsia" w:ascii="宋体" w:hAnsi="宋体"/>
          <w:kern w:val="28"/>
          <w:u w:val="single"/>
        </w:rPr>
        <w:t>广州市地质灾害在册隐患点专业监测设备采购</w:t>
      </w:r>
      <w:r>
        <w:rPr>
          <w:rFonts w:hint="eastAsia" w:ascii="宋体" w:hAnsi="宋体"/>
          <w:u w:val="single"/>
        </w:rPr>
        <w:t xml:space="preserve">    </w:t>
      </w:r>
      <w:r>
        <w:rPr>
          <w:rFonts w:hint="eastAsia" w:ascii="宋体" w:hAnsi="宋体"/>
        </w:rPr>
        <w:t xml:space="preserve">项目的公平竞争，不以任何不正当行为谋取不当利益，否则承担相应的法律责任。  </w:t>
      </w:r>
    </w:p>
    <w:p>
      <w:pPr>
        <w:spacing w:line="360" w:lineRule="auto"/>
        <w:ind w:right="541"/>
        <w:jc w:val="center"/>
        <w:rPr>
          <w:rFonts w:ascii="宋体" w:hAnsi="宋体"/>
          <w:spacing w:val="4"/>
          <w:u w:val="single"/>
        </w:rPr>
      </w:pPr>
      <w:r>
        <w:rPr>
          <w:rFonts w:hint="eastAsia" w:ascii="宋体" w:hAnsi="宋体"/>
          <w:spacing w:val="4"/>
        </w:rPr>
        <w:t xml:space="preserve">      投标人名称（加盖公章）：</w:t>
      </w:r>
      <w:r>
        <w:rPr>
          <w:rFonts w:hint="eastAsia" w:ascii="宋体" w:hAnsi="宋体"/>
          <w:spacing w:val="4"/>
          <w:u w:val="single"/>
        </w:rPr>
        <w:t xml:space="preserve">                       </w:t>
      </w:r>
    </w:p>
    <w:p>
      <w:pPr>
        <w:adjustRightInd w:val="0"/>
        <w:snapToGrid w:val="0"/>
        <w:spacing w:line="360" w:lineRule="auto"/>
        <w:jc w:val="center"/>
        <w:rPr>
          <w:rFonts w:ascii="宋体" w:hAnsi="宋体"/>
          <w:spacing w:val="4"/>
        </w:rPr>
      </w:pPr>
      <w:r>
        <w:rPr>
          <w:rFonts w:hint="eastAsia" w:ascii="宋体" w:hAnsi="宋体"/>
          <w:spacing w:val="4"/>
        </w:rPr>
        <w:t xml:space="preserve"> 日期：</w:t>
      </w:r>
      <w:r>
        <w:rPr>
          <w:rFonts w:hint="eastAsia" w:ascii="宋体" w:hAnsi="宋体"/>
          <w:spacing w:val="4"/>
          <w:u w:val="single"/>
        </w:rPr>
        <w:t xml:space="preserve">   </w:t>
      </w:r>
      <w:r>
        <w:rPr>
          <w:rFonts w:hint="eastAsia" w:ascii="宋体" w:hAnsi="宋体"/>
          <w:spacing w:val="4"/>
        </w:rPr>
        <w:t>年</w:t>
      </w:r>
      <w:r>
        <w:rPr>
          <w:rFonts w:hint="eastAsia" w:ascii="宋体" w:hAnsi="宋体"/>
          <w:spacing w:val="4"/>
          <w:u w:val="single"/>
        </w:rPr>
        <w:t xml:space="preserve">   </w:t>
      </w:r>
      <w:r>
        <w:rPr>
          <w:rFonts w:hint="eastAsia" w:ascii="宋体" w:hAnsi="宋体"/>
          <w:spacing w:val="4"/>
        </w:rPr>
        <w:t>月</w:t>
      </w:r>
      <w:r>
        <w:rPr>
          <w:rFonts w:hint="eastAsia" w:ascii="宋体" w:hAnsi="宋体"/>
          <w:spacing w:val="4"/>
          <w:u w:val="single"/>
        </w:rPr>
        <w:t xml:space="preserve">   </w:t>
      </w:r>
      <w:r>
        <w:rPr>
          <w:rFonts w:hint="eastAsia" w:ascii="宋体" w:hAnsi="宋体"/>
          <w:spacing w:val="4"/>
        </w:rPr>
        <w:t>日</w:t>
      </w:r>
    </w:p>
    <w:p>
      <w:pPr>
        <w:spacing w:line="440" w:lineRule="exact"/>
        <w:rPr>
          <w:rFonts w:ascii="宋体" w:hAnsi="宋体"/>
        </w:rPr>
      </w:pPr>
      <w:r>
        <w:rPr>
          <w:rFonts w:ascii="宋体" w:hAnsi="宋体"/>
        </w:rPr>
        <w:br w:type="page"/>
      </w:r>
    </w:p>
    <w:p>
      <w:pPr>
        <w:numPr>
          <w:ilvl w:val="0"/>
          <w:numId w:val="20"/>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开标一览表(报价表)</w:t>
      </w:r>
    </w:p>
    <w:p>
      <w:pPr>
        <w:ind w:firstLine="210" w:firstLineChars="100"/>
        <w:rPr>
          <w:rFonts w:ascii="宋体" w:hAnsi="宋体"/>
          <w:b/>
          <w:bCs/>
          <w:u w:val="single"/>
        </w:rPr>
      </w:pPr>
      <w:r>
        <w:rPr>
          <w:rFonts w:hint="eastAsia" w:ascii="宋体" w:hAnsi="宋体"/>
        </w:rPr>
        <w:t xml:space="preserve">项目编号：GZBC21HG01005                                   </w:t>
      </w:r>
    </w:p>
    <w:tbl>
      <w:tblPr>
        <w:tblStyle w:val="17"/>
        <w:tblW w:w="499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95"/>
        <w:gridCol w:w="3270"/>
        <w:gridCol w:w="3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06" w:type="pct"/>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采购内容</w:t>
            </w:r>
          </w:p>
        </w:tc>
        <w:tc>
          <w:tcPr>
            <w:tcW w:w="1643" w:type="pct"/>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服务期</w:t>
            </w:r>
          </w:p>
        </w:tc>
        <w:tc>
          <w:tcPr>
            <w:tcW w:w="1749" w:type="pct"/>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投标总报价（元）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5" w:hRule="atLeast"/>
          <w:jc w:val="center"/>
        </w:trPr>
        <w:tc>
          <w:tcPr>
            <w:tcW w:w="1606" w:type="pct"/>
            <w:tcBorders>
              <w:top w:val="single" w:color="auto" w:sz="4" w:space="0"/>
            </w:tcBorders>
            <w:vAlign w:val="center"/>
          </w:tcPr>
          <w:p>
            <w:pPr>
              <w:adjustRightInd w:val="0"/>
              <w:snapToGrid w:val="0"/>
              <w:jc w:val="center"/>
              <w:rPr>
                <w:rFonts w:ascii="宋体" w:hAnsi="宋体"/>
                <w:bCs/>
                <w:szCs w:val="21"/>
                <w:u w:val="single"/>
              </w:rPr>
            </w:pPr>
            <w:r>
              <w:rPr>
                <w:rFonts w:hint="eastAsia" w:asciiTheme="minorEastAsia" w:hAnsiTheme="minorEastAsia" w:eastAsiaTheme="minorEastAsia" w:cstheme="minorEastAsia"/>
                <w:bCs/>
                <w:kern w:val="0"/>
                <w:szCs w:val="21"/>
              </w:rPr>
              <w:t>广州市地质灾害在册隐患点专业监测设备采购</w:t>
            </w:r>
          </w:p>
        </w:tc>
        <w:tc>
          <w:tcPr>
            <w:tcW w:w="1643" w:type="pct"/>
            <w:tcBorders>
              <w:top w:val="single" w:color="auto" w:sz="4" w:space="0"/>
            </w:tcBorders>
            <w:vAlign w:val="center"/>
          </w:tcPr>
          <w:p>
            <w:pPr>
              <w:keepNext/>
              <w:adjustRightInd w:val="0"/>
              <w:ind w:firstLine="12"/>
              <w:jc w:val="left"/>
              <w:textAlignment w:val="center"/>
              <w:rPr>
                <w:rFonts w:asciiTheme="minorEastAsia" w:hAnsiTheme="minorEastAsia" w:eastAsiaTheme="minorEastAsia" w:cstheme="minorEastAsia"/>
                <w:kern w:val="28"/>
                <w:szCs w:val="21"/>
              </w:rPr>
            </w:pPr>
            <w:r>
              <w:rPr>
                <w:rFonts w:hint="eastAsia" w:asciiTheme="minorEastAsia" w:hAnsiTheme="minorEastAsia" w:eastAsiaTheme="minorEastAsia" w:cstheme="minorEastAsia"/>
                <w:kern w:val="28"/>
                <w:szCs w:val="21"/>
              </w:rPr>
              <w:t>建设期：从签订合同日至2022年12月31日；</w:t>
            </w:r>
          </w:p>
          <w:p>
            <w:pPr>
              <w:jc w:val="both"/>
              <w:rPr>
                <w:rFonts w:ascii="宋体" w:hAnsi="宋体"/>
                <w:bCs/>
                <w:szCs w:val="21"/>
              </w:rPr>
            </w:pPr>
            <w:r>
              <w:rPr>
                <w:rFonts w:hint="eastAsia" w:asciiTheme="minorEastAsia" w:hAnsiTheme="minorEastAsia" w:eastAsiaTheme="minorEastAsia" w:cstheme="minorEastAsia"/>
                <w:kern w:val="28"/>
                <w:szCs w:val="21"/>
              </w:rPr>
              <w:t>质保期：竣工验收之日后三年</w:t>
            </w:r>
          </w:p>
        </w:tc>
        <w:tc>
          <w:tcPr>
            <w:tcW w:w="1749" w:type="pct"/>
            <w:tcBorders>
              <w:top w:val="single" w:color="auto" w:sz="4" w:space="0"/>
            </w:tcBorders>
            <w:vAlign w:val="center"/>
          </w:tcPr>
          <w:p>
            <w:pPr>
              <w:spacing w:line="360" w:lineRule="auto"/>
              <w:ind w:left="-2" w:leftChars="-1" w:firstLine="2" w:firstLineChars="1"/>
              <w:rPr>
                <w:rFonts w:ascii="宋体" w:hAnsi="宋体"/>
                <w:szCs w:val="21"/>
              </w:rPr>
            </w:pPr>
            <w:r>
              <w:rPr>
                <w:rFonts w:hint="eastAsia" w:ascii="宋体" w:hAnsi="宋体"/>
                <w:szCs w:val="21"/>
              </w:rPr>
              <w:t>小写：</w:t>
            </w:r>
            <w:r>
              <w:rPr>
                <w:rFonts w:hint="eastAsia" w:ascii="宋体" w:hAnsi="宋体"/>
                <w:szCs w:val="21"/>
                <w:u w:val="single"/>
              </w:rPr>
              <w:t xml:space="preserve">RMB                    </w:t>
            </w:r>
          </w:p>
          <w:p>
            <w:pPr>
              <w:rPr>
                <w:rFonts w:ascii="宋体" w:hAnsi="宋体"/>
                <w:bCs/>
                <w:szCs w:val="21"/>
                <w:u w:val="single"/>
              </w:rPr>
            </w:pPr>
            <w:r>
              <w:rPr>
                <w:rFonts w:hint="eastAsia" w:ascii="宋体" w:hAnsi="宋体"/>
                <w:szCs w:val="21"/>
              </w:rPr>
              <w:t>大写：</w:t>
            </w:r>
            <w:r>
              <w:rPr>
                <w:rFonts w:hint="eastAsia" w:ascii="宋体" w:hAnsi="宋体"/>
                <w:szCs w:val="21"/>
                <w:u w:val="single"/>
              </w:rPr>
              <w:t xml:space="preserve">                       </w:t>
            </w:r>
          </w:p>
        </w:tc>
      </w:tr>
    </w:tbl>
    <w:p>
      <w:pPr>
        <w:spacing w:line="500" w:lineRule="exact"/>
        <w:ind w:firstLine="436" w:firstLineChars="200"/>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r>
        <w:rPr>
          <w:rFonts w:hint="eastAsia" w:ascii="宋体" w:hAnsi="宋体"/>
          <w:spacing w:val="4"/>
          <w:u w:val="single"/>
        </w:rPr>
        <w:t xml:space="preserve">    </w:t>
      </w:r>
      <w:r>
        <w:rPr>
          <w:rFonts w:ascii="宋体" w:hAnsi="宋体"/>
          <w:spacing w:val="4"/>
          <w:u w:val="single"/>
        </w:rPr>
        <w:t xml:space="preserve">     </w:t>
      </w:r>
    </w:p>
    <w:p>
      <w:pPr>
        <w:spacing w:line="400" w:lineRule="exact"/>
        <w:rPr>
          <w:rFonts w:ascii="宋体" w:hAnsi="宋体"/>
          <w:b/>
          <w:bCs/>
          <w:szCs w:val="21"/>
        </w:rPr>
      </w:pPr>
      <w:r>
        <w:rPr>
          <w:rFonts w:hint="eastAsia" w:ascii="宋体" w:hAnsi="宋体"/>
          <w:b/>
          <w:bCs/>
          <w:szCs w:val="21"/>
        </w:rPr>
        <w:t>备注：</w:t>
      </w:r>
    </w:p>
    <w:p>
      <w:pPr>
        <w:adjustRightInd w:val="0"/>
        <w:spacing w:line="360" w:lineRule="auto"/>
        <w:ind w:left="315" w:hanging="315" w:hangingChars="150"/>
        <w:rPr>
          <w:rFonts w:ascii="宋体" w:hAnsi="宋体"/>
          <w:szCs w:val="21"/>
        </w:rPr>
      </w:pPr>
      <w:r>
        <w:rPr>
          <w:rFonts w:hint="eastAsia" w:ascii="宋体" w:hAnsi="宋体"/>
          <w:szCs w:val="21"/>
        </w:rPr>
        <w:t>1. 报价要求投标货币为人民币报价，报价应包括：人工费、管理费用、相关用具的使用费用、各项税费及合同实施过程中不可预见费等完成本招标内容所需的一切费用。</w:t>
      </w:r>
    </w:p>
    <w:p>
      <w:pPr>
        <w:spacing w:line="440" w:lineRule="exact"/>
        <w:rPr>
          <w:rFonts w:ascii="宋体" w:hAnsi="宋体"/>
          <w:szCs w:val="21"/>
        </w:rPr>
      </w:pPr>
      <w:r>
        <w:rPr>
          <w:rFonts w:hint="eastAsia" w:ascii="宋体" w:hAnsi="宋体"/>
          <w:szCs w:val="21"/>
        </w:rPr>
        <w:t>2. 此表除装订于投标文件中外，还应将此表复印一份置于开标信封中。</w:t>
      </w:r>
    </w:p>
    <w:p>
      <w:pPr>
        <w:spacing w:line="440" w:lineRule="exact"/>
      </w:pPr>
      <w:r>
        <w:rPr>
          <w:rFonts w:hint="eastAsia" w:ascii="宋体" w:hAnsi="宋体"/>
          <w:szCs w:val="21"/>
        </w:rPr>
        <w:br w:type="page"/>
      </w:r>
    </w:p>
    <w:p>
      <w:pPr>
        <w:numPr>
          <w:ilvl w:val="0"/>
          <w:numId w:val="20"/>
        </w:numPr>
        <w:spacing w:line="440" w:lineRule="exact"/>
        <w:rPr>
          <w:rFonts w:ascii="宋体" w:hAnsi="宋体"/>
          <w:spacing w:val="4"/>
        </w:rPr>
      </w:pPr>
    </w:p>
    <w:p>
      <w:pPr>
        <w:adjustRightInd w:val="0"/>
        <w:snapToGrid w:val="0"/>
        <w:spacing w:after="156" w:afterLines="50"/>
        <w:jc w:val="center"/>
        <w:outlineLvl w:val="2"/>
        <w:rPr>
          <w:rFonts w:ascii="宋体" w:hAnsi="宋体"/>
          <w:b/>
          <w:sz w:val="28"/>
          <w:szCs w:val="28"/>
        </w:rPr>
      </w:pPr>
      <w:r>
        <w:rPr>
          <w:rFonts w:hint="eastAsia" w:ascii="宋体" w:hAnsi="宋体"/>
          <w:b/>
          <w:sz w:val="28"/>
          <w:szCs w:val="28"/>
        </w:rPr>
        <w:t>中小企业声明函（可选）</w:t>
      </w:r>
    </w:p>
    <w:p>
      <w:pPr>
        <w:adjustRightInd w:val="0"/>
        <w:snapToGrid w:val="0"/>
        <w:spacing w:line="360" w:lineRule="auto"/>
        <w:ind w:firstLine="420" w:firstLineChars="200"/>
        <w:rPr>
          <w:rFonts w:ascii="宋体" w:hAnsi="宋体"/>
        </w:rPr>
      </w:pPr>
      <w:r>
        <w:rPr>
          <w:rFonts w:hint="eastAsia" w:ascii="宋体" w:hAnsi="宋体"/>
        </w:rPr>
        <w:t>本公司郑重声明，根据《政府采购促进中小企业发展暂行办法》（财库[2011]181号）的规定，本公司为</w:t>
      </w:r>
      <w:r>
        <w:rPr>
          <w:rFonts w:hint="eastAsia" w:ascii="宋体" w:hAnsi="宋体"/>
          <w:u w:val="single"/>
        </w:rPr>
        <w:t xml:space="preserve">         </w:t>
      </w:r>
      <w:r>
        <w:rPr>
          <w:rFonts w:hint="eastAsia" w:ascii="宋体" w:hAnsi="宋体"/>
        </w:rPr>
        <w:t>（请填写：中型、小型、微型）企业。即，本公司同时满足以下条件：</w:t>
      </w:r>
    </w:p>
    <w:p>
      <w:pPr>
        <w:numPr>
          <w:ilvl w:val="0"/>
          <w:numId w:val="22"/>
        </w:numPr>
        <w:adjustRightInd w:val="0"/>
        <w:snapToGrid w:val="0"/>
        <w:spacing w:line="360" w:lineRule="auto"/>
        <w:rPr>
          <w:rFonts w:ascii="宋体" w:hAnsi="宋体"/>
        </w:rPr>
      </w:pPr>
      <w:r>
        <w:rPr>
          <w:rFonts w:hint="eastAsia" w:ascii="宋体" w:hAnsi="宋体"/>
        </w:rPr>
        <w:t>根据《工业和信息化部、国家统计局、国家发展和改革委员会、财政部关于印发中小企业划型标准规定的通知》（工信部联企业[2011]300号）规定的划分标准，本公司为</w:t>
      </w:r>
      <w:r>
        <w:rPr>
          <w:rFonts w:hint="eastAsia" w:ascii="宋体" w:hAnsi="宋体"/>
          <w:u w:val="single"/>
        </w:rPr>
        <w:t xml:space="preserve">             </w:t>
      </w:r>
      <w:r>
        <w:rPr>
          <w:rFonts w:hint="eastAsia" w:ascii="宋体" w:hAnsi="宋体"/>
        </w:rPr>
        <w:t>（请填写：中型、小型、微型）企业。</w:t>
      </w:r>
    </w:p>
    <w:p>
      <w:pPr>
        <w:numPr>
          <w:ilvl w:val="0"/>
          <w:numId w:val="22"/>
        </w:numPr>
        <w:adjustRightInd w:val="0"/>
        <w:snapToGrid w:val="0"/>
        <w:spacing w:line="360" w:lineRule="auto"/>
        <w:rPr>
          <w:rFonts w:ascii="宋体" w:hAnsi="宋体"/>
        </w:rPr>
      </w:pPr>
      <w:r>
        <w:rPr>
          <w:rFonts w:hint="eastAsia" w:ascii="宋体" w:hAnsi="宋体"/>
        </w:rPr>
        <w:t>本公司参加</w:t>
      </w:r>
      <w:r>
        <w:rPr>
          <w:rFonts w:hint="eastAsia" w:ascii="宋体" w:hAnsi="宋体"/>
          <w:u w:val="single"/>
        </w:rPr>
        <w:t xml:space="preserve">     (采购人单位名称)    </w:t>
      </w:r>
      <w:r>
        <w:rPr>
          <w:rFonts w:hint="eastAsia" w:ascii="宋体" w:hAnsi="宋体"/>
        </w:rPr>
        <w:t>的</w:t>
      </w:r>
      <w:r>
        <w:rPr>
          <w:rFonts w:hint="eastAsia" w:ascii="宋体" w:hAnsi="宋体"/>
          <w:u w:val="single"/>
        </w:rPr>
        <w:t xml:space="preserve">   (项目名称) </w:t>
      </w:r>
      <w:r>
        <w:rPr>
          <w:rFonts w:hint="eastAsia" w:ascii="宋体" w:hAnsi="宋体"/>
        </w:rPr>
        <w:t>采购活动提供本企业制造的货物，由本企业承担工程、提供服务，或者提供其他</w:t>
      </w:r>
      <w:r>
        <w:rPr>
          <w:rFonts w:hint="eastAsia" w:ascii="宋体" w:hAnsi="宋体"/>
          <w:u w:val="single"/>
        </w:rPr>
        <w:t xml:space="preserve">           </w:t>
      </w:r>
      <w:r>
        <w:rPr>
          <w:rFonts w:hint="eastAsia" w:ascii="宋体" w:hAnsi="宋体"/>
        </w:rPr>
        <w:t>（请填写：中型、小型、微型）企业制造的货物。本条所称货物不包括使用大型企业注册商标的货物。</w:t>
      </w:r>
    </w:p>
    <w:p>
      <w:pPr>
        <w:adjustRightInd w:val="0"/>
        <w:snapToGrid w:val="0"/>
        <w:spacing w:line="360" w:lineRule="auto"/>
        <w:ind w:left="420"/>
        <w:rPr>
          <w:rFonts w:ascii="宋体" w:hAnsi="宋体"/>
          <w:b/>
        </w:rPr>
      </w:pPr>
      <w:r>
        <w:rPr>
          <w:rFonts w:hint="eastAsia" w:ascii="宋体" w:hAnsi="宋体"/>
          <w:b/>
        </w:rPr>
        <w:t>本公司对上述声明的真实性负责。如有虚假，将依法承担相应责任。</w:t>
      </w:r>
    </w:p>
    <w:p>
      <w:pPr>
        <w:spacing w:line="360" w:lineRule="auto"/>
        <w:ind w:firstLine="420" w:firstLineChars="200"/>
        <w:jc w:val="center"/>
        <w:rPr>
          <w:rFonts w:ascii="宋体" w:hAnsi="宋体"/>
        </w:rPr>
      </w:pPr>
      <w:r>
        <w:rPr>
          <w:rFonts w:hint="eastAsia" w:ascii="宋体" w:hAnsi="宋体"/>
        </w:rPr>
        <w:t xml:space="preserve">                            投标人名称（加盖</w:t>
      </w:r>
      <w:r>
        <w:rPr>
          <w:rFonts w:hint="eastAsia" w:ascii="宋体" w:hAnsi="宋体"/>
          <w:spacing w:val="4"/>
        </w:rPr>
        <w:t>公章</w:t>
      </w:r>
      <w:r>
        <w:rPr>
          <w:rFonts w:hint="eastAsia" w:ascii="宋体" w:hAnsi="宋体"/>
        </w:rPr>
        <w:t>）：</w:t>
      </w:r>
    </w:p>
    <w:p>
      <w:pPr>
        <w:spacing w:line="360" w:lineRule="auto"/>
        <w:ind w:firstLine="420" w:firstLineChars="200"/>
        <w:jc w:val="center"/>
        <w:rPr>
          <w:rFonts w:ascii="宋体" w:hAnsi="宋体"/>
        </w:rPr>
      </w:pPr>
      <w:r>
        <w:rPr>
          <w:rFonts w:hint="eastAsia" w:ascii="宋体" w:hAnsi="宋体"/>
        </w:rPr>
        <w:t xml:space="preserve">                         日 期：  年   月  日</w:t>
      </w:r>
    </w:p>
    <w:p>
      <w:pPr>
        <w:adjustRightInd w:val="0"/>
        <w:snapToGrid w:val="0"/>
        <w:spacing w:line="360" w:lineRule="auto"/>
        <w:ind w:left="315" w:leftChars="150"/>
        <w:rPr>
          <w:rFonts w:ascii="宋体" w:hAnsi="宋体"/>
          <w:szCs w:val="21"/>
          <w:lang w:val="en-GB"/>
        </w:rPr>
      </w:pPr>
      <w:bookmarkStart w:id="63" w:name="_Toc435514876"/>
      <w:bookmarkStart w:id="64" w:name="_Toc435515316"/>
      <w:r>
        <w:rPr>
          <w:rFonts w:hint="eastAsia" w:ascii="宋体" w:hAnsi="宋体"/>
          <w:szCs w:val="21"/>
          <w:lang w:val="en-GB"/>
        </w:rPr>
        <w:t>备注：</w:t>
      </w:r>
    </w:p>
    <w:p>
      <w:pPr>
        <w:numPr>
          <w:ilvl w:val="0"/>
          <w:numId w:val="23"/>
        </w:numPr>
        <w:adjustRightInd w:val="0"/>
        <w:snapToGrid w:val="0"/>
        <w:spacing w:line="360" w:lineRule="auto"/>
        <w:rPr>
          <w:rFonts w:ascii="宋体" w:hAnsi="宋体"/>
          <w:szCs w:val="21"/>
          <w:lang w:val="en-GB"/>
        </w:rPr>
      </w:pPr>
      <w:r>
        <w:rPr>
          <w:rFonts w:hint="eastAsia" w:ascii="宋体" w:hAnsi="宋体"/>
          <w:szCs w:val="21"/>
          <w:lang w:val="en-GB"/>
        </w:rPr>
        <w:t>本声明函对中小企业参与政府采购活动时适用。</w:t>
      </w:r>
    </w:p>
    <w:p>
      <w:pPr>
        <w:numPr>
          <w:ilvl w:val="0"/>
          <w:numId w:val="23"/>
        </w:numPr>
        <w:adjustRightInd w:val="0"/>
        <w:snapToGrid w:val="0"/>
        <w:spacing w:line="360" w:lineRule="auto"/>
        <w:rPr>
          <w:rFonts w:ascii="宋体" w:hAnsi="宋体"/>
          <w:szCs w:val="21"/>
          <w:lang w:val="en-GB"/>
        </w:rPr>
      </w:pPr>
      <w:r>
        <w:rPr>
          <w:rFonts w:hint="eastAsia" w:ascii="宋体" w:hAnsi="宋体"/>
          <w:szCs w:val="21"/>
          <w:lang w:val="en-GB"/>
        </w:rPr>
        <w:t>如果投标人不是中小企业的，可不提供该中小企业声明函。</w:t>
      </w:r>
      <w:bookmarkEnd w:id="63"/>
      <w:bookmarkEnd w:id="64"/>
    </w:p>
    <w:p>
      <w:pPr>
        <w:numPr>
          <w:ilvl w:val="0"/>
          <w:numId w:val="23"/>
        </w:numPr>
        <w:adjustRightInd w:val="0"/>
        <w:snapToGrid w:val="0"/>
        <w:spacing w:line="360" w:lineRule="auto"/>
        <w:rPr>
          <w:rFonts w:ascii="宋体" w:hAnsi="宋体"/>
          <w:szCs w:val="21"/>
          <w:lang w:val="en-GB"/>
        </w:rPr>
      </w:pPr>
      <w:r>
        <w:rPr>
          <w:rFonts w:hint="eastAsia" w:ascii="宋体" w:hAnsi="宋体"/>
          <w:szCs w:val="21"/>
          <w:lang w:val="en-GB"/>
        </w:rPr>
        <w:br w:type="page"/>
      </w:r>
    </w:p>
    <w:p>
      <w:pPr>
        <w:pStyle w:val="24"/>
        <w:ind w:firstLine="0" w:firstLineChars="0"/>
        <w:jc w:val="center"/>
        <w:rPr>
          <w:rFonts w:cs="Times New Roman"/>
          <w:b/>
          <w:color w:val="auto"/>
          <w:kern w:val="2"/>
          <w:szCs w:val="28"/>
          <w:lang w:val="en-GB"/>
        </w:rPr>
      </w:pPr>
      <w:r>
        <w:rPr>
          <w:rFonts w:hint="eastAsia" w:cs="Times New Roman"/>
          <w:b/>
          <w:color w:val="auto"/>
          <w:kern w:val="2"/>
          <w:szCs w:val="28"/>
          <w:lang w:val="en-GB"/>
        </w:rPr>
        <w:t>监狱企业的证明文件（如适用）</w:t>
      </w:r>
    </w:p>
    <w:p>
      <w:pPr>
        <w:pStyle w:val="24"/>
        <w:ind w:firstLine="420"/>
        <w:rPr>
          <w:rFonts w:cs="Times New Roman"/>
          <w:color w:val="auto"/>
          <w:kern w:val="2"/>
          <w:sz w:val="21"/>
          <w:lang w:val="en-GB"/>
        </w:rPr>
      </w:pPr>
      <w:r>
        <w:rPr>
          <w:rFonts w:hint="eastAsia" w:cs="Times New Roman"/>
          <w:color w:val="auto"/>
          <w:kern w:val="2"/>
          <w:sz w:val="21"/>
          <w:lang w:val="en-GB"/>
        </w:rPr>
        <w:t>说明：监狱企业参加政府采购活动时，应当提供由省级以上监狱管理局、戒毒管理局（含新疆生产建设兵团）出具的属于监狱企业的证明文件。</w:t>
      </w:r>
    </w:p>
    <w:p>
      <w:pPr>
        <w:pStyle w:val="24"/>
        <w:ind w:firstLine="560"/>
        <w:rPr>
          <w:lang w:val="en-GB"/>
        </w:rPr>
      </w:pPr>
    </w:p>
    <w:p>
      <w:pPr>
        <w:pStyle w:val="24"/>
        <w:ind w:firstLine="560"/>
        <w:rPr>
          <w:lang w:val="en-GB"/>
        </w:rPr>
      </w:pPr>
    </w:p>
    <w:p>
      <w:pPr>
        <w:pStyle w:val="24"/>
        <w:ind w:firstLine="560"/>
        <w:rPr>
          <w:lang w:val="en-GB"/>
        </w:rPr>
      </w:pPr>
    </w:p>
    <w:p>
      <w:pPr>
        <w:pStyle w:val="24"/>
        <w:ind w:firstLine="560"/>
        <w:rPr>
          <w:lang w:val="en-GB"/>
        </w:rPr>
      </w:pPr>
    </w:p>
    <w:p>
      <w:pPr>
        <w:pStyle w:val="24"/>
        <w:ind w:firstLine="560"/>
        <w:rPr>
          <w:lang w:val="en-GB"/>
        </w:rPr>
      </w:pPr>
    </w:p>
    <w:p>
      <w:pPr>
        <w:pStyle w:val="24"/>
        <w:ind w:firstLine="560"/>
        <w:rPr>
          <w:lang w:val="en-GB"/>
        </w:rPr>
      </w:pPr>
    </w:p>
    <w:p>
      <w:pPr>
        <w:pStyle w:val="24"/>
        <w:ind w:firstLine="0" w:firstLineChars="0"/>
        <w:jc w:val="center"/>
        <w:rPr>
          <w:rFonts w:cs="Times New Roman"/>
          <w:b/>
          <w:color w:val="auto"/>
          <w:kern w:val="2"/>
          <w:szCs w:val="28"/>
          <w:lang w:val="en-GB"/>
        </w:rPr>
      </w:pPr>
      <w:r>
        <w:rPr>
          <w:rFonts w:hint="eastAsia" w:cs="Times New Roman"/>
          <w:b/>
          <w:color w:val="auto"/>
          <w:kern w:val="2"/>
          <w:szCs w:val="28"/>
          <w:lang w:val="en-GB"/>
        </w:rPr>
        <w:t>残疾人福利性单位的声明函及证明文件（如适用）</w:t>
      </w:r>
    </w:p>
    <w:p>
      <w:pPr>
        <w:pStyle w:val="24"/>
        <w:ind w:firstLine="420"/>
        <w:rPr>
          <w:rFonts w:cs="Times New Roman"/>
          <w:color w:val="auto"/>
          <w:kern w:val="2"/>
          <w:sz w:val="21"/>
          <w:lang w:val="en-GB"/>
        </w:rPr>
      </w:pPr>
      <w:r>
        <w:rPr>
          <w:rFonts w:hint="eastAsia" w:cs="Times New Roman"/>
          <w:color w:val="auto"/>
          <w:kern w:val="2"/>
          <w:sz w:val="21"/>
          <w:lang w:val="en-GB"/>
        </w:rPr>
        <w:t>本公司郑重声明，根据《财政部 民政部 中国残疾人联合会关于促进残疾人就业政府采购政策的通</w:t>
      </w:r>
    </w:p>
    <w:p>
      <w:pPr>
        <w:pStyle w:val="24"/>
        <w:ind w:firstLine="420"/>
        <w:rPr>
          <w:rFonts w:cs="Times New Roman"/>
          <w:color w:val="auto"/>
          <w:kern w:val="2"/>
          <w:sz w:val="21"/>
          <w:lang w:val="en-GB"/>
        </w:rPr>
      </w:pPr>
      <w:r>
        <w:rPr>
          <w:rFonts w:hint="eastAsia" w:cs="Times New Roman"/>
          <w:color w:val="auto"/>
          <w:kern w:val="2"/>
          <w:sz w:val="21"/>
          <w:lang w:val="en-GB"/>
        </w:rPr>
        <w:t>知》（财库〔2017〕 141 号）的规定，本公司为符合条件的残疾人福利性单位，且本公司参加 单位的______项目采购活动提供本公司制造的货物（由本公司承担工程/提供服务），或者提供其他残疾人</w:t>
      </w:r>
    </w:p>
    <w:p>
      <w:pPr>
        <w:pStyle w:val="24"/>
        <w:ind w:firstLine="420"/>
        <w:rPr>
          <w:rFonts w:cs="Times New Roman"/>
          <w:color w:val="auto"/>
          <w:kern w:val="2"/>
          <w:sz w:val="21"/>
          <w:lang w:val="en-GB"/>
        </w:rPr>
      </w:pPr>
      <w:r>
        <w:rPr>
          <w:rFonts w:hint="eastAsia" w:cs="Times New Roman"/>
          <w:color w:val="auto"/>
          <w:kern w:val="2"/>
          <w:sz w:val="21"/>
          <w:lang w:val="en-GB"/>
        </w:rPr>
        <w:t>福利性单位制造的货物（不包括使用非残疾人福利性单位注册商标的货物）。</w:t>
      </w:r>
    </w:p>
    <w:p>
      <w:pPr>
        <w:pStyle w:val="24"/>
        <w:ind w:firstLine="420"/>
        <w:rPr>
          <w:rFonts w:cs="Times New Roman"/>
          <w:color w:val="auto"/>
          <w:kern w:val="2"/>
          <w:sz w:val="21"/>
          <w:lang w:val="en-GB"/>
        </w:rPr>
      </w:pPr>
      <w:r>
        <w:rPr>
          <w:rFonts w:hint="eastAsia" w:cs="Times New Roman"/>
          <w:color w:val="auto"/>
          <w:kern w:val="2"/>
          <w:sz w:val="21"/>
          <w:lang w:val="en-GB"/>
        </w:rPr>
        <w:t>本公司对上述声明的真实性负责。如有虚假，将依法承担相应责任。</w:t>
      </w:r>
    </w:p>
    <w:p>
      <w:pPr>
        <w:pStyle w:val="24"/>
        <w:ind w:firstLine="420"/>
        <w:rPr>
          <w:rFonts w:cs="Times New Roman"/>
          <w:color w:val="auto"/>
          <w:kern w:val="2"/>
          <w:sz w:val="21"/>
          <w:lang w:val="en-GB"/>
        </w:rPr>
      </w:pPr>
    </w:p>
    <w:p>
      <w:pPr>
        <w:pStyle w:val="24"/>
        <w:ind w:firstLine="420"/>
        <w:rPr>
          <w:rFonts w:cs="Times New Roman"/>
          <w:color w:val="auto"/>
          <w:kern w:val="2"/>
          <w:sz w:val="21"/>
          <w:lang w:val="en-GB"/>
        </w:rPr>
      </w:pPr>
      <w:r>
        <w:rPr>
          <w:rFonts w:hint="eastAsia" w:cs="Times New Roman"/>
          <w:color w:val="auto"/>
          <w:kern w:val="2"/>
          <w:sz w:val="21"/>
          <w:lang w:val="en-GB"/>
        </w:rPr>
        <w:t>企业名称（盖章）：</w:t>
      </w:r>
    </w:p>
    <w:p>
      <w:pPr>
        <w:pStyle w:val="24"/>
        <w:ind w:firstLine="420"/>
        <w:rPr>
          <w:lang w:val="en-GB"/>
        </w:rPr>
      </w:pPr>
      <w:r>
        <w:rPr>
          <w:rFonts w:hint="eastAsia" w:cs="Times New Roman"/>
          <w:color w:val="auto"/>
          <w:kern w:val="2"/>
          <w:sz w:val="21"/>
          <w:lang w:val="en-GB"/>
        </w:rPr>
        <w:t>日 期：</w:t>
      </w:r>
    </w:p>
    <w:p>
      <w:pPr>
        <w:spacing w:line="440" w:lineRule="exact"/>
        <w:rPr>
          <w:rFonts w:ascii="宋体" w:hAnsi="宋体"/>
        </w:rPr>
      </w:pPr>
      <w:r>
        <w:rPr>
          <w:rFonts w:ascii="宋体" w:hAnsi="宋体"/>
        </w:rPr>
        <w:br w:type="page"/>
      </w:r>
    </w:p>
    <w:p>
      <w:pPr>
        <w:numPr>
          <w:ilvl w:val="0"/>
          <w:numId w:val="20"/>
        </w:numPr>
        <w:spacing w:line="440" w:lineRule="exact"/>
        <w:rPr>
          <w:rFonts w:ascii="宋体" w:hAnsi="宋体"/>
          <w:b/>
          <w:sz w:val="28"/>
          <w:szCs w:val="28"/>
        </w:rPr>
      </w:pPr>
      <w:r>
        <w:rPr>
          <w:rFonts w:hint="eastAsia" w:ascii="宋体" w:hAnsi="宋体"/>
          <w:b/>
          <w:sz w:val="28"/>
          <w:szCs w:val="28"/>
        </w:rPr>
        <w:t xml:space="preserve">       </w:t>
      </w:r>
    </w:p>
    <w:p>
      <w:pPr>
        <w:adjustRightInd w:val="0"/>
        <w:snapToGrid w:val="0"/>
        <w:spacing w:after="156" w:afterLines="50"/>
        <w:jc w:val="center"/>
        <w:outlineLvl w:val="2"/>
        <w:rPr>
          <w:rFonts w:ascii="宋体" w:hAnsi="宋体"/>
          <w:b/>
          <w:sz w:val="28"/>
          <w:szCs w:val="28"/>
        </w:rPr>
      </w:pPr>
      <w:r>
        <w:rPr>
          <w:rFonts w:hint="eastAsia" w:ascii="宋体" w:hAnsi="宋体"/>
          <w:b/>
          <w:sz w:val="28"/>
          <w:szCs w:val="28"/>
        </w:rPr>
        <w:t>用户需求响应一览表</w:t>
      </w:r>
    </w:p>
    <w:p>
      <w:pPr>
        <w:ind w:firstLine="210" w:firstLineChars="100"/>
        <w:rPr>
          <w:rFonts w:ascii="宋体" w:hAnsi="宋体"/>
          <w:b/>
          <w:bCs/>
          <w:u w:val="single"/>
        </w:rPr>
      </w:pPr>
      <w:r>
        <w:rPr>
          <w:rFonts w:hint="eastAsia" w:ascii="宋体" w:hAnsi="宋体"/>
        </w:rPr>
        <w:t xml:space="preserve">项目编号：GZBC21HG01005                                  </w:t>
      </w:r>
    </w:p>
    <w:tbl>
      <w:tblPr>
        <w:tblStyle w:val="17"/>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03"/>
        <w:gridCol w:w="2745"/>
        <w:gridCol w:w="2044"/>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szCs w:val="21"/>
              </w:rPr>
            </w:pPr>
          </w:p>
          <w:p>
            <w:pPr>
              <w:ind w:left="-63" w:leftChars="-30" w:right="-61" w:rightChars="-29"/>
              <w:jc w:val="center"/>
              <w:rPr>
                <w:rFonts w:ascii="宋体" w:hAnsi="宋体"/>
                <w:b/>
                <w:szCs w:val="21"/>
              </w:rPr>
            </w:pPr>
            <w:r>
              <w:rPr>
                <w:rFonts w:hint="eastAsia" w:ascii="宋体" w:hAnsi="宋体"/>
                <w:b/>
                <w:szCs w:val="21"/>
              </w:rPr>
              <w:t>序号</w:t>
            </w:r>
          </w:p>
        </w:tc>
        <w:tc>
          <w:tcPr>
            <w:tcW w:w="2903"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招标文件条款描述</w:t>
            </w:r>
          </w:p>
        </w:tc>
        <w:tc>
          <w:tcPr>
            <w:tcW w:w="2745"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投标人响应描述</w:t>
            </w:r>
          </w:p>
        </w:tc>
        <w:tc>
          <w:tcPr>
            <w:tcW w:w="2044"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rPr>
            </w:pPr>
            <w:r>
              <w:rPr>
                <w:rFonts w:hint="eastAsia" w:ascii="宋体" w:hAnsi="宋体"/>
                <w:b/>
              </w:rPr>
              <w:t>偏离情况说明</w:t>
            </w:r>
          </w:p>
          <w:p>
            <w:pPr>
              <w:jc w:val="center"/>
              <w:rPr>
                <w:rFonts w:ascii="宋体" w:hAnsi="宋体"/>
                <w:b/>
              </w:rPr>
            </w:pPr>
            <w:r>
              <w:rPr>
                <w:rFonts w:hint="eastAsia" w:ascii="宋体" w:hAnsi="宋体"/>
                <w:b/>
              </w:rPr>
              <w:t>（正偏离/完全响应/负偏离）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rPr>
            </w:pPr>
            <w:r>
              <w:rPr>
                <w:rFonts w:hint="eastAsia" w:ascii="宋体" w:hAnsi="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4"/>
              </w:numPr>
              <w:spacing w:line="400" w:lineRule="exact"/>
              <w:jc w:val="center"/>
              <w:rPr>
                <w:rFonts w:ascii="宋体" w:hAnsi="宋体"/>
                <w:szCs w:val="21"/>
              </w:rPr>
            </w:pPr>
          </w:p>
        </w:tc>
        <w:tc>
          <w:tcPr>
            <w:tcW w:w="2903" w:type="dxa"/>
            <w:tcBorders>
              <w:top w:val="double" w:color="auto" w:sz="4" w:space="0"/>
            </w:tcBorders>
            <w:vAlign w:val="center"/>
          </w:tcPr>
          <w:p>
            <w:pPr>
              <w:rPr>
                <w:rFonts w:ascii="宋体" w:hAnsi="宋体"/>
              </w:rPr>
            </w:pPr>
          </w:p>
        </w:tc>
        <w:tc>
          <w:tcPr>
            <w:tcW w:w="2745" w:type="dxa"/>
            <w:tcBorders>
              <w:top w:val="double" w:color="auto" w:sz="4" w:space="0"/>
            </w:tcBorders>
            <w:vAlign w:val="center"/>
          </w:tcPr>
          <w:p>
            <w:pPr>
              <w:jc w:val="center"/>
              <w:rPr>
                <w:rFonts w:ascii="宋体" w:hAnsi="宋体"/>
              </w:rPr>
            </w:pPr>
          </w:p>
        </w:tc>
        <w:tc>
          <w:tcPr>
            <w:tcW w:w="2044" w:type="dxa"/>
            <w:tcBorders>
              <w:top w:val="double" w:color="auto" w:sz="4" w:space="0"/>
              <w:right w:val="single" w:color="auto" w:sz="2" w:space="0"/>
            </w:tcBorders>
            <w:vAlign w:val="center"/>
          </w:tcPr>
          <w:p>
            <w:pPr>
              <w:jc w:val="center"/>
              <w:rPr>
                <w:rFonts w:ascii="宋体" w:hAnsi="宋体"/>
              </w:rPr>
            </w:pPr>
          </w:p>
        </w:tc>
        <w:tc>
          <w:tcPr>
            <w:tcW w:w="1639" w:type="dxa"/>
            <w:tcBorders>
              <w:top w:val="double" w:color="auto" w:sz="4" w:space="0"/>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24"/>
              </w:numPr>
              <w:spacing w:line="400" w:lineRule="exact"/>
              <w:jc w:val="center"/>
              <w:rPr>
                <w:rFonts w:ascii="宋体" w:hAnsi="宋体"/>
                <w:szCs w:val="21"/>
              </w:rPr>
            </w:pPr>
          </w:p>
        </w:tc>
        <w:tc>
          <w:tcPr>
            <w:tcW w:w="2903" w:type="dxa"/>
            <w:vAlign w:val="center"/>
          </w:tcPr>
          <w:p>
            <w:pPr>
              <w:rPr>
                <w:rFonts w:ascii="宋体" w:hAnsi="宋体"/>
              </w:rPr>
            </w:pPr>
          </w:p>
        </w:tc>
        <w:tc>
          <w:tcPr>
            <w:tcW w:w="2745" w:type="dxa"/>
            <w:vAlign w:val="center"/>
          </w:tcPr>
          <w:p>
            <w:pPr>
              <w:jc w:val="center"/>
              <w:rPr>
                <w:rFonts w:ascii="宋体" w:hAnsi="宋体"/>
              </w:rPr>
            </w:pPr>
          </w:p>
        </w:tc>
        <w:tc>
          <w:tcPr>
            <w:tcW w:w="2044"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 w:val="18"/>
                <w:szCs w:val="18"/>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31" w:type="dxa"/>
            <w:vAlign w:val="center"/>
          </w:tcPr>
          <w:p>
            <w:pPr>
              <w:numPr>
                <w:ilvl w:val="0"/>
                <w:numId w:val="24"/>
              </w:numPr>
              <w:spacing w:line="400" w:lineRule="exact"/>
              <w:jc w:val="center"/>
              <w:rPr>
                <w:rFonts w:ascii="宋体" w:hAnsi="宋体"/>
                <w:szCs w:val="21"/>
              </w:rPr>
            </w:pPr>
          </w:p>
        </w:tc>
        <w:tc>
          <w:tcPr>
            <w:tcW w:w="2903" w:type="dxa"/>
            <w:vAlign w:val="center"/>
          </w:tcPr>
          <w:p>
            <w:pPr>
              <w:rPr>
                <w:rFonts w:ascii="宋体" w:hAnsi="宋体"/>
                <w:b/>
                <w:bCs/>
                <w:szCs w:val="21"/>
              </w:rPr>
            </w:pPr>
          </w:p>
        </w:tc>
        <w:tc>
          <w:tcPr>
            <w:tcW w:w="2745" w:type="dxa"/>
            <w:vAlign w:val="center"/>
          </w:tcPr>
          <w:p>
            <w:pPr>
              <w:jc w:val="center"/>
              <w:rPr>
                <w:rFonts w:ascii="宋体" w:hAnsi="宋体"/>
              </w:rPr>
            </w:pPr>
          </w:p>
        </w:tc>
        <w:tc>
          <w:tcPr>
            <w:tcW w:w="2044"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24"/>
              </w:numPr>
              <w:spacing w:line="400" w:lineRule="exact"/>
              <w:jc w:val="center"/>
              <w:rPr>
                <w:rFonts w:ascii="宋体" w:hAnsi="宋体"/>
                <w:szCs w:val="21"/>
              </w:rPr>
            </w:pPr>
          </w:p>
        </w:tc>
        <w:tc>
          <w:tcPr>
            <w:tcW w:w="2903" w:type="dxa"/>
            <w:vAlign w:val="center"/>
          </w:tcPr>
          <w:p>
            <w:pPr>
              <w:rPr>
                <w:rFonts w:ascii="宋体" w:hAnsi="宋体"/>
              </w:rPr>
            </w:pPr>
          </w:p>
        </w:tc>
        <w:tc>
          <w:tcPr>
            <w:tcW w:w="2745" w:type="dxa"/>
            <w:vAlign w:val="center"/>
          </w:tcPr>
          <w:p>
            <w:pPr>
              <w:jc w:val="center"/>
              <w:rPr>
                <w:rFonts w:ascii="宋体" w:hAnsi="宋体"/>
              </w:rPr>
            </w:pPr>
          </w:p>
        </w:tc>
        <w:tc>
          <w:tcPr>
            <w:tcW w:w="2044"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24"/>
              </w:numPr>
              <w:spacing w:line="400" w:lineRule="exact"/>
              <w:jc w:val="center"/>
              <w:rPr>
                <w:rFonts w:ascii="宋体" w:hAnsi="宋体"/>
                <w:szCs w:val="21"/>
              </w:rPr>
            </w:pPr>
          </w:p>
        </w:tc>
        <w:tc>
          <w:tcPr>
            <w:tcW w:w="2903" w:type="dxa"/>
            <w:vAlign w:val="center"/>
          </w:tcPr>
          <w:p>
            <w:pPr>
              <w:rPr>
                <w:rFonts w:asciiTheme="minorEastAsia" w:hAnsiTheme="minorEastAsia" w:eastAsiaTheme="minorEastAsia" w:cstheme="minorEastAsia"/>
                <w:b/>
                <w:bCs/>
                <w:szCs w:val="21"/>
              </w:rPr>
            </w:pPr>
          </w:p>
        </w:tc>
        <w:tc>
          <w:tcPr>
            <w:tcW w:w="2745" w:type="dxa"/>
            <w:vAlign w:val="center"/>
          </w:tcPr>
          <w:p>
            <w:pPr>
              <w:jc w:val="center"/>
              <w:rPr>
                <w:rFonts w:ascii="宋体" w:hAnsi="宋体"/>
              </w:rPr>
            </w:pPr>
          </w:p>
        </w:tc>
        <w:tc>
          <w:tcPr>
            <w:tcW w:w="2044"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pPr>
              <w:numPr>
                <w:ilvl w:val="0"/>
                <w:numId w:val="24"/>
              </w:numPr>
              <w:spacing w:line="400" w:lineRule="exact"/>
              <w:jc w:val="center"/>
              <w:rPr>
                <w:rFonts w:ascii="宋体" w:hAnsi="宋体"/>
                <w:szCs w:val="21"/>
              </w:rPr>
            </w:pPr>
          </w:p>
        </w:tc>
        <w:tc>
          <w:tcPr>
            <w:tcW w:w="2903" w:type="dxa"/>
            <w:vAlign w:val="center"/>
          </w:tcPr>
          <w:p>
            <w:pPr>
              <w:rPr>
                <w:rFonts w:asciiTheme="minorEastAsia" w:hAnsiTheme="minorEastAsia" w:eastAsiaTheme="minorEastAsia" w:cstheme="minorEastAsia"/>
                <w:b/>
                <w:bCs/>
                <w:szCs w:val="21"/>
              </w:rPr>
            </w:pPr>
          </w:p>
        </w:tc>
        <w:tc>
          <w:tcPr>
            <w:tcW w:w="2745" w:type="dxa"/>
            <w:vAlign w:val="center"/>
          </w:tcPr>
          <w:p>
            <w:pPr>
              <w:jc w:val="center"/>
              <w:rPr>
                <w:rFonts w:ascii="宋体" w:hAnsi="宋体"/>
              </w:rPr>
            </w:pPr>
          </w:p>
        </w:tc>
        <w:tc>
          <w:tcPr>
            <w:tcW w:w="2044"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pPr>
        <w:spacing w:line="360" w:lineRule="auto"/>
        <w:ind w:left="741" w:leftChars="68" w:right="84" w:rightChars="40" w:hanging="598" w:hangingChars="285"/>
        <w:rPr>
          <w:rFonts w:ascii="宋体" w:hAns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r>
        <w:rPr>
          <w:rFonts w:hint="eastAsia" w:ascii="宋体" w:hAnsi="宋体"/>
          <w:spacing w:val="4"/>
          <w:u w:val="single"/>
        </w:rPr>
        <w:t xml:space="preserve">   </w:t>
      </w:r>
      <w:r>
        <w:rPr>
          <w:rFonts w:ascii="宋体" w:hAnsi="宋体"/>
          <w:spacing w:val="4"/>
          <w:u w:val="single"/>
        </w:rPr>
        <w:t xml:space="preserve">  </w:t>
      </w:r>
    </w:p>
    <w:p>
      <w:r>
        <w:br w:type="page"/>
      </w:r>
    </w:p>
    <w:p>
      <w:pPr>
        <w:adjustRightInd w:val="0"/>
        <w:snapToGrid w:val="0"/>
        <w:spacing w:after="156" w:afterLines="50"/>
        <w:jc w:val="center"/>
        <w:outlineLvl w:val="2"/>
        <w:rPr>
          <w:rFonts w:ascii="宋体"/>
          <w:b/>
          <w:sz w:val="28"/>
          <w:szCs w:val="28"/>
        </w:rPr>
      </w:pPr>
      <w:r>
        <w:rPr>
          <w:rFonts w:hint="eastAsia" w:ascii="宋体" w:hAnsi="宋体"/>
          <w:b/>
          <w:sz w:val="28"/>
          <w:szCs w:val="28"/>
        </w:rPr>
        <w:t>▲重要技术条款响应一览表</w:t>
      </w:r>
    </w:p>
    <w:p>
      <w:pPr>
        <w:ind w:firstLine="210" w:firstLineChars="100"/>
        <w:rPr>
          <w:rFonts w:ascii="宋体"/>
          <w:b/>
          <w:bCs/>
          <w:u w:val="single"/>
        </w:rPr>
      </w:pPr>
      <w:r>
        <w:rPr>
          <w:rFonts w:hint="eastAsia" w:ascii="宋体" w:hAnsi="宋体"/>
        </w:rPr>
        <w:t>项目编号：</w:t>
      </w:r>
    </w:p>
    <w:tbl>
      <w:tblPr>
        <w:tblStyle w:val="17"/>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768"/>
        <w:gridCol w:w="2728"/>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b/>
                <w:szCs w:val="21"/>
              </w:rPr>
            </w:pPr>
          </w:p>
          <w:p>
            <w:pPr>
              <w:ind w:left="-63" w:leftChars="-30" w:right="-61" w:rightChars="-29"/>
              <w:jc w:val="center"/>
              <w:rPr>
                <w:rFonts w:ascii="宋体"/>
                <w:b/>
                <w:szCs w:val="21"/>
              </w:rPr>
            </w:pPr>
            <w:r>
              <w:rPr>
                <w:rFonts w:hint="eastAsia" w:ascii="宋体" w:hAnsi="宋体"/>
                <w:b/>
                <w:szCs w:val="21"/>
              </w:rPr>
              <w:t>序号</w:t>
            </w:r>
          </w:p>
        </w:tc>
        <w:tc>
          <w:tcPr>
            <w:tcW w:w="2768"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招标文件条款描述</w:t>
            </w:r>
          </w:p>
        </w:tc>
        <w:tc>
          <w:tcPr>
            <w:tcW w:w="2728" w:type="dxa"/>
            <w:tcBorders>
              <w:top w:val="single" w:color="auto" w:sz="12" w:space="0"/>
              <w:bottom w:val="double" w:color="auto" w:sz="4" w:space="0"/>
            </w:tcBorders>
            <w:shd w:val="clear" w:color="auto" w:fill="EEECE1"/>
            <w:vAlign w:val="center"/>
          </w:tcPr>
          <w:p>
            <w:pPr>
              <w:jc w:val="center"/>
              <w:rPr>
                <w:rFonts w:asci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b/>
              </w:rPr>
            </w:pPr>
            <w:r>
              <w:rPr>
                <w:rFonts w:hint="eastAsia" w:ascii="宋体" w:hAnsi="宋体"/>
                <w:b/>
              </w:rPr>
              <w:t>偏离情况说明</w:t>
            </w:r>
          </w:p>
          <w:p>
            <w:pPr>
              <w:jc w:val="center"/>
              <w:rPr>
                <w:rFonts w:ascii="宋体"/>
                <w:b/>
              </w:rPr>
            </w:pPr>
            <w:r>
              <w:rPr>
                <w:rFonts w:hint="eastAsia" w:ascii="宋体" w:hAnsi="宋体"/>
                <w:b/>
              </w:rPr>
              <w:t>（正偏离</w:t>
            </w:r>
            <w:r>
              <w:rPr>
                <w:rFonts w:ascii="宋体" w:hAnsi="宋体"/>
                <w:b/>
              </w:rPr>
              <w:t>/</w:t>
            </w:r>
            <w:r>
              <w:rPr>
                <w:rFonts w:hint="eastAsia" w:ascii="宋体" w:hAnsi="宋体"/>
                <w:b/>
              </w:rPr>
              <w:t>完全响应</w:t>
            </w:r>
            <w:r>
              <w:rPr>
                <w:rFonts w:ascii="宋体" w:hAnsi="宋体"/>
                <w:b/>
              </w:rPr>
              <w:t>/</w:t>
            </w:r>
            <w:r>
              <w:rPr>
                <w:rFonts w:hint="eastAsia" w:ascii="宋体" w:hAnsi="宋体"/>
                <w:b/>
              </w:rPr>
              <w:t>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b/>
              </w:rPr>
            </w:pPr>
            <w:r>
              <w:rPr>
                <w:rFonts w:hint="eastAsia" w:ascii="宋体" w:hAnsi="宋体"/>
                <w:b/>
              </w:rPr>
              <w:t>查阅</w:t>
            </w:r>
            <w:r>
              <w:rPr>
                <w:rFonts w:ascii="宋体" w:hAnsi="宋体"/>
                <w:b/>
              </w:rPr>
              <w:t>/</w:t>
            </w:r>
            <w:r>
              <w:rPr>
                <w:rFonts w:hint="eastAsia" w:ascii="宋体" w:hAnsi="宋体"/>
                <w:b/>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double" w:color="auto" w:sz="4" w:space="0"/>
              <w:bottom w:val="double" w:color="auto" w:sz="4" w:space="0"/>
            </w:tcBorders>
            <w:vAlign w:val="center"/>
          </w:tcPr>
          <w:p>
            <w:pPr>
              <w:spacing w:line="400" w:lineRule="exact"/>
              <w:ind w:left="180"/>
              <w:jc w:val="center"/>
              <w:rPr>
                <w:rFonts w:ascii="宋体"/>
                <w:szCs w:val="21"/>
              </w:rPr>
            </w:pPr>
            <w:r>
              <w:rPr>
                <w:rFonts w:hint="eastAsia" w:ascii="宋体"/>
                <w:szCs w:val="21"/>
              </w:rPr>
              <w:t>1</w:t>
            </w:r>
          </w:p>
        </w:tc>
        <w:tc>
          <w:tcPr>
            <w:tcW w:w="2768" w:type="dxa"/>
            <w:tcBorders>
              <w:top w:val="double" w:color="auto" w:sz="4" w:space="0"/>
              <w:bottom w:val="double" w:color="auto" w:sz="4" w:space="0"/>
            </w:tcBorders>
            <w:vAlign w:val="center"/>
          </w:tcPr>
          <w:p>
            <w:pPr>
              <w:rPr>
                <w:rFonts w:ascii="宋体"/>
              </w:rPr>
            </w:pPr>
          </w:p>
        </w:tc>
        <w:tc>
          <w:tcPr>
            <w:tcW w:w="2728" w:type="dxa"/>
            <w:tcBorders>
              <w:top w:val="double" w:color="auto" w:sz="4" w:space="0"/>
              <w:bottom w:val="double" w:color="auto" w:sz="4" w:space="0"/>
            </w:tcBorders>
            <w:vAlign w:val="center"/>
          </w:tcPr>
          <w:p>
            <w:pPr>
              <w:jc w:val="center"/>
              <w:rPr>
                <w:rFonts w:ascii="宋体"/>
              </w:rPr>
            </w:pPr>
          </w:p>
        </w:tc>
        <w:tc>
          <w:tcPr>
            <w:tcW w:w="2196" w:type="dxa"/>
            <w:tcBorders>
              <w:top w:val="double" w:color="auto" w:sz="4" w:space="0"/>
              <w:bottom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bottom w:val="double" w:color="auto" w:sz="4" w:space="0"/>
            </w:tcBorders>
            <w:vAlign w:val="center"/>
          </w:tcPr>
          <w:p>
            <w:pPr>
              <w:jc w:val="center"/>
              <w:rPr>
                <w:rFonts w:ascii="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double" w:color="auto" w:sz="4" w:space="0"/>
              <w:bottom w:val="double" w:color="auto" w:sz="4" w:space="0"/>
            </w:tcBorders>
            <w:vAlign w:val="center"/>
          </w:tcPr>
          <w:p>
            <w:pPr>
              <w:spacing w:line="400" w:lineRule="exact"/>
              <w:ind w:left="180"/>
              <w:jc w:val="center"/>
              <w:rPr>
                <w:rFonts w:ascii="宋体"/>
                <w:szCs w:val="21"/>
              </w:rPr>
            </w:pPr>
            <w:r>
              <w:rPr>
                <w:rFonts w:hint="eastAsia" w:ascii="宋体"/>
                <w:szCs w:val="21"/>
              </w:rPr>
              <w:t>2</w:t>
            </w:r>
          </w:p>
        </w:tc>
        <w:tc>
          <w:tcPr>
            <w:tcW w:w="2768" w:type="dxa"/>
            <w:tcBorders>
              <w:top w:val="double" w:color="auto" w:sz="4" w:space="0"/>
              <w:bottom w:val="double" w:color="auto" w:sz="4" w:space="0"/>
            </w:tcBorders>
            <w:vAlign w:val="center"/>
          </w:tcPr>
          <w:p>
            <w:pPr>
              <w:rPr>
                <w:rFonts w:ascii="宋体"/>
              </w:rPr>
            </w:pPr>
          </w:p>
        </w:tc>
        <w:tc>
          <w:tcPr>
            <w:tcW w:w="2728" w:type="dxa"/>
            <w:tcBorders>
              <w:top w:val="double" w:color="auto" w:sz="4" w:space="0"/>
              <w:bottom w:val="double" w:color="auto" w:sz="4" w:space="0"/>
            </w:tcBorders>
            <w:vAlign w:val="center"/>
          </w:tcPr>
          <w:p>
            <w:pPr>
              <w:jc w:val="center"/>
              <w:rPr>
                <w:rFonts w:ascii="宋体"/>
              </w:rPr>
            </w:pPr>
          </w:p>
        </w:tc>
        <w:tc>
          <w:tcPr>
            <w:tcW w:w="2196" w:type="dxa"/>
            <w:tcBorders>
              <w:top w:val="double" w:color="auto" w:sz="4" w:space="0"/>
              <w:bottom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bottom w:val="double" w:color="auto" w:sz="4" w:space="0"/>
            </w:tcBorders>
            <w:vAlign w:val="center"/>
          </w:tcPr>
          <w:p>
            <w:pPr>
              <w:jc w:val="center"/>
              <w:rPr>
                <w:rFonts w:ascii="宋体" w:hAns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double" w:color="auto" w:sz="4" w:space="0"/>
              <w:bottom w:val="double" w:color="auto" w:sz="4" w:space="0"/>
            </w:tcBorders>
            <w:vAlign w:val="center"/>
          </w:tcPr>
          <w:p>
            <w:pPr>
              <w:spacing w:line="400" w:lineRule="exact"/>
              <w:ind w:left="180"/>
              <w:jc w:val="center"/>
              <w:rPr>
                <w:rFonts w:ascii="宋体"/>
                <w:szCs w:val="21"/>
              </w:rPr>
            </w:pPr>
            <w:r>
              <w:rPr>
                <w:rFonts w:hint="eastAsia" w:ascii="宋体"/>
                <w:szCs w:val="21"/>
              </w:rPr>
              <w:t>3</w:t>
            </w:r>
          </w:p>
        </w:tc>
        <w:tc>
          <w:tcPr>
            <w:tcW w:w="2768" w:type="dxa"/>
            <w:tcBorders>
              <w:top w:val="double" w:color="auto" w:sz="4" w:space="0"/>
              <w:bottom w:val="double" w:color="auto" w:sz="4" w:space="0"/>
            </w:tcBorders>
            <w:vAlign w:val="center"/>
          </w:tcPr>
          <w:p>
            <w:pPr>
              <w:rPr>
                <w:rFonts w:ascii="宋体"/>
              </w:rPr>
            </w:pPr>
          </w:p>
        </w:tc>
        <w:tc>
          <w:tcPr>
            <w:tcW w:w="2728" w:type="dxa"/>
            <w:tcBorders>
              <w:top w:val="double" w:color="auto" w:sz="4" w:space="0"/>
              <w:bottom w:val="double" w:color="auto" w:sz="4" w:space="0"/>
            </w:tcBorders>
            <w:vAlign w:val="center"/>
          </w:tcPr>
          <w:p>
            <w:pPr>
              <w:jc w:val="center"/>
              <w:rPr>
                <w:rFonts w:ascii="宋体"/>
              </w:rPr>
            </w:pPr>
          </w:p>
        </w:tc>
        <w:tc>
          <w:tcPr>
            <w:tcW w:w="2196" w:type="dxa"/>
            <w:tcBorders>
              <w:top w:val="double" w:color="auto" w:sz="4" w:space="0"/>
              <w:bottom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bottom w:val="double" w:color="auto" w:sz="4" w:space="0"/>
            </w:tcBorders>
            <w:vAlign w:val="center"/>
          </w:tcPr>
          <w:p>
            <w:pPr>
              <w:jc w:val="center"/>
              <w:rPr>
                <w:rFonts w:ascii="宋体" w:hAns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double" w:color="auto" w:sz="4" w:space="0"/>
              <w:bottom w:val="double" w:color="auto" w:sz="4" w:space="0"/>
            </w:tcBorders>
            <w:vAlign w:val="center"/>
          </w:tcPr>
          <w:p>
            <w:pPr>
              <w:spacing w:line="400" w:lineRule="exact"/>
              <w:ind w:left="180"/>
              <w:jc w:val="center"/>
              <w:rPr>
                <w:rFonts w:ascii="宋体"/>
                <w:szCs w:val="21"/>
              </w:rPr>
            </w:pPr>
            <w:r>
              <w:rPr>
                <w:rFonts w:hint="eastAsia" w:ascii="宋体"/>
                <w:szCs w:val="21"/>
              </w:rPr>
              <w:t>4</w:t>
            </w:r>
          </w:p>
        </w:tc>
        <w:tc>
          <w:tcPr>
            <w:tcW w:w="2768" w:type="dxa"/>
            <w:tcBorders>
              <w:top w:val="double" w:color="auto" w:sz="4" w:space="0"/>
              <w:bottom w:val="double" w:color="auto" w:sz="4" w:space="0"/>
            </w:tcBorders>
            <w:vAlign w:val="center"/>
          </w:tcPr>
          <w:p>
            <w:pPr>
              <w:rPr>
                <w:rFonts w:ascii="宋体"/>
              </w:rPr>
            </w:pPr>
          </w:p>
        </w:tc>
        <w:tc>
          <w:tcPr>
            <w:tcW w:w="2728" w:type="dxa"/>
            <w:tcBorders>
              <w:top w:val="double" w:color="auto" w:sz="4" w:space="0"/>
              <w:bottom w:val="double" w:color="auto" w:sz="4" w:space="0"/>
            </w:tcBorders>
            <w:vAlign w:val="center"/>
          </w:tcPr>
          <w:p>
            <w:pPr>
              <w:jc w:val="center"/>
              <w:rPr>
                <w:rFonts w:ascii="宋体"/>
              </w:rPr>
            </w:pPr>
          </w:p>
        </w:tc>
        <w:tc>
          <w:tcPr>
            <w:tcW w:w="2196" w:type="dxa"/>
            <w:tcBorders>
              <w:top w:val="double" w:color="auto" w:sz="4" w:space="0"/>
              <w:bottom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bottom w:val="double" w:color="auto" w:sz="4" w:space="0"/>
            </w:tcBorders>
            <w:vAlign w:val="center"/>
          </w:tcPr>
          <w:p>
            <w:pPr>
              <w:jc w:val="center"/>
              <w:rPr>
                <w:rFonts w:ascii="宋体" w:hAns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double" w:color="auto" w:sz="4" w:space="0"/>
              <w:bottom w:val="double" w:color="auto" w:sz="4" w:space="0"/>
            </w:tcBorders>
            <w:vAlign w:val="center"/>
          </w:tcPr>
          <w:p>
            <w:pPr>
              <w:spacing w:line="400" w:lineRule="exact"/>
              <w:ind w:left="180"/>
              <w:jc w:val="center"/>
              <w:rPr>
                <w:rFonts w:ascii="宋体"/>
                <w:szCs w:val="21"/>
              </w:rPr>
            </w:pPr>
            <w:r>
              <w:rPr>
                <w:rFonts w:hint="eastAsia" w:ascii="宋体"/>
                <w:szCs w:val="21"/>
              </w:rPr>
              <w:t>5</w:t>
            </w:r>
          </w:p>
        </w:tc>
        <w:tc>
          <w:tcPr>
            <w:tcW w:w="2768" w:type="dxa"/>
            <w:tcBorders>
              <w:top w:val="double" w:color="auto" w:sz="4" w:space="0"/>
              <w:bottom w:val="double" w:color="auto" w:sz="4" w:space="0"/>
            </w:tcBorders>
            <w:vAlign w:val="center"/>
          </w:tcPr>
          <w:p>
            <w:pPr>
              <w:rPr>
                <w:rFonts w:ascii="宋体"/>
              </w:rPr>
            </w:pPr>
          </w:p>
        </w:tc>
        <w:tc>
          <w:tcPr>
            <w:tcW w:w="2728" w:type="dxa"/>
            <w:tcBorders>
              <w:top w:val="double" w:color="auto" w:sz="4" w:space="0"/>
              <w:bottom w:val="double" w:color="auto" w:sz="4" w:space="0"/>
            </w:tcBorders>
            <w:vAlign w:val="center"/>
          </w:tcPr>
          <w:p>
            <w:pPr>
              <w:jc w:val="center"/>
              <w:rPr>
                <w:rFonts w:ascii="宋体"/>
              </w:rPr>
            </w:pPr>
          </w:p>
        </w:tc>
        <w:tc>
          <w:tcPr>
            <w:tcW w:w="2196" w:type="dxa"/>
            <w:tcBorders>
              <w:top w:val="double" w:color="auto" w:sz="4" w:space="0"/>
              <w:bottom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bottom w:val="double" w:color="auto" w:sz="4" w:space="0"/>
            </w:tcBorders>
            <w:vAlign w:val="center"/>
          </w:tcPr>
          <w:p>
            <w:pPr>
              <w:jc w:val="center"/>
              <w:rPr>
                <w:rFonts w:ascii="宋体" w:hAnsi="宋体" w:cs="宋体"/>
                <w:szCs w:val="21"/>
              </w:rPr>
            </w:pPr>
            <w:r>
              <w:rPr>
                <w:rFonts w:hint="eastAsia" w:ascii="宋体" w:hAnsi="宋体" w:cs="宋体"/>
                <w:szCs w:val="21"/>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tcBorders>
              <w:top w:val="double" w:color="auto" w:sz="4" w:space="0"/>
              <w:bottom w:val="double" w:color="auto" w:sz="4" w:space="0"/>
            </w:tcBorders>
            <w:vAlign w:val="center"/>
          </w:tcPr>
          <w:p>
            <w:pPr>
              <w:spacing w:line="400" w:lineRule="exact"/>
              <w:ind w:left="180"/>
              <w:jc w:val="center"/>
              <w:rPr>
                <w:rFonts w:ascii="宋体"/>
                <w:szCs w:val="21"/>
              </w:rPr>
            </w:pPr>
            <w:r>
              <w:rPr>
                <w:rFonts w:hint="eastAsia" w:ascii="宋体"/>
                <w:szCs w:val="21"/>
              </w:rPr>
              <w:t>6</w:t>
            </w:r>
          </w:p>
        </w:tc>
        <w:tc>
          <w:tcPr>
            <w:tcW w:w="2768" w:type="dxa"/>
            <w:tcBorders>
              <w:top w:val="double" w:color="auto" w:sz="4" w:space="0"/>
              <w:bottom w:val="double" w:color="auto" w:sz="4" w:space="0"/>
            </w:tcBorders>
            <w:vAlign w:val="center"/>
          </w:tcPr>
          <w:p>
            <w:pPr>
              <w:rPr>
                <w:rFonts w:ascii="宋体"/>
              </w:rPr>
            </w:pPr>
          </w:p>
        </w:tc>
        <w:tc>
          <w:tcPr>
            <w:tcW w:w="2728" w:type="dxa"/>
            <w:tcBorders>
              <w:top w:val="double" w:color="auto" w:sz="4" w:space="0"/>
              <w:bottom w:val="double" w:color="auto" w:sz="4" w:space="0"/>
            </w:tcBorders>
            <w:vAlign w:val="center"/>
          </w:tcPr>
          <w:p>
            <w:pPr>
              <w:jc w:val="center"/>
              <w:rPr>
                <w:rFonts w:ascii="宋体"/>
              </w:rPr>
            </w:pPr>
          </w:p>
        </w:tc>
        <w:tc>
          <w:tcPr>
            <w:tcW w:w="2196" w:type="dxa"/>
            <w:tcBorders>
              <w:top w:val="double" w:color="auto" w:sz="4" w:space="0"/>
              <w:bottom w:val="double" w:color="auto" w:sz="4" w:space="0"/>
              <w:right w:val="single" w:color="auto" w:sz="2" w:space="0"/>
            </w:tcBorders>
            <w:vAlign w:val="center"/>
          </w:tcPr>
          <w:p>
            <w:pPr>
              <w:jc w:val="center"/>
              <w:rPr>
                <w:rFonts w:ascii="宋体"/>
              </w:rPr>
            </w:pPr>
          </w:p>
        </w:tc>
        <w:tc>
          <w:tcPr>
            <w:tcW w:w="1639" w:type="dxa"/>
            <w:tcBorders>
              <w:top w:val="double" w:color="auto" w:sz="4" w:space="0"/>
              <w:left w:val="single" w:color="auto" w:sz="2" w:space="0"/>
              <w:bottom w:val="double" w:color="auto" w:sz="4" w:space="0"/>
            </w:tcBorders>
            <w:vAlign w:val="center"/>
          </w:tcPr>
          <w:p>
            <w:pPr>
              <w:jc w:val="center"/>
              <w:rPr>
                <w:rFonts w:ascii="宋体" w:hAnsi="宋体" w:cs="宋体"/>
                <w:szCs w:val="21"/>
              </w:rPr>
            </w:pPr>
            <w:r>
              <w:rPr>
                <w:rFonts w:hint="eastAsia" w:ascii="宋体" w:hAnsi="宋体" w:cs="宋体"/>
                <w:szCs w:val="21"/>
              </w:rPr>
              <w:t>见《投标文件》第页</w:t>
            </w:r>
          </w:p>
        </w:tc>
      </w:tr>
    </w:tbl>
    <w:p>
      <w:pPr>
        <w:spacing w:line="360" w:lineRule="auto"/>
        <w:ind w:left="741" w:leftChars="68" w:right="84" w:rightChars="40" w:hanging="598" w:hangingChars="285"/>
        <w:rPr>
          <w:rFonts w:asci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p>
    <w:p>
      <w:pPr>
        <w:adjustRightInd w:val="0"/>
        <w:snapToGrid w:val="0"/>
        <w:spacing w:line="360" w:lineRule="auto"/>
        <w:rPr>
          <w:rFonts w:ascii="宋体"/>
          <w:spacing w:val="4"/>
          <w:u w:val="single"/>
        </w:rPr>
      </w:pPr>
      <w:r>
        <w:rPr>
          <w:rFonts w:hint="eastAsia" w:ascii="宋体" w:hAnsi="宋体"/>
        </w:rPr>
        <w:t xml:space="preserve">法定代表人或投标人授权代表（签署本人姓名或印盖本人姓名章）：               </w:t>
      </w:r>
      <w:r>
        <w:rPr>
          <w:rFonts w:hint="eastAsia" w:ascii="宋体" w:hAnsi="宋体"/>
          <w:spacing w:val="4"/>
        </w:rPr>
        <w:t>日期：</w:t>
      </w:r>
    </w:p>
    <w:p>
      <w:pPr>
        <w:spacing w:line="360" w:lineRule="auto"/>
        <w:ind w:firstLine="420" w:firstLineChars="200"/>
        <w:rPr>
          <w:rFonts w:ascii="宋体" w:hAnsi="宋体" w:cs="宋体"/>
          <w:szCs w:val="21"/>
          <w:lang w:val="en-GB"/>
        </w:rPr>
      </w:pPr>
    </w:p>
    <w:p>
      <w:pPr>
        <w:spacing w:line="360" w:lineRule="auto"/>
        <w:rPr>
          <w:rFonts w:ascii="宋体" w:hAnsi="宋体" w:cs="宋体"/>
          <w:szCs w:val="21"/>
          <w:lang w:val="en-GB"/>
        </w:rPr>
      </w:pPr>
    </w:p>
    <w:p>
      <w:pPr>
        <w:pStyle w:val="15"/>
        <w:spacing w:line="500" w:lineRule="exact"/>
        <w:ind w:left="4830" w:leftChars="2300"/>
        <w:rPr>
          <w:sz w:val="21"/>
          <w:szCs w:val="21"/>
        </w:rPr>
      </w:pPr>
      <w:r>
        <w:rPr>
          <w:rFonts w:hint="eastAsia"/>
          <w:sz w:val="21"/>
          <w:szCs w:val="21"/>
        </w:rPr>
        <w:t>供应商全称（盖公章）</w:t>
      </w:r>
    </w:p>
    <w:p>
      <w:pPr>
        <w:pStyle w:val="15"/>
        <w:spacing w:line="500" w:lineRule="exact"/>
        <w:ind w:left="4830" w:leftChars="2300"/>
        <w:rPr>
          <w:sz w:val="21"/>
          <w:szCs w:val="21"/>
        </w:rPr>
      </w:pPr>
      <w:r>
        <w:rPr>
          <w:rFonts w:hint="eastAsia"/>
          <w:sz w:val="21"/>
          <w:szCs w:val="21"/>
        </w:rPr>
        <w:t>法定代表人或授权代表（签字或盖章）：</w:t>
      </w:r>
    </w:p>
    <w:p>
      <w:pPr>
        <w:spacing w:line="500" w:lineRule="exact"/>
        <w:ind w:left="4830" w:leftChars="2300"/>
        <w:rPr>
          <w:rFonts w:ascii="宋体" w:hAnsi="宋体"/>
          <w:szCs w:val="21"/>
        </w:rPr>
      </w:pPr>
      <w:r>
        <w:rPr>
          <w:rFonts w:hint="eastAsia" w:ascii="宋体" w:hAnsi="宋体"/>
          <w:szCs w:val="21"/>
        </w:rPr>
        <w:t>职      务：</w:t>
      </w:r>
    </w:p>
    <w:p>
      <w:pPr>
        <w:spacing w:line="500" w:lineRule="exact"/>
        <w:ind w:left="4830" w:leftChars="2300"/>
        <w:rPr>
          <w:rFonts w:ascii="宋体" w:hAnsi="宋体" w:cs="宋体"/>
          <w:szCs w:val="21"/>
          <w:lang w:val="en-GB"/>
        </w:rPr>
      </w:pPr>
      <w:r>
        <w:rPr>
          <w:rFonts w:hint="eastAsia" w:ascii="宋体" w:hAnsi="宋体"/>
          <w:szCs w:val="21"/>
        </w:rPr>
        <w:t>日       期：</w:t>
      </w:r>
      <w:r>
        <w:rPr>
          <w:rFonts w:hint="eastAsia" w:ascii="宋体" w:hAnsi="宋体"/>
          <w:szCs w:val="21"/>
          <w:u w:val="single"/>
        </w:rPr>
        <w:t xml:space="preserve">              </w:t>
      </w:r>
    </w:p>
    <w:p/>
    <w:p>
      <w:r>
        <w:br w:type="page"/>
      </w:r>
    </w:p>
    <w:p>
      <w:pPr>
        <w:pStyle w:val="16"/>
      </w:pPr>
    </w:p>
    <w:p>
      <w:pPr>
        <w:numPr>
          <w:ilvl w:val="0"/>
          <w:numId w:val="20"/>
        </w:numPr>
        <w:spacing w:line="440" w:lineRule="exact"/>
        <w:rPr>
          <w:rFonts w:ascii="宋体" w:hAnsi="宋体"/>
          <w:bCs/>
          <w:sz w:val="28"/>
        </w:rPr>
      </w:pPr>
    </w:p>
    <w:p>
      <w:pPr>
        <w:jc w:val="center"/>
        <w:outlineLvl w:val="2"/>
        <w:rPr>
          <w:rFonts w:ascii="宋体" w:hAnsi="宋体"/>
          <w:b/>
          <w:sz w:val="28"/>
          <w:szCs w:val="28"/>
        </w:rPr>
      </w:pPr>
      <w:bookmarkStart w:id="65" w:name="_Toc275865616"/>
      <w:bookmarkStart w:id="66" w:name="_Toc173553182"/>
      <w:r>
        <w:rPr>
          <w:rFonts w:hint="eastAsia" w:ascii="宋体" w:hAnsi="宋体"/>
          <w:b/>
          <w:sz w:val="28"/>
          <w:szCs w:val="28"/>
        </w:rPr>
        <w:t>投标人基本情况表</w:t>
      </w:r>
      <w:bookmarkEnd w:id="65"/>
      <w:bookmarkEnd w:id="66"/>
    </w:p>
    <w:p>
      <w:pPr>
        <w:numPr>
          <w:ilvl w:val="0"/>
          <w:numId w:val="25"/>
        </w:numPr>
        <w:spacing w:line="360" w:lineRule="auto"/>
        <w:rPr>
          <w:rFonts w:ascii="宋体" w:hAnsi="宋体" w:cs="Arial"/>
          <w:szCs w:val="21"/>
        </w:rPr>
      </w:pPr>
      <w:r>
        <w:rPr>
          <w:rFonts w:ascii="宋体" w:hAnsi="宋体" w:cs="Arial"/>
          <w:szCs w:val="21"/>
        </w:rPr>
        <w:t>公司基本情况</w:t>
      </w:r>
    </w:p>
    <w:p>
      <w:pPr>
        <w:numPr>
          <w:ilvl w:val="1"/>
          <w:numId w:val="25"/>
        </w:numPr>
        <w:tabs>
          <w:tab w:val="left" w:pos="420"/>
          <w:tab w:val="clear" w:pos="84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szCs w:val="21"/>
        </w:rPr>
        <w:t xml:space="preserve">                  </w:t>
      </w:r>
    </w:p>
    <w:p>
      <w:pPr>
        <w:numPr>
          <w:ilvl w:val="1"/>
          <w:numId w:val="25"/>
        </w:numPr>
        <w:tabs>
          <w:tab w:val="left" w:pos="420"/>
          <w:tab w:val="clear" w:pos="84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szCs w:val="21"/>
        </w:rPr>
        <w:t xml:space="preserve">                  </w:t>
      </w:r>
    </w:p>
    <w:p>
      <w:pPr>
        <w:numPr>
          <w:ilvl w:val="1"/>
          <w:numId w:val="25"/>
        </w:numPr>
        <w:tabs>
          <w:tab w:val="left" w:pos="420"/>
          <w:tab w:val="clear" w:pos="84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p>
    <w:p>
      <w:pPr>
        <w:numPr>
          <w:ilvl w:val="1"/>
          <w:numId w:val="25"/>
        </w:numPr>
        <w:tabs>
          <w:tab w:val="left" w:pos="420"/>
          <w:tab w:val="clear" w:pos="840"/>
        </w:tabs>
        <w:spacing w:line="360" w:lineRule="auto"/>
        <w:ind w:left="420"/>
        <w:rPr>
          <w:rFonts w:ascii="宋体" w:hAnsi="宋体" w:cs="Arial"/>
          <w:szCs w:val="21"/>
        </w:rPr>
      </w:pPr>
      <w:r>
        <w:rPr>
          <w:rFonts w:ascii="宋体" w:hAnsi="宋体" w:cs="Arial"/>
          <w:szCs w:val="21"/>
        </w:rPr>
        <w:t xml:space="preserve">公司开户银行名称及账号：     </w:t>
      </w:r>
    </w:p>
    <w:p>
      <w:pPr>
        <w:numPr>
          <w:ilvl w:val="1"/>
          <w:numId w:val="25"/>
        </w:numPr>
        <w:tabs>
          <w:tab w:val="left" w:pos="420"/>
          <w:tab w:val="clear" w:pos="840"/>
        </w:tabs>
        <w:spacing w:line="360" w:lineRule="auto"/>
        <w:ind w:left="420"/>
        <w:rPr>
          <w:rFonts w:ascii="宋体" w:hAnsi="宋体" w:cs="Arial"/>
          <w:szCs w:val="21"/>
        </w:rPr>
      </w:pPr>
      <w:r>
        <w:rPr>
          <w:rFonts w:ascii="宋体" w:hAnsi="宋体" w:cs="Arial"/>
          <w:szCs w:val="21"/>
        </w:rPr>
        <w:t xml:space="preserve">营业注册执照号：   </w:t>
      </w:r>
    </w:p>
    <w:p>
      <w:pPr>
        <w:numPr>
          <w:ilvl w:val="1"/>
          <w:numId w:val="25"/>
        </w:numPr>
        <w:tabs>
          <w:tab w:val="left" w:pos="420"/>
          <w:tab w:val="clear" w:pos="840"/>
        </w:tabs>
        <w:spacing w:line="360" w:lineRule="auto"/>
        <w:ind w:left="420"/>
        <w:rPr>
          <w:rFonts w:ascii="宋体" w:hAnsi="宋体" w:cs="Arial"/>
          <w:szCs w:val="21"/>
        </w:rPr>
      </w:pPr>
      <w:r>
        <w:rPr>
          <w:rFonts w:ascii="宋体" w:hAnsi="宋体" w:cs="Arial"/>
          <w:szCs w:val="21"/>
        </w:rPr>
        <w:t>公司简介</w:t>
      </w:r>
    </w:p>
    <w:p>
      <w:pPr>
        <w:spacing w:line="360" w:lineRule="auto"/>
        <w:ind w:left="360"/>
        <w:rPr>
          <w:rFonts w:ascii="宋体" w:hAns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等方面进行阐述；图片描述：</w:t>
      </w:r>
      <w:r>
        <w:rPr>
          <w:rFonts w:hint="eastAsia" w:ascii="宋体" w:hAnsi="宋体"/>
          <w:bCs/>
          <w:szCs w:val="21"/>
          <w:lang w:val="en-GB"/>
        </w:rPr>
        <w:t>经营场所、主要或关键产品介绍、生产场所及服务流程等。</w:t>
      </w:r>
    </w:p>
    <w:p>
      <w:pPr>
        <w:numPr>
          <w:ilvl w:val="0"/>
          <w:numId w:val="25"/>
        </w:numPr>
        <w:spacing w:line="360" w:lineRule="auto"/>
        <w:rPr>
          <w:rFonts w:ascii="宋体" w:hAnsi="宋体" w:cs="Arial"/>
          <w:szCs w:val="21"/>
        </w:rPr>
      </w:pPr>
      <w:r>
        <w:rPr>
          <w:rFonts w:ascii="宋体" w:hAnsi="宋体" w:cs="Arial"/>
          <w:szCs w:val="21"/>
        </w:rPr>
        <w:t>投标人获得国家有关部门颁发的资质</w:t>
      </w:r>
      <w:r>
        <w:rPr>
          <w:rFonts w:hint="eastAsia" w:ascii="宋体" w:hAnsi="宋体" w:cs="Arial"/>
          <w:szCs w:val="21"/>
        </w:rPr>
        <w:t>证书和奖项</w:t>
      </w:r>
      <w:r>
        <w:rPr>
          <w:rFonts w:ascii="宋体" w:hAnsi="宋体" w:cs="Arial"/>
          <w:szCs w:val="21"/>
        </w:rPr>
        <w:t>：</w:t>
      </w:r>
    </w:p>
    <w:tbl>
      <w:tblPr>
        <w:tblStyle w:val="1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szCs w:val="21"/>
              </w:rPr>
            </w:pPr>
            <w:r>
              <w:rPr>
                <w:rFonts w:ascii="宋体" w:hAnsi="宋体" w:cs="Arial"/>
                <w:szCs w:val="21"/>
              </w:rPr>
              <w:t xml:space="preserve">  证书名称</w:t>
            </w:r>
          </w:p>
        </w:tc>
        <w:tc>
          <w:tcPr>
            <w:tcW w:w="2490" w:type="dxa"/>
            <w:tcBorders>
              <w:top w:val="single" w:color="auto" w:sz="12" w:space="0"/>
            </w:tcBorders>
          </w:tcPr>
          <w:p>
            <w:pPr>
              <w:spacing w:line="360" w:lineRule="auto"/>
              <w:jc w:val="center"/>
              <w:rPr>
                <w:rFonts w:ascii="宋体" w:hAnsi="宋体" w:cs="Arial"/>
                <w:szCs w:val="21"/>
              </w:rPr>
            </w:pPr>
            <w:r>
              <w:rPr>
                <w:rFonts w:ascii="宋体" w:hAnsi="宋体" w:cs="Arial"/>
                <w:szCs w:val="21"/>
              </w:rPr>
              <w:t>发证单位</w:t>
            </w:r>
          </w:p>
        </w:tc>
        <w:tc>
          <w:tcPr>
            <w:tcW w:w="2491" w:type="dxa"/>
            <w:tcBorders>
              <w:top w:val="single" w:color="auto" w:sz="12" w:space="0"/>
            </w:tcBorders>
          </w:tcPr>
          <w:p>
            <w:pPr>
              <w:spacing w:line="360" w:lineRule="auto"/>
              <w:jc w:val="center"/>
              <w:rPr>
                <w:rFonts w:ascii="宋体" w:hAnsi="宋体" w:cs="Arial"/>
                <w:szCs w:val="21"/>
              </w:rPr>
            </w:pPr>
            <w:r>
              <w:rPr>
                <w:rFonts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szCs w:val="21"/>
              </w:rPr>
            </w:pPr>
            <w:r>
              <w:rPr>
                <w:rFonts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szCs w:val="21"/>
              </w:rPr>
            </w:pPr>
          </w:p>
        </w:tc>
        <w:tc>
          <w:tcPr>
            <w:tcW w:w="2490" w:type="dxa"/>
          </w:tcPr>
          <w:p>
            <w:pPr>
              <w:spacing w:line="360" w:lineRule="auto"/>
              <w:jc w:val="center"/>
              <w:rPr>
                <w:rFonts w:ascii="宋体" w:hAnsi="宋体" w:cs="Arial"/>
                <w:szCs w:val="21"/>
              </w:rPr>
            </w:pPr>
          </w:p>
        </w:tc>
        <w:tc>
          <w:tcPr>
            <w:tcW w:w="2491" w:type="dxa"/>
          </w:tcPr>
          <w:p>
            <w:pPr>
              <w:spacing w:line="360" w:lineRule="auto"/>
              <w:jc w:val="center"/>
              <w:rPr>
                <w:rFonts w:ascii="宋体" w:hAnsi="宋体" w:cs="Arial"/>
                <w:szCs w:val="21"/>
              </w:rPr>
            </w:pPr>
          </w:p>
        </w:tc>
        <w:tc>
          <w:tcPr>
            <w:tcW w:w="2491" w:type="dxa"/>
            <w:tcBorders>
              <w:right w:val="single" w:color="auto" w:sz="12" w:space="0"/>
            </w:tcBorders>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szCs w:val="21"/>
              </w:rPr>
            </w:pPr>
          </w:p>
        </w:tc>
        <w:tc>
          <w:tcPr>
            <w:tcW w:w="2490"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right w:val="single" w:color="auto" w:sz="12" w:space="0"/>
            </w:tcBorders>
          </w:tcPr>
          <w:p>
            <w:pPr>
              <w:spacing w:line="360" w:lineRule="auto"/>
              <w:jc w:val="center"/>
              <w:rPr>
                <w:rFonts w:ascii="宋体" w:hAnsi="宋体" w:cs="Arial"/>
                <w:szCs w:val="21"/>
              </w:rPr>
            </w:pPr>
          </w:p>
        </w:tc>
      </w:tr>
    </w:tbl>
    <w:p>
      <w:pPr>
        <w:numPr>
          <w:ilvl w:val="0"/>
          <w:numId w:val="25"/>
        </w:numPr>
        <w:spacing w:line="360" w:lineRule="auto"/>
        <w:rPr>
          <w:rFonts w:ascii="宋体" w:hAnsi="宋体" w:cs="Arial"/>
          <w:szCs w:val="21"/>
        </w:rPr>
      </w:pPr>
      <w:r>
        <w:rPr>
          <w:rFonts w:hint="eastAsia" w:ascii="宋体" w:hAnsi="宋体" w:cs="Arial"/>
          <w:szCs w:val="21"/>
        </w:rPr>
        <w:t>提供最近年度经审计的财务报表。</w:t>
      </w:r>
      <w:r>
        <w:rPr>
          <w:rFonts w:ascii="宋体" w:hAnsi="宋体" w:cs="Arial"/>
          <w:szCs w:val="21"/>
        </w:rPr>
        <w:t xml:space="preserve">                                                                                     </w:t>
      </w:r>
    </w:p>
    <w:p>
      <w:pPr>
        <w:adjustRightInd w:val="0"/>
        <w:spacing w:line="360" w:lineRule="auto"/>
        <w:ind w:firstLine="315" w:firstLineChars="150"/>
        <w:rPr>
          <w:rFonts w:ascii="宋体" w:hAnsi="宋体" w:cs="Arial"/>
          <w:szCs w:val="21"/>
        </w:rPr>
      </w:pPr>
      <w:bookmarkStart w:id="67" w:name="_Toc43264525"/>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ascii="宋体" w:hAnsi="宋体"/>
          <w:szCs w:val="21"/>
          <w:lang w:val="en-GB"/>
        </w:rPr>
        <w:t>如以上数据有虚假，一经查实，自行承担相关责任。</w:t>
      </w:r>
    </w:p>
    <w:p>
      <w:pPr>
        <w:adjustRightInd w:val="0"/>
        <w:snapToGrid w:val="0"/>
        <w:spacing w:line="360" w:lineRule="auto"/>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bookmarkEnd w:id="67"/>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spacing w:val="4"/>
          <w:u w:val="single"/>
        </w:rPr>
      </w:pPr>
    </w:p>
    <w:p>
      <w:pPr>
        <w:spacing w:line="440" w:lineRule="exact"/>
        <w:rPr>
          <w:rFonts w:ascii="宋体" w:hAnsi="宋体"/>
          <w:bCs/>
          <w:sz w:val="28"/>
        </w:rPr>
      </w:pPr>
      <w:r>
        <w:rPr>
          <w:rFonts w:ascii="宋体" w:hAnsi="宋体"/>
          <w:bCs/>
          <w:sz w:val="28"/>
        </w:rPr>
        <w:br w:type="page"/>
      </w:r>
    </w:p>
    <w:p>
      <w:pPr>
        <w:numPr>
          <w:ilvl w:val="0"/>
          <w:numId w:val="20"/>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hAnsi="宋体"/>
          <w:b/>
        </w:rPr>
      </w:pPr>
      <w:r>
        <w:rPr>
          <w:rFonts w:hint="eastAsia" w:ascii="宋体" w:hAnsi="宋体"/>
          <w:b/>
        </w:rPr>
        <w:t>广州宝诚招标代理咨询有限公司:</w:t>
      </w:r>
    </w:p>
    <w:p>
      <w:pPr>
        <w:adjustRightInd w:val="0"/>
        <w:snapToGrid w:val="0"/>
        <w:spacing w:line="360" w:lineRule="auto"/>
        <w:rPr>
          <w:rFonts w:ascii="宋体" w:hAnsi="宋体"/>
          <w:b/>
        </w:rPr>
      </w:pPr>
      <w:r>
        <w:rPr>
          <w:rFonts w:hint="eastAsia" w:ascii="宋体" w:hAnsi="宋体"/>
          <w:b/>
        </w:rPr>
        <w:t>广州市地质调查院：</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w:t>
      </w:r>
      <w:r>
        <w:rPr>
          <w:rFonts w:hint="eastAsia" w:ascii="宋体" w:hAnsi="宋体"/>
          <w:u w:val="single"/>
        </w:rPr>
        <w:t xml:space="preserve">       (项目名称)    </w:t>
      </w:r>
      <w:r>
        <w:rPr>
          <w:rFonts w:hint="eastAsia" w:ascii="宋体" w:hAnsi="宋体"/>
        </w:rPr>
        <w:t>(项目编号：GZBC21HG01005)的招标中如获中标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hAnsi="宋体" w:cs="宋体"/>
          <w:szCs w:val="21"/>
        </w:rPr>
      </w:pPr>
      <w:r>
        <w:rPr>
          <w:rFonts w:hint="eastAsia" w:ascii="宋体" w:hAnsi="宋体" w:cs="宋体"/>
          <w:szCs w:val="21"/>
        </w:rPr>
        <w:t>如我公司违反上款承诺，愿凭贵公司开出的相关通知，同意广州宝诚招标代理咨询有限公司在采购人支付给我公司本项目的合同款项中支出应缴纳的招标代理服务费，并愿承担由此引起的一切法律责任。</w:t>
      </w:r>
    </w:p>
    <w:p>
      <w:pPr>
        <w:snapToGrid w:val="0"/>
        <w:spacing w:line="360" w:lineRule="auto"/>
        <w:ind w:firstLine="420" w:firstLineChars="200"/>
        <w:rPr>
          <w:rFonts w:ascii="宋体" w:hAnsi="宋体"/>
          <w:bCs/>
          <w:szCs w:val="20"/>
        </w:rPr>
      </w:pPr>
      <w:r>
        <w:rPr>
          <w:rFonts w:hint="eastAsia" w:ascii="宋体" w:hAnsi="宋体"/>
        </w:rPr>
        <w:t>特此承诺！</w:t>
      </w:r>
    </w:p>
    <w:p>
      <w:pPr>
        <w:adjustRightInd w:val="0"/>
        <w:snapToGrid w:val="0"/>
        <w:spacing w:line="520" w:lineRule="exact"/>
        <w:ind w:firstLine="3465" w:firstLineChars="1650"/>
        <w:rPr>
          <w:rFonts w:ascii="宋体" w:hAnsi="宋体"/>
          <w:u w:val="single"/>
        </w:rPr>
      </w:pPr>
      <w:r>
        <w:rPr>
          <w:rFonts w:hint="eastAsia" w:ascii="宋体" w:hAnsi="宋体"/>
        </w:rPr>
        <w:t>投标人名称(盖公章)：</w:t>
      </w:r>
      <w:r>
        <w:rPr>
          <w:rFonts w:hint="eastAsia" w:ascii="宋体" w:hAnsi="宋体"/>
          <w:u w:val="single"/>
        </w:rPr>
        <w:t xml:space="preserve">             </w:t>
      </w:r>
    </w:p>
    <w:p>
      <w:pPr>
        <w:adjustRightInd w:val="0"/>
        <w:snapToGrid w:val="0"/>
        <w:spacing w:line="520" w:lineRule="exact"/>
        <w:ind w:firstLine="3465" w:firstLineChars="1650"/>
        <w:rPr>
          <w:rFonts w:ascii="宋体" w:hAnsi="宋体"/>
        </w:rPr>
      </w:pPr>
      <w:r>
        <w:rPr>
          <w:rFonts w:hint="eastAsia" w:ascii="宋体" w:hAnsi="宋体"/>
        </w:rPr>
        <w:t>投标人地址：</w:t>
      </w:r>
      <w:r>
        <w:rPr>
          <w:rFonts w:hint="eastAsia" w:ascii="宋体" w:hAnsi="宋体"/>
          <w:u w:val="single"/>
        </w:rPr>
        <w:t xml:space="preserve">             </w:t>
      </w:r>
    </w:p>
    <w:p>
      <w:pPr>
        <w:adjustRightInd w:val="0"/>
        <w:snapToGrid w:val="0"/>
        <w:spacing w:line="520" w:lineRule="exact"/>
        <w:ind w:left="3465" w:leftChars="1650"/>
        <w:rPr>
          <w:rFonts w:ascii="宋体" w:hAnsi="宋体"/>
        </w:rPr>
      </w:pPr>
      <w:r>
        <w:rPr>
          <w:rFonts w:hint="eastAsia" w:ascii="宋体" w:hAnsi="宋体"/>
        </w:rPr>
        <w:t>法定代表人或投标人授权代表（签署本人姓名或印盖本人姓名章）：</w:t>
      </w:r>
      <w:r>
        <w:rPr>
          <w:rFonts w:hint="eastAsia" w:ascii="宋体" w:hAnsi="宋体"/>
          <w:u w:val="single"/>
        </w:rPr>
        <w:t xml:space="preserve">             </w:t>
      </w:r>
    </w:p>
    <w:p>
      <w:pPr>
        <w:spacing w:line="360" w:lineRule="auto"/>
        <w:jc w:val="center"/>
        <w:rPr>
          <w:rFonts w:ascii="宋体" w:hAnsi="宋体"/>
          <w:sz w:val="24"/>
        </w:rPr>
      </w:pPr>
      <w:r>
        <w:rPr>
          <w:rFonts w:ascii="宋体" w:hAnsi="宋体"/>
          <w:b/>
          <w:sz w:val="24"/>
        </w:rPr>
        <w:t>招标代理服务费</w:t>
      </w:r>
      <w:r>
        <w:rPr>
          <w:rFonts w:hint="eastAsia" w:ascii="宋体" w:hAnsi="宋体"/>
          <w:b/>
          <w:sz w:val="24"/>
        </w:rPr>
        <w:t>的缴费账号</w:t>
      </w:r>
    </w:p>
    <w:tbl>
      <w:tblPr>
        <w:tblStyle w:val="1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hAnsi="宋体"/>
                <w:szCs w:val="21"/>
              </w:rPr>
            </w:pPr>
            <w:r>
              <w:rPr>
                <w:rFonts w:hint="eastAsia" w:ascii="宋体" w:hAnsi="宋体"/>
                <w:szCs w:val="21"/>
              </w:rPr>
              <w:t>一次性以支票、汇票、电汇的形式支付</w:t>
            </w:r>
          </w:p>
          <w:p>
            <w:pPr>
              <w:jc w:val="center"/>
              <w:rPr>
                <w:rFonts w:ascii="宋体" w:hAns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收款人名称</w:t>
            </w:r>
          </w:p>
        </w:tc>
        <w:tc>
          <w:tcPr>
            <w:tcW w:w="8437" w:type="dxa"/>
            <w:tcBorders>
              <w:right w:val="single" w:color="auto" w:sz="12" w:space="0"/>
            </w:tcBorders>
            <w:vAlign w:val="center"/>
          </w:tcPr>
          <w:p>
            <w:pPr>
              <w:jc w:val="center"/>
              <w:rPr>
                <w:rFonts w:ascii="宋体" w:hAnsi="宋体"/>
                <w:szCs w:val="21"/>
              </w:rPr>
            </w:pPr>
            <w:r>
              <w:rPr>
                <w:rFonts w:hint="eastAsia" w:ascii="宋体" w:hAnsi="宋体"/>
                <w:szCs w:val="21"/>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hAnsi="宋体"/>
                <w:szCs w:val="21"/>
              </w:rPr>
            </w:pPr>
            <w:r>
              <w:rPr>
                <w:rFonts w:hint="eastAsia" w:ascii="宋体" w:hAnsi="宋体"/>
                <w:szCs w:val="21"/>
              </w:rPr>
              <w:t>中国民生银行股份有限公司广州华南支行</w:t>
            </w:r>
            <w:r>
              <w:rPr>
                <w:rFonts w:ascii="宋体" w:hAnsi="宋体"/>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szCs w:val="21"/>
              </w:rPr>
            </w:pPr>
            <w:r>
              <w:rPr>
                <w:rFonts w:hint="eastAsia" w:ascii="宋体" w:hAnsi="宋体"/>
                <w:szCs w:val="21"/>
              </w:rPr>
              <w:t>账</w:t>
            </w:r>
            <w:r>
              <w:rPr>
                <w:rFonts w:ascii="宋体" w:hAnsi="宋体"/>
                <w:szCs w:val="21"/>
              </w:rPr>
              <w:t xml:space="preserve">    号</w:t>
            </w:r>
          </w:p>
        </w:tc>
        <w:tc>
          <w:tcPr>
            <w:tcW w:w="8437" w:type="dxa"/>
            <w:tcBorders>
              <w:bottom w:val="single" w:color="auto" w:sz="12" w:space="0"/>
              <w:right w:val="single" w:color="auto" w:sz="12" w:space="0"/>
            </w:tcBorders>
            <w:vAlign w:val="center"/>
          </w:tcPr>
          <w:p>
            <w:pPr>
              <w:jc w:val="center"/>
              <w:rPr>
                <w:rFonts w:ascii="宋体" w:hAnsi="宋体"/>
                <w:szCs w:val="21"/>
              </w:rPr>
            </w:pPr>
            <w:r>
              <w:rPr>
                <w:rFonts w:hint="eastAsia" w:ascii="宋体" w:hAnsi="宋体"/>
                <w:szCs w:val="21"/>
              </w:rPr>
              <w:t>696614971</w:t>
            </w:r>
          </w:p>
        </w:tc>
      </w:tr>
    </w:tbl>
    <w:p>
      <w:pPr>
        <w:spacing w:line="520" w:lineRule="exact"/>
        <w:ind w:left="315"/>
        <w:rPr>
          <w:rFonts w:ascii="宋体" w:hAnsi="宋体"/>
        </w:rPr>
      </w:pPr>
    </w:p>
    <w:p>
      <w:pPr>
        <w:spacing w:line="440" w:lineRule="exact"/>
        <w:ind w:left="567"/>
        <w:rPr>
          <w:rFonts w:ascii="宋体" w:hAnsi="宋体"/>
          <w:b/>
          <w:sz w:val="28"/>
          <w:szCs w:val="28"/>
        </w:rPr>
      </w:pPr>
      <w:r>
        <w:rPr>
          <w:rFonts w:ascii="宋体" w:hAnsi="宋体"/>
        </w:rPr>
        <w:br w:type="page"/>
      </w:r>
    </w:p>
    <w:p>
      <w:pPr>
        <w:numPr>
          <w:ilvl w:val="0"/>
          <w:numId w:val="20"/>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开票资料说明函</w:t>
      </w:r>
    </w:p>
    <w:p>
      <w:pPr>
        <w:adjustRightInd w:val="0"/>
        <w:snapToGrid w:val="0"/>
        <w:spacing w:line="360" w:lineRule="auto"/>
        <w:rPr>
          <w:rFonts w:ascii="宋体" w:hAnsi="宋体"/>
          <w:b/>
        </w:rPr>
      </w:pPr>
      <w:r>
        <w:rPr>
          <w:rFonts w:hint="eastAsia" w:ascii="宋体" w:hAnsi="宋体"/>
          <w:b/>
        </w:rPr>
        <w:t>广州宝诚招标代理咨询有限公司:</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在参加在贵公司举行的</w:t>
      </w:r>
      <w:r>
        <w:rPr>
          <w:rFonts w:hint="eastAsia" w:ascii="宋体" w:hAnsi="宋体"/>
          <w:u w:val="single"/>
        </w:rPr>
        <w:t xml:space="preserve">       (项目名称)      </w:t>
      </w:r>
      <w:r>
        <w:rPr>
          <w:rFonts w:hint="eastAsia" w:ascii="宋体" w:hAnsi="宋体"/>
        </w:rPr>
        <w:t>(项目编号：GZBC21HG01005)的招标中如获中标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17"/>
        <w:tblW w:w="99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单位名称</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szCs w:val="21"/>
              </w:rPr>
              <w:t>纳税人识别号</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地址</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rPr>
              <w:t>（具体到XX银行XX支行）</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联系电话</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账    号</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联系人</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9962" w:type="dxa"/>
            <w:gridSpan w:val="4"/>
            <w:vAlign w:val="center"/>
          </w:tcPr>
          <w:p>
            <w:pPr>
              <w:rPr>
                <w:rFonts w:ascii="宋体" w:hAns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hAnsi="宋体"/>
        </w:rPr>
      </w:pPr>
      <w:r>
        <w:rPr>
          <w:rFonts w:hint="eastAsia" w:ascii="宋体" w:hAnsi="宋体"/>
        </w:rPr>
        <w:t>开标当日，如我公司未按该要求填写、未提供有效的开票资料、未确认开具发票类型或确认的发票类型有误，则视为开具增值税普通发票。同意广州宝诚招标代理咨询有限公司不予更换发票类型。并愿承担由此引起的一切后果。</w:t>
      </w:r>
    </w:p>
    <w:p>
      <w:pPr>
        <w:spacing w:line="360" w:lineRule="auto"/>
        <w:ind w:left="4725"/>
        <w:rPr>
          <w:rFonts w:ascii="宋体" w:hAnsi="宋体"/>
        </w:rPr>
      </w:pPr>
    </w:p>
    <w:p>
      <w:pPr>
        <w:spacing w:line="360" w:lineRule="auto"/>
        <w:ind w:left="4725"/>
        <w:rPr>
          <w:rFonts w:ascii="宋体" w:hAnsi="宋体"/>
          <w:szCs w:val="21"/>
        </w:rPr>
      </w:pPr>
      <w:r>
        <w:rPr>
          <w:rFonts w:hint="eastAsia" w:ascii="宋体" w:hAnsi="宋体"/>
          <w:szCs w:val="21"/>
        </w:rPr>
        <w:t>投标人名称（公章）：</w:t>
      </w:r>
      <w:r>
        <w:rPr>
          <w:rFonts w:hint="eastAsia" w:ascii="宋体" w:hAnsi="宋体"/>
          <w:u w:val="single"/>
        </w:rPr>
        <w:t xml:space="preserve">             </w:t>
      </w:r>
    </w:p>
    <w:p>
      <w:pPr>
        <w:spacing w:line="360" w:lineRule="auto"/>
        <w:ind w:left="4725"/>
        <w:rPr>
          <w:rFonts w:ascii="宋体" w:hAnsi="宋体"/>
          <w:szCs w:val="21"/>
        </w:rPr>
      </w:pPr>
      <w:r>
        <w:rPr>
          <w:rFonts w:hint="eastAsia" w:ascii="宋体" w:hAnsi="宋体"/>
          <w:szCs w:val="21"/>
        </w:rPr>
        <w:t>投标人地址：</w:t>
      </w:r>
      <w:r>
        <w:rPr>
          <w:rFonts w:hint="eastAsia" w:ascii="宋体" w:hAnsi="宋体"/>
          <w:u w:val="single"/>
        </w:rPr>
        <w:t xml:space="preserve">              </w:t>
      </w:r>
    </w:p>
    <w:p>
      <w:pPr>
        <w:spacing w:line="440" w:lineRule="exact"/>
        <w:rPr>
          <w:rFonts w:ascii="宋体" w:hAnsi="宋体"/>
          <w:u w:val="single"/>
        </w:rPr>
      </w:pPr>
      <w:r>
        <w:rPr>
          <w:rFonts w:hint="eastAsia" w:ascii="宋体" w:hAnsi="宋体"/>
          <w:szCs w:val="21"/>
        </w:rPr>
        <w:t>法定代表人或投标人授权代表（签署本人姓名或印盖本人姓名章）：</w:t>
      </w:r>
      <w:r>
        <w:rPr>
          <w:rFonts w:hint="eastAsia" w:ascii="宋体" w:hAnsi="宋体"/>
          <w:u w:val="single"/>
        </w:rPr>
        <w:t xml:space="preserve">              </w:t>
      </w:r>
    </w:p>
    <w:p>
      <w:pPr>
        <w:spacing w:line="440" w:lineRule="exact"/>
        <w:rPr>
          <w:rFonts w:ascii="宋体" w:hAnsi="宋体"/>
          <w:b/>
          <w:bCs/>
          <w:sz w:val="28"/>
          <w:szCs w:val="28"/>
        </w:rPr>
      </w:pPr>
      <w:r>
        <w:rPr>
          <w:rFonts w:hint="eastAsia" w:ascii="宋体" w:hAnsi="宋体"/>
          <w:b/>
          <w:bCs/>
          <w:sz w:val="28"/>
          <w:szCs w:val="28"/>
        </w:rPr>
        <w:br w:type="page"/>
      </w:r>
    </w:p>
    <w:p>
      <w:pPr>
        <w:pStyle w:val="16"/>
        <w:rPr>
          <w:u w:val="single"/>
        </w:rPr>
      </w:pPr>
    </w:p>
    <w:p>
      <w:pPr>
        <w:spacing w:before="156" w:beforeLines="50" w:after="156" w:afterLines="50" w:line="360" w:lineRule="auto"/>
        <w:jc w:val="center"/>
        <w:outlineLvl w:val="0"/>
        <w:rPr>
          <w:rFonts w:ascii="宋体" w:hAnsi="宋体"/>
          <w:b/>
          <w:bCs/>
          <w:sz w:val="28"/>
          <w:szCs w:val="28"/>
        </w:rPr>
      </w:pPr>
      <w:bookmarkStart w:id="68" w:name="_Toc435516649"/>
      <w:bookmarkStart w:id="69" w:name="_Toc438223019"/>
      <w:bookmarkStart w:id="70" w:name="_Toc435174932"/>
      <w:bookmarkStart w:id="71" w:name="_Toc480529443"/>
      <w:bookmarkStart w:id="72" w:name="_Toc435542344"/>
      <w:bookmarkStart w:id="73" w:name="_Toc8183"/>
      <w:r>
        <w:rPr>
          <w:rFonts w:hint="eastAsia" w:ascii="宋体" w:hAnsi="宋体"/>
          <w:b/>
          <w:bCs/>
          <w:sz w:val="28"/>
          <w:szCs w:val="28"/>
        </w:rPr>
        <w:t>第七章  投标人须知</w:t>
      </w:r>
      <w:bookmarkEnd w:id="68"/>
      <w:bookmarkEnd w:id="69"/>
      <w:bookmarkEnd w:id="70"/>
      <w:bookmarkEnd w:id="71"/>
      <w:bookmarkEnd w:id="72"/>
      <w:bookmarkStart w:id="74" w:name="_Toc292267790"/>
      <w:bookmarkStart w:id="75" w:name="_Toc435174931"/>
      <w:bookmarkStart w:id="76" w:name="_Toc438223018"/>
      <w:bookmarkStart w:id="77" w:name="_Toc435516648"/>
      <w:bookmarkStart w:id="78" w:name="_Toc435114676"/>
      <w:bookmarkStart w:id="79" w:name="_Toc435542343"/>
      <w:bookmarkStart w:id="80" w:name="_Toc435114677"/>
      <w:r>
        <w:rPr>
          <w:rFonts w:hint="eastAsia" w:ascii="宋体" w:hAnsi="宋体"/>
          <w:b/>
          <w:bCs/>
          <w:sz w:val="28"/>
          <w:szCs w:val="28"/>
        </w:rPr>
        <w:t>（</w:t>
      </w:r>
      <w:bookmarkEnd w:id="74"/>
      <w:r>
        <w:rPr>
          <w:rFonts w:hint="eastAsia" w:ascii="宋体" w:hAnsi="宋体"/>
          <w:b/>
          <w:bCs/>
          <w:sz w:val="28"/>
          <w:szCs w:val="28"/>
        </w:rPr>
        <w:t>通用条款）</w:t>
      </w:r>
      <w:bookmarkEnd w:id="73"/>
      <w:bookmarkEnd w:id="75"/>
      <w:bookmarkEnd w:id="76"/>
      <w:bookmarkEnd w:id="77"/>
      <w:bookmarkEnd w:id="78"/>
      <w:bookmarkEnd w:id="79"/>
      <w:bookmarkEnd w:id="80"/>
    </w:p>
    <w:p>
      <w:pPr>
        <w:numPr>
          <w:ilvl w:val="0"/>
          <w:numId w:val="26"/>
        </w:numPr>
        <w:autoSpaceDE w:val="0"/>
        <w:autoSpaceDN w:val="0"/>
        <w:adjustRightInd w:val="0"/>
        <w:snapToGrid w:val="0"/>
        <w:spacing w:before="312" w:beforeLines="100" w:after="312" w:afterLines="100"/>
        <w:ind w:left="1012" w:hanging="1012" w:hangingChars="360"/>
        <w:jc w:val="center"/>
        <w:outlineLvl w:val="1"/>
        <w:rPr>
          <w:rFonts w:ascii="宋体" w:hAnsi="宋体"/>
          <w:b/>
          <w:sz w:val="28"/>
          <w:szCs w:val="28"/>
        </w:rPr>
      </w:pPr>
      <w:bookmarkStart w:id="81" w:name="_Toc435542345"/>
      <w:bookmarkStart w:id="82" w:name="_Toc438223020"/>
      <w:r>
        <w:rPr>
          <w:rFonts w:ascii="宋体" w:hAnsi="宋体"/>
          <w:b/>
          <w:sz w:val="28"/>
          <w:szCs w:val="28"/>
          <w:lang w:eastAsia="zh-TW"/>
        </w:rPr>
        <w:t>说 明</w:t>
      </w:r>
      <w:bookmarkEnd w:id="81"/>
      <w:bookmarkEnd w:id="82"/>
      <w:bookmarkStart w:id="83" w:name="_Toc292267791"/>
    </w:p>
    <w:bookmarkEnd w:id="83"/>
    <w:p>
      <w:pPr>
        <w:numPr>
          <w:ilvl w:val="0"/>
          <w:numId w:val="27"/>
        </w:numPr>
        <w:autoSpaceDE w:val="0"/>
        <w:autoSpaceDN w:val="0"/>
        <w:adjustRightInd w:val="0"/>
        <w:snapToGrid w:val="0"/>
        <w:spacing w:line="360" w:lineRule="auto"/>
        <w:ind w:left="449" w:hanging="449" w:hangingChars="213"/>
        <w:outlineLvl w:val="2"/>
        <w:rPr>
          <w:rFonts w:ascii="宋体" w:hAnsi="宋体"/>
          <w:b/>
          <w:szCs w:val="21"/>
        </w:rPr>
      </w:pPr>
      <w:bookmarkStart w:id="84" w:name="_Toc237787451"/>
      <w:r>
        <w:rPr>
          <w:rFonts w:hint="eastAsia" w:ascii="宋体" w:hAnsi="宋体"/>
          <w:b/>
          <w:szCs w:val="21"/>
        </w:rPr>
        <w:t>采购项目与采购当事人说明</w:t>
      </w:r>
      <w:bookmarkEnd w:id="84"/>
    </w:p>
    <w:p>
      <w:pPr>
        <w:numPr>
          <w:ilvl w:val="1"/>
          <w:numId w:val="27"/>
        </w:numPr>
        <w:autoSpaceDE w:val="0"/>
        <w:autoSpaceDN w:val="0"/>
        <w:adjustRightInd w:val="0"/>
        <w:snapToGrid w:val="0"/>
        <w:spacing w:line="360" w:lineRule="auto"/>
        <w:jc w:val="left"/>
        <w:rPr>
          <w:rFonts w:ascii="宋体" w:hAnsi="宋体"/>
          <w:szCs w:val="21"/>
        </w:rPr>
      </w:pPr>
      <w:bookmarkStart w:id="85" w:name="_Toc237787452"/>
      <w:r>
        <w:rPr>
          <w:rFonts w:hint="eastAsia" w:ascii="宋体" w:hAnsi="宋体"/>
          <w:szCs w:val="21"/>
        </w:rPr>
        <w:t>采购人指依法进行政府采购的</w:t>
      </w:r>
      <w:r>
        <w:rPr>
          <w:rFonts w:ascii="宋体" w:hAnsi="宋体"/>
          <w:szCs w:val="21"/>
        </w:rPr>
        <w:t>国家机关、事业单位和团体组织</w:t>
      </w:r>
      <w:r>
        <w:rPr>
          <w:rFonts w:hint="eastAsia" w:ascii="宋体" w:hAnsi="宋体"/>
          <w:szCs w:val="21"/>
        </w:rPr>
        <w:t>。本招标文件</w:t>
      </w:r>
      <w:r>
        <w:rPr>
          <w:rFonts w:hint="eastAsia" w:ascii="宋体" w:hAnsi="宋体"/>
          <w:b/>
          <w:szCs w:val="21"/>
        </w:rPr>
        <w:t>投标资料表</w:t>
      </w:r>
      <w:r>
        <w:rPr>
          <w:rFonts w:hint="eastAsia" w:ascii="宋体" w:hAnsi="宋体"/>
          <w:szCs w:val="21"/>
        </w:rPr>
        <w:t>中所述的采购人已拥有一笔财政性资金/贷款。采购人计划将一部分或全部资金/贷款用于支付本次招标后所签订合同项下的款项</w:t>
      </w:r>
      <w:r>
        <w:rPr>
          <w:rFonts w:hint="eastAsia" w:ascii="宋体" w:hAnsi="宋体" w:cs="宋体"/>
          <w:szCs w:val="21"/>
        </w:rPr>
        <w:t>。</w:t>
      </w:r>
    </w:p>
    <w:bookmarkEnd w:id="85"/>
    <w:p>
      <w:pPr>
        <w:numPr>
          <w:ilvl w:val="1"/>
          <w:numId w:val="27"/>
        </w:numPr>
        <w:autoSpaceDE w:val="0"/>
        <w:autoSpaceDN w:val="0"/>
        <w:adjustRightInd w:val="0"/>
        <w:snapToGrid w:val="0"/>
        <w:spacing w:line="360" w:lineRule="auto"/>
        <w:jc w:val="left"/>
        <w:rPr>
          <w:rFonts w:ascii="宋体" w:hAnsi="宋体"/>
          <w:b/>
          <w:szCs w:val="21"/>
        </w:rPr>
      </w:pPr>
      <w:bookmarkStart w:id="86"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27"/>
        </w:numPr>
        <w:autoSpaceDE w:val="0"/>
        <w:autoSpaceDN w:val="0"/>
        <w:adjustRightInd w:val="0"/>
        <w:snapToGrid w:val="0"/>
        <w:spacing w:line="360" w:lineRule="auto"/>
        <w:jc w:val="left"/>
        <w:rPr>
          <w:rFonts w:ascii="宋体" w:hAnsi="宋体"/>
          <w:b/>
          <w:szCs w:val="21"/>
        </w:rPr>
      </w:pPr>
      <w:r>
        <w:rPr>
          <w:rFonts w:hint="eastAsia" w:ascii="宋体" w:hAnsi="宋体"/>
          <w:szCs w:val="21"/>
        </w:rPr>
        <w:t>本次采购项目资金性质见</w:t>
      </w:r>
      <w:r>
        <w:rPr>
          <w:rFonts w:hint="eastAsia" w:ascii="宋体" w:hAnsi="宋体"/>
          <w:b/>
          <w:szCs w:val="21"/>
        </w:rPr>
        <w:t>投标资料表。</w:t>
      </w:r>
      <w:bookmarkEnd w:id="86"/>
    </w:p>
    <w:p>
      <w:pPr>
        <w:numPr>
          <w:ilvl w:val="0"/>
          <w:numId w:val="27"/>
        </w:numPr>
        <w:autoSpaceDE w:val="0"/>
        <w:autoSpaceDN w:val="0"/>
        <w:adjustRightInd w:val="0"/>
        <w:snapToGrid w:val="0"/>
        <w:spacing w:line="360" w:lineRule="auto"/>
        <w:ind w:left="449" w:hanging="449" w:hangingChars="213"/>
        <w:outlineLvl w:val="2"/>
        <w:rPr>
          <w:rFonts w:ascii="宋体" w:hAnsi="宋体"/>
          <w:b/>
          <w:szCs w:val="21"/>
        </w:rPr>
      </w:pPr>
      <w:bookmarkStart w:id="87" w:name="_Toc237787454"/>
      <w:r>
        <w:rPr>
          <w:rFonts w:hint="eastAsia" w:ascii="宋体" w:hAnsi="宋体"/>
          <w:b/>
          <w:szCs w:val="21"/>
        </w:rPr>
        <w:t>定义及解释</w:t>
      </w:r>
      <w:bookmarkEnd w:id="87"/>
    </w:p>
    <w:p>
      <w:pPr>
        <w:widowControl/>
        <w:numPr>
          <w:ilvl w:val="1"/>
          <w:numId w:val="27"/>
        </w:numPr>
        <w:adjustRightInd w:val="0"/>
        <w:snapToGrid w:val="0"/>
        <w:spacing w:line="360" w:lineRule="auto"/>
        <w:jc w:val="left"/>
        <w:rPr>
          <w:rFonts w:ascii="宋体" w:hAnsi="宋体"/>
          <w:szCs w:val="21"/>
        </w:rPr>
      </w:pPr>
      <w:bookmarkStart w:id="88"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27"/>
        </w:numPr>
        <w:adjustRightInd w:val="0"/>
        <w:snapToGrid w:val="0"/>
        <w:spacing w:line="360" w:lineRule="auto"/>
        <w:jc w:val="left"/>
        <w:rPr>
          <w:rFonts w:ascii="宋体" w:hAns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88"/>
    <w:p>
      <w:pPr>
        <w:widowControl/>
        <w:numPr>
          <w:ilvl w:val="1"/>
          <w:numId w:val="27"/>
        </w:numPr>
        <w:adjustRightInd w:val="0"/>
        <w:snapToGrid w:val="0"/>
        <w:spacing w:line="360" w:lineRule="auto"/>
        <w:jc w:val="left"/>
        <w:rPr>
          <w:rFonts w:ascii="宋体" w:hAnsi="宋体"/>
          <w:szCs w:val="21"/>
        </w:rPr>
      </w:pPr>
      <w:r>
        <w:rPr>
          <w:rFonts w:hint="eastAsia" w:ascii="宋体" w:hAnsi="宋体"/>
          <w:szCs w:val="21"/>
        </w:rPr>
        <w:t>招标采购单位：采购人和采购代理机构。</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27"/>
        </w:numPr>
        <w:adjustRightInd w:val="0"/>
        <w:snapToGrid w:val="0"/>
        <w:spacing w:line="360" w:lineRule="auto"/>
        <w:jc w:val="left"/>
        <w:rPr>
          <w:rFonts w:ascii="宋体" w:hAnsi="宋体"/>
          <w:szCs w:val="21"/>
        </w:rPr>
      </w:pPr>
      <w:bookmarkStart w:id="89" w:name="_Toc237787460"/>
      <w:r>
        <w:rPr>
          <w:rFonts w:hint="eastAsia" w:ascii="宋体" w:hAnsi="宋体"/>
          <w:szCs w:val="21"/>
        </w:rPr>
        <w:t>评标委员会：是依法组建的、负责本次采购的评标工作的临时性机构。</w:t>
      </w:r>
      <w:bookmarkEnd w:id="89"/>
    </w:p>
    <w:p>
      <w:pPr>
        <w:widowControl/>
        <w:numPr>
          <w:ilvl w:val="1"/>
          <w:numId w:val="27"/>
        </w:numPr>
        <w:adjustRightInd w:val="0"/>
        <w:snapToGrid w:val="0"/>
        <w:spacing w:line="360" w:lineRule="auto"/>
        <w:jc w:val="left"/>
        <w:rPr>
          <w:rFonts w:ascii="宋体" w:hAnsi="宋体"/>
          <w:szCs w:val="21"/>
        </w:rPr>
      </w:pPr>
      <w:r>
        <w:rPr>
          <w:rFonts w:hint="eastAsia" w:ascii="宋体" w:hAnsi="宋体"/>
          <w:szCs w:val="21"/>
        </w:rPr>
        <w:t>中标人：经法定程序确定并授予合同的投标人。</w:t>
      </w:r>
    </w:p>
    <w:p>
      <w:pPr>
        <w:widowControl/>
        <w:numPr>
          <w:ilvl w:val="1"/>
          <w:numId w:val="27"/>
        </w:numPr>
        <w:adjustRightInd w:val="0"/>
        <w:snapToGrid w:val="0"/>
        <w:spacing w:line="360" w:lineRule="auto"/>
        <w:jc w:val="left"/>
        <w:rPr>
          <w:rFonts w:ascii="宋体" w:hAnsi="宋体"/>
          <w:szCs w:val="21"/>
        </w:rPr>
      </w:pPr>
      <w:bookmarkStart w:id="90" w:name="_Toc237787461"/>
      <w:r>
        <w:rPr>
          <w:rFonts w:hint="eastAsia" w:ascii="宋体" w:hAnsi="宋体"/>
          <w:szCs w:val="21"/>
        </w:rPr>
        <w:t>日期：指公历日。</w:t>
      </w:r>
      <w:bookmarkEnd w:id="90"/>
    </w:p>
    <w:p>
      <w:pPr>
        <w:widowControl/>
        <w:numPr>
          <w:ilvl w:val="1"/>
          <w:numId w:val="27"/>
        </w:numPr>
        <w:adjustRightInd w:val="0"/>
        <w:snapToGrid w:val="0"/>
        <w:spacing w:line="360" w:lineRule="auto"/>
        <w:jc w:val="left"/>
        <w:rPr>
          <w:rFonts w:ascii="宋体" w:hAnsi="宋体"/>
          <w:szCs w:val="21"/>
        </w:rPr>
      </w:pPr>
      <w:bookmarkStart w:id="91" w:name="_Toc237787462"/>
      <w:r>
        <w:rPr>
          <w:rFonts w:hint="eastAsia" w:ascii="宋体" w:hAnsi="宋体"/>
          <w:szCs w:val="21"/>
        </w:rPr>
        <w:t>合同：依据本次货物及服务招标采购结果签订的协议。</w:t>
      </w:r>
      <w:bookmarkEnd w:id="91"/>
    </w:p>
    <w:p>
      <w:pPr>
        <w:widowControl/>
        <w:numPr>
          <w:ilvl w:val="1"/>
          <w:numId w:val="27"/>
        </w:numPr>
        <w:adjustRightInd w:val="0"/>
        <w:snapToGrid w:val="0"/>
        <w:spacing w:line="360" w:lineRule="auto"/>
        <w:jc w:val="left"/>
        <w:rPr>
          <w:rFonts w:ascii="宋体" w:hAnsi="宋体"/>
          <w:szCs w:val="21"/>
        </w:rPr>
      </w:pPr>
      <w:bookmarkStart w:id="92" w:name="_Toc237787463"/>
      <w:r>
        <w:rPr>
          <w:rFonts w:hint="eastAsia" w:ascii="宋体" w:hAnsi="宋体"/>
          <w:szCs w:val="21"/>
        </w:rPr>
        <w:t>招标文件中的标题或题名仅起引导作用，而不应视为对招标文件内容的理解和解释。</w:t>
      </w:r>
      <w:bookmarkEnd w:id="92"/>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合格的投标人</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符合《中华人民共和国政府采购法》第二十二条规定：</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具有独立承担民事责任的能力。</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具有良好的商业信誉和健全的财务会计制度</w:t>
      </w:r>
      <w:r>
        <w:rPr>
          <w:rFonts w:hint="eastAsia" w:ascii="宋体" w:hAnsi="宋体"/>
          <w:szCs w:val="21"/>
        </w:rPr>
        <w:t>。</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具有履行合同所必需的设备和专业技术能力</w:t>
      </w:r>
      <w:r>
        <w:rPr>
          <w:rFonts w:hint="eastAsia" w:ascii="宋体" w:hAnsi="宋体"/>
          <w:szCs w:val="21"/>
        </w:rPr>
        <w:t>。</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有依法缴纳税收和社会保障资金的良好记录</w:t>
      </w:r>
      <w:r>
        <w:rPr>
          <w:rFonts w:hint="eastAsia" w:ascii="宋体" w:hAnsi="宋体"/>
          <w:szCs w:val="21"/>
        </w:rPr>
        <w:t>。</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参加政府采购活动前三年内，在经营活动中没有重大违法记录</w:t>
      </w:r>
      <w:r>
        <w:rPr>
          <w:rFonts w:hint="eastAsia" w:ascii="宋体" w:hAnsi="宋体"/>
          <w:szCs w:val="21"/>
        </w:rPr>
        <w:t>。</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法律、行政法规规定的其他条件</w:t>
      </w:r>
      <w:r>
        <w:rPr>
          <w:rFonts w:hint="eastAsia" w:ascii="宋体" w:hAnsi="宋体"/>
          <w:szCs w:val="21"/>
        </w:rPr>
        <w:t>。</w:t>
      </w:r>
    </w:p>
    <w:p>
      <w:pPr>
        <w:spacing w:line="440" w:lineRule="exact"/>
        <w:rPr>
          <w:rFonts w:ascii="宋体" w:hAnsi="宋体"/>
          <w:u w:val="single"/>
        </w:rPr>
      </w:pP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只有在法律上和财务上独立、合法运作并独立于采购人和采购代理机构的供货商才能参加投标。</w:t>
      </w:r>
    </w:p>
    <w:p>
      <w:pPr>
        <w:numPr>
          <w:ilvl w:val="1"/>
          <w:numId w:val="27"/>
        </w:numPr>
        <w:autoSpaceDE w:val="0"/>
        <w:autoSpaceDN w:val="0"/>
        <w:adjustRightInd w:val="0"/>
        <w:snapToGrid w:val="0"/>
        <w:spacing w:line="360" w:lineRule="auto"/>
        <w:rPr>
          <w:rFonts w:ascii="宋体" w:hAns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27"/>
        </w:numPr>
        <w:autoSpaceDE w:val="0"/>
        <w:autoSpaceDN w:val="0"/>
        <w:adjustRightInd w:val="0"/>
        <w:snapToGrid w:val="0"/>
        <w:spacing w:line="360" w:lineRule="auto"/>
        <w:rPr>
          <w:rFonts w:ascii="宋体" w:hAnsi="宋体"/>
        </w:rPr>
      </w:pPr>
      <w:r>
        <w:rPr>
          <w:rFonts w:hint="eastAsia" w:ascii="宋体" w:hAnsi="宋体"/>
        </w:rPr>
        <w:t>若分公司投标：供应商为非独立法人(即由合法法人依法建立的分公司）</w:t>
      </w:r>
      <w:r>
        <w:rPr>
          <w:rFonts w:ascii="宋体" w:hAnsi="宋体"/>
        </w:rPr>
        <w:t>，须</w:t>
      </w:r>
      <w:r>
        <w:rPr>
          <w:rFonts w:hint="eastAsia" w:ascii="宋体" w:hAnsi="宋体"/>
        </w:rPr>
        <w:t>同时</w:t>
      </w:r>
      <w:r>
        <w:rPr>
          <w:rFonts w:ascii="宋体" w:hAnsi="宋体"/>
        </w:rPr>
        <w:t>提供总公司的营业执照副本复印件及总公司</w:t>
      </w:r>
      <w:r>
        <w:rPr>
          <w:rFonts w:hint="eastAsia" w:ascii="宋体" w:hAnsi="宋体"/>
        </w:rPr>
        <w:t>对分公司出具的有效</w:t>
      </w:r>
      <w:r>
        <w:rPr>
          <w:rFonts w:ascii="宋体" w:hAnsi="宋体"/>
        </w:rPr>
        <w:t>授权书原件。</w:t>
      </w:r>
      <w:r>
        <w:rPr>
          <w:rFonts w:hint="eastAsia" w:ascii="宋体" w:hAnsi="宋体"/>
        </w:rPr>
        <w:t>分公司已获得总公司有效授权的，总公司取得的相关资质证书对分公司有效。若法律法规或招标文件另有规定的从其规定。</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合格的服务和货物</w:t>
      </w:r>
    </w:p>
    <w:p>
      <w:pPr>
        <w:numPr>
          <w:ilvl w:val="1"/>
          <w:numId w:val="27"/>
        </w:numPr>
        <w:autoSpaceDE w:val="0"/>
        <w:autoSpaceDN w:val="0"/>
        <w:adjustRightInd w:val="0"/>
        <w:snapToGrid w:val="0"/>
        <w:spacing w:line="360" w:lineRule="auto"/>
        <w:rPr>
          <w:rFonts w:ascii="宋体" w:hAnsi="宋体"/>
          <w:szCs w:val="21"/>
        </w:rPr>
      </w:pPr>
      <w:bookmarkStart w:id="93"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93"/>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政府采购应当采购本国产品，确需采购进口产品的，</w:t>
      </w:r>
      <w:bookmarkStart w:id="94" w:name="_Toc211763038"/>
      <w:r>
        <w:rPr>
          <w:rFonts w:hint="eastAsia" w:ascii="宋体" w:hAnsi="宋体"/>
          <w:szCs w:val="21"/>
        </w:rPr>
        <w:t>依据《政府采购进口产品管理办法</w:t>
      </w:r>
      <w:bookmarkEnd w:id="94"/>
      <w:r>
        <w:rPr>
          <w:rFonts w:hint="eastAsia" w:ascii="宋体" w:hAnsi="宋体"/>
          <w:szCs w:val="21"/>
        </w:rPr>
        <w:t>》执行。</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本文件所称进口产品是指通过中国海关报关验放进入中国境内且产自关境外的产品。</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bookmarkStart w:id="95" w:name="_Toc237787469"/>
      <w:r>
        <w:rPr>
          <w:rFonts w:hint="eastAsia" w:ascii="宋体" w:hAnsi="宋体"/>
          <w:b/>
          <w:bCs/>
          <w:szCs w:val="21"/>
        </w:rPr>
        <w:t>禁止事项</w:t>
      </w:r>
      <w:bookmarkEnd w:id="95"/>
    </w:p>
    <w:p>
      <w:pPr>
        <w:numPr>
          <w:ilvl w:val="1"/>
          <w:numId w:val="27"/>
        </w:numPr>
        <w:autoSpaceDE w:val="0"/>
        <w:autoSpaceDN w:val="0"/>
        <w:adjustRightInd w:val="0"/>
        <w:snapToGrid w:val="0"/>
        <w:spacing w:line="360" w:lineRule="auto"/>
        <w:rPr>
          <w:rFonts w:ascii="宋体" w:hAnsi="宋体"/>
          <w:szCs w:val="21"/>
        </w:rPr>
      </w:pPr>
      <w:bookmarkStart w:id="96" w:name="_Toc237787470"/>
      <w:r>
        <w:rPr>
          <w:rFonts w:hint="eastAsia" w:ascii="宋体" w:hAnsi="宋体"/>
          <w:szCs w:val="21"/>
        </w:rPr>
        <w:t>采购人、投标人和采购代理机构不得相互串通损害国家利益、社会公共利益和其他当</w:t>
      </w:r>
      <w:bookmarkEnd w:id="96"/>
      <w:bookmarkStart w:id="97" w:name="_Toc237787471"/>
      <w:r>
        <w:rPr>
          <w:rFonts w:hint="eastAsia" w:ascii="宋体" w:hAnsi="宋体"/>
          <w:szCs w:val="21"/>
        </w:rPr>
        <w:t>事人的合法权益；不得以任何手段排斥其他投标人参与竞争。</w:t>
      </w:r>
      <w:bookmarkEnd w:id="97"/>
      <w:r>
        <w:rPr>
          <w:rFonts w:hint="eastAsia" w:ascii="宋体" w:hAnsi="宋体"/>
          <w:szCs w:val="21"/>
        </w:rPr>
        <w:t>否则投标无效。</w:t>
      </w:r>
    </w:p>
    <w:p>
      <w:pPr>
        <w:numPr>
          <w:ilvl w:val="1"/>
          <w:numId w:val="27"/>
        </w:numPr>
        <w:autoSpaceDE w:val="0"/>
        <w:autoSpaceDN w:val="0"/>
        <w:adjustRightInd w:val="0"/>
        <w:snapToGrid w:val="0"/>
        <w:spacing w:line="360" w:lineRule="auto"/>
        <w:rPr>
          <w:rFonts w:ascii="宋体" w:hAnsi="宋体"/>
          <w:szCs w:val="21"/>
        </w:rPr>
      </w:pPr>
      <w:bookmarkStart w:id="98" w:name="_Toc237787472"/>
      <w:r>
        <w:rPr>
          <w:rFonts w:hint="eastAsia" w:ascii="宋体" w:hAnsi="宋体"/>
          <w:szCs w:val="21"/>
        </w:rPr>
        <w:t>投标人不得向采购人、采购代理机构、评标委员会的组成人员行贿或者采取其他不正当手段谋取中标。</w:t>
      </w:r>
      <w:bookmarkEnd w:id="98"/>
      <w:r>
        <w:rPr>
          <w:rFonts w:hint="eastAsia" w:ascii="宋体" w:hAnsi="宋体"/>
          <w:szCs w:val="21"/>
        </w:rPr>
        <w:t>否则投标无效。</w:t>
      </w:r>
    </w:p>
    <w:p>
      <w:pPr>
        <w:numPr>
          <w:ilvl w:val="1"/>
          <w:numId w:val="27"/>
        </w:numPr>
        <w:autoSpaceDE w:val="0"/>
        <w:autoSpaceDN w:val="0"/>
        <w:adjustRightInd w:val="0"/>
        <w:snapToGrid w:val="0"/>
        <w:spacing w:line="360" w:lineRule="auto"/>
        <w:rPr>
          <w:rFonts w:ascii="宋体" w:hAnsi="宋体"/>
          <w:szCs w:val="21"/>
        </w:rPr>
      </w:pPr>
      <w:bookmarkStart w:id="99"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99"/>
      <w:r>
        <w:rPr>
          <w:rFonts w:hint="eastAsia" w:ascii="宋体" w:hAnsi="宋体"/>
          <w:szCs w:val="21"/>
        </w:rPr>
        <w:t>否则投标无效。</w:t>
      </w:r>
    </w:p>
    <w:p>
      <w:pPr>
        <w:numPr>
          <w:ilvl w:val="1"/>
          <w:numId w:val="27"/>
        </w:numPr>
        <w:autoSpaceDE w:val="0"/>
        <w:autoSpaceDN w:val="0"/>
        <w:adjustRightInd w:val="0"/>
        <w:snapToGrid w:val="0"/>
        <w:spacing w:line="360" w:lineRule="auto"/>
        <w:rPr>
          <w:rFonts w:ascii="宋体" w:hAnsi="宋体"/>
          <w:szCs w:val="21"/>
        </w:rPr>
      </w:pPr>
      <w:bookmarkStart w:id="100" w:name="_Toc237787474"/>
      <w:r>
        <w:rPr>
          <w:rFonts w:hint="eastAsia" w:ascii="宋体" w:hAnsi="宋体"/>
          <w:szCs w:val="21"/>
        </w:rPr>
        <w:t>《中华人民共和国政府采购法》、《中华人民共和国政府采购法实施条例》及相关法规规定的其他禁止行为。</w:t>
      </w:r>
      <w:bookmarkEnd w:id="100"/>
      <w:r>
        <w:rPr>
          <w:rFonts w:hint="eastAsia" w:ascii="宋体" w:hAnsi="宋体"/>
          <w:szCs w:val="21"/>
        </w:rPr>
        <w:t>否则投标无效。</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bookmarkStart w:id="101" w:name="_Toc237787475"/>
      <w:r>
        <w:rPr>
          <w:rFonts w:hint="eastAsia" w:ascii="宋体" w:hAnsi="宋体"/>
          <w:b/>
          <w:bCs/>
          <w:szCs w:val="21"/>
        </w:rPr>
        <w:t>保密事项</w:t>
      </w:r>
      <w:bookmarkEnd w:id="101"/>
    </w:p>
    <w:p>
      <w:pPr>
        <w:numPr>
          <w:ilvl w:val="1"/>
          <w:numId w:val="27"/>
        </w:numPr>
        <w:autoSpaceDE w:val="0"/>
        <w:autoSpaceDN w:val="0"/>
        <w:adjustRightInd w:val="0"/>
        <w:snapToGrid w:val="0"/>
        <w:spacing w:line="360" w:lineRule="auto"/>
        <w:rPr>
          <w:rFonts w:ascii="宋体" w:hAnsi="宋体"/>
          <w:szCs w:val="21"/>
        </w:rPr>
      </w:pPr>
      <w:bookmarkStart w:id="102"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102"/>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投标费用</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bookmarkStart w:id="103" w:name="_Toc381027666"/>
      <w:r>
        <w:rPr>
          <w:rFonts w:hint="eastAsia" w:ascii="宋体" w:hAnsi="宋体"/>
          <w:b/>
          <w:bCs/>
          <w:szCs w:val="21"/>
        </w:rPr>
        <w:t>政府采购信用担保</w:t>
      </w:r>
      <w:bookmarkEnd w:id="103"/>
    </w:p>
    <w:p>
      <w:pPr>
        <w:numPr>
          <w:ilvl w:val="1"/>
          <w:numId w:val="27"/>
        </w:numPr>
        <w:autoSpaceDE w:val="0"/>
        <w:autoSpaceDN w:val="0"/>
        <w:adjustRightInd w:val="0"/>
        <w:snapToGrid w:val="0"/>
        <w:spacing w:line="360" w:lineRule="auto"/>
        <w:rPr>
          <w:rFonts w:ascii="宋体" w:hAnsi="宋体"/>
          <w:szCs w:val="21"/>
        </w:rPr>
      </w:pPr>
      <w:bookmarkStart w:id="104"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bookmarkEnd w:id="104"/>
    <w:p>
      <w:pPr>
        <w:numPr>
          <w:ilvl w:val="1"/>
          <w:numId w:val="27"/>
        </w:numPr>
        <w:autoSpaceDE w:val="0"/>
        <w:autoSpaceDN w:val="0"/>
        <w:adjustRightInd w:val="0"/>
        <w:snapToGrid w:val="0"/>
        <w:spacing w:line="360" w:lineRule="auto"/>
        <w:rPr>
          <w:rFonts w:ascii="宋体" w:hAnsi="宋体"/>
          <w:b/>
          <w:bCs/>
          <w:szCs w:val="21"/>
        </w:rPr>
      </w:pPr>
      <w:bookmarkStart w:id="105"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105"/>
    </w:p>
    <w:p>
      <w:pPr>
        <w:numPr>
          <w:ilvl w:val="1"/>
          <w:numId w:val="27"/>
        </w:numPr>
        <w:autoSpaceDE w:val="0"/>
        <w:autoSpaceDN w:val="0"/>
        <w:adjustRightInd w:val="0"/>
        <w:snapToGrid w:val="0"/>
        <w:spacing w:line="360" w:lineRule="auto"/>
        <w:rPr>
          <w:rFonts w:ascii="宋体" w:hAnsi="宋体"/>
          <w:szCs w:val="21"/>
        </w:rPr>
      </w:pPr>
      <w:bookmarkStart w:id="106"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106"/>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专业担保机构的选择，推荐担保机构及联系方式详见《投标资料表》。</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投标人可以以履约担保函的形式缴纳履约保证金。</w:t>
      </w:r>
    </w:p>
    <w:p>
      <w:pPr>
        <w:numPr>
          <w:ilvl w:val="0"/>
          <w:numId w:val="27"/>
        </w:numPr>
        <w:autoSpaceDE w:val="0"/>
        <w:autoSpaceDN w:val="0"/>
        <w:adjustRightInd w:val="0"/>
        <w:snapToGrid w:val="0"/>
        <w:spacing w:line="360" w:lineRule="auto"/>
        <w:ind w:left="449" w:hanging="449" w:hangingChars="213"/>
        <w:outlineLvl w:val="2"/>
        <w:rPr>
          <w:rFonts w:ascii="宋体" w:hAnsi="宋体"/>
          <w:b/>
          <w:szCs w:val="21"/>
        </w:rPr>
      </w:pPr>
      <w:bookmarkStart w:id="107" w:name="_Toc435542346"/>
      <w:bookmarkStart w:id="108" w:name="_Toc438223021"/>
      <w:r>
        <w:rPr>
          <w:rFonts w:hint="eastAsia" w:ascii="宋体" w:hAnsi="宋体"/>
          <w:b/>
          <w:bCs/>
          <w:szCs w:val="21"/>
        </w:rPr>
        <w:t>知识产权</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投标报价应包含所有应向所有权人支付的专利权、商标权或其它知识产权的一切相关费用。</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27"/>
        </w:numPr>
        <w:autoSpaceDE w:val="0"/>
        <w:autoSpaceDN w:val="0"/>
        <w:adjustRightInd w:val="0"/>
        <w:snapToGrid w:val="0"/>
        <w:spacing w:line="360" w:lineRule="auto"/>
        <w:outlineLvl w:val="2"/>
        <w:rPr>
          <w:rFonts w:ascii="宋体" w:hAnsi="宋体"/>
          <w:szCs w:val="21"/>
        </w:rPr>
      </w:pPr>
      <w:r>
        <w:rPr>
          <w:rFonts w:hint="eastAsia" w:ascii="宋体" w:hAnsi="宋体"/>
          <w:b/>
          <w:bCs/>
          <w:szCs w:val="21"/>
        </w:rPr>
        <w:t>其它</w:t>
      </w:r>
      <w:r>
        <w:rPr>
          <w:rFonts w:hint="eastAsia" w:ascii="宋体" w:hAnsi="宋体"/>
          <w:b/>
          <w:szCs w:val="21"/>
        </w:rPr>
        <w:t xml:space="preserve"> </w:t>
      </w:r>
      <w:r>
        <w:rPr>
          <w:rFonts w:ascii="宋体" w:hAnsi="宋体"/>
          <w:szCs w:val="21"/>
        </w:rPr>
        <w:t xml:space="preserve"> </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26"/>
        </w:numPr>
        <w:autoSpaceDE w:val="0"/>
        <w:autoSpaceDN w:val="0"/>
        <w:adjustRightInd w:val="0"/>
        <w:snapToGrid w:val="0"/>
        <w:spacing w:before="312" w:beforeLines="100" w:after="312"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招标文件</w:t>
      </w:r>
      <w:bookmarkEnd w:id="107"/>
      <w:bookmarkEnd w:id="108"/>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招标文件的编制依据与构成</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rPr>
        <w:t>否则投标无效。</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hAnsi="宋体"/>
          <w:b/>
          <w:szCs w:val="21"/>
        </w:rPr>
      </w:pPr>
      <w:r>
        <w:rPr>
          <w:rFonts w:hint="eastAsia" w:ascii="宋体" w:hAnsi="宋体" w:cs="隶书"/>
          <w:b/>
          <w:szCs w:val="21"/>
        </w:rPr>
        <w:t>专用条款</w:t>
      </w:r>
    </w:p>
    <w:p>
      <w:pPr>
        <w:snapToGrid w:val="0"/>
        <w:spacing w:line="360" w:lineRule="auto"/>
        <w:ind w:left="546"/>
        <w:rPr>
          <w:rFonts w:ascii="宋体" w:hAns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hAns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hAns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hAnsi="宋体" w:cs="隶书"/>
          <w:b/>
          <w:szCs w:val="21"/>
        </w:rPr>
      </w:pPr>
      <w:r>
        <w:rPr>
          <w:rFonts w:hint="eastAsia" w:ascii="宋体" w:hAnsi="宋体" w:cs="隶书"/>
          <w:b/>
          <w:szCs w:val="21"/>
        </w:rPr>
        <w:t>通用条款</w:t>
      </w:r>
    </w:p>
    <w:p>
      <w:pPr>
        <w:snapToGrid w:val="0"/>
        <w:spacing w:line="360" w:lineRule="auto"/>
        <w:ind w:left="546"/>
        <w:rPr>
          <w:rFonts w:ascii="宋体" w:hAns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27"/>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rPr>
        <w:t>广州宝诚招标代理咨询有限公司</w:t>
      </w:r>
      <w:r>
        <w:rPr>
          <w:rFonts w:hint="eastAsia" w:ascii="宋体" w:hAnsi="宋体" w:cs="宋体"/>
          <w:szCs w:val="21"/>
          <w:lang w:eastAsia="zh-TW"/>
        </w:rPr>
        <w:t>”所有。</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招标文件的澄清或修改</w:t>
      </w:r>
    </w:p>
    <w:p>
      <w:pPr>
        <w:numPr>
          <w:ilvl w:val="1"/>
          <w:numId w:val="27"/>
        </w:numPr>
        <w:autoSpaceDE w:val="0"/>
        <w:autoSpaceDN w:val="0"/>
        <w:adjustRightInd w:val="0"/>
        <w:snapToGrid w:val="0"/>
        <w:spacing w:line="360" w:lineRule="auto"/>
        <w:jc w:val="left"/>
        <w:rPr>
          <w:rFonts w:ascii="宋体" w:hAnsi="宋体"/>
          <w:szCs w:val="21"/>
        </w:rPr>
      </w:pPr>
      <w:bookmarkStart w:id="109"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27"/>
        </w:numPr>
        <w:adjustRightInd w:val="0"/>
        <w:snapToGrid w:val="0"/>
        <w:spacing w:line="360" w:lineRule="auto"/>
        <w:jc w:val="left"/>
        <w:rPr>
          <w:rFonts w:ascii="宋体" w:hAns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109"/>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27"/>
        </w:numPr>
        <w:autoSpaceDE w:val="0"/>
        <w:autoSpaceDN w:val="0"/>
        <w:adjustRightInd w:val="0"/>
        <w:snapToGrid w:val="0"/>
        <w:spacing w:line="360" w:lineRule="auto"/>
        <w:ind w:left="449" w:hanging="449" w:hangingChars="213"/>
        <w:outlineLvl w:val="2"/>
        <w:rPr>
          <w:rFonts w:ascii="宋体" w:hAnsi="宋体" w:cs="宋体"/>
          <w:szCs w:val="21"/>
          <w:lang w:eastAsia="zh-TW"/>
        </w:rPr>
      </w:pPr>
      <w:r>
        <w:rPr>
          <w:rFonts w:hint="eastAsia" w:ascii="宋体" w:hAnsi="宋体"/>
          <w:b/>
          <w:bCs/>
          <w:szCs w:val="21"/>
        </w:rPr>
        <w:t>招标文件的答疑或现场考察</w:t>
      </w:r>
    </w:p>
    <w:p>
      <w:pPr>
        <w:widowControl/>
        <w:numPr>
          <w:ilvl w:val="1"/>
          <w:numId w:val="27"/>
        </w:numPr>
        <w:adjustRightInd w:val="0"/>
        <w:snapToGrid w:val="0"/>
        <w:spacing w:line="360" w:lineRule="auto"/>
        <w:jc w:val="left"/>
        <w:rPr>
          <w:rFonts w:ascii="宋体" w:hAns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2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27"/>
        </w:numPr>
        <w:tabs>
          <w:tab w:val="left" w:pos="851"/>
          <w:tab w:val="clear" w:pos="567"/>
        </w:tabs>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27"/>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26"/>
        </w:numPr>
        <w:autoSpaceDE w:val="0"/>
        <w:autoSpaceDN w:val="0"/>
        <w:adjustRightInd w:val="0"/>
        <w:snapToGrid w:val="0"/>
        <w:spacing w:before="312" w:beforeLines="100" w:after="312" w:afterLines="100" w:line="360" w:lineRule="auto"/>
        <w:ind w:left="1012" w:hanging="1012" w:hangingChars="360"/>
        <w:jc w:val="center"/>
        <w:outlineLvl w:val="1"/>
        <w:rPr>
          <w:rFonts w:ascii="宋体" w:hAnsi="宋体"/>
          <w:b/>
          <w:sz w:val="28"/>
          <w:szCs w:val="28"/>
          <w:lang w:eastAsia="zh-TW"/>
        </w:rPr>
      </w:pPr>
      <w:bookmarkStart w:id="110" w:name="_Toc438223022"/>
      <w:bookmarkStart w:id="111" w:name="_Toc435542347"/>
      <w:r>
        <w:rPr>
          <w:rFonts w:hint="eastAsia" w:ascii="宋体" w:hAnsi="宋体"/>
          <w:b/>
          <w:sz w:val="28"/>
          <w:szCs w:val="28"/>
          <w:lang w:eastAsia="zh-TW"/>
        </w:rPr>
        <w:t>投标文件的编制</w:t>
      </w:r>
      <w:bookmarkEnd w:id="110"/>
      <w:bookmarkEnd w:id="111"/>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bookmarkStart w:id="112" w:name="_Toc237787500"/>
      <w:r>
        <w:rPr>
          <w:rFonts w:hint="eastAsia" w:ascii="宋体" w:hAnsi="宋体"/>
          <w:b/>
          <w:bCs/>
          <w:szCs w:val="21"/>
        </w:rPr>
        <w:t>投标的语言</w:t>
      </w:r>
      <w:bookmarkEnd w:id="112"/>
      <w:r>
        <w:rPr>
          <w:rFonts w:hint="eastAsia" w:ascii="宋体" w:hAnsi="宋体"/>
          <w:b/>
          <w:bCs/>
          <w:szCs w:val="21"/>
        </w:rPr>
        <w:t>及度量衡单位</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27"/>
        </w:numPr>
        <w:tabs>
          <w:tab w:val="left" w:pos="851"/>
        </w:tabs>
        <w:autoSpaceDE w:val="0"/>
        <w:autoSpaceDN w:val="0"/>
        <w:adjustRightInd w:val="0"/>
        <w:snapToGrid w:val="0"/>
        <w:spacing w:line="360" w:lineRule="auto"/>
        <w:rPr>
          <w:rFonts w:ascii="宋体" w:hAnsi="宋体" w:cs="宋体"/>
          <w:szCs w:val="21"/>
        </w:rPr>
      </w:pPr>
      <w:bookmarkStart w:id="113"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113"/>
      <w:r>
        <w:rPr>
          <w:rFonts w:hint="eastAsia" w:ascii="宋体" w:hAnsi="宋体" w:cs="宋体"/>
          <w:szCs w:val="21"/>
          <w:lang w:eastAsia="zh-TW"/>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投标文件的构成</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投标文件的编写</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写投标函、开标一览表(报价表)、投标分项报价表（如适用）以及招标文件中规定的其它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27"/>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投标报价</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开标一览表(报价表)</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27"/>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招标文件要求全部服务所需的费用；</w:t>
      </w:r>
    </w:p>
    <w:p>
      <w:pPr>
        <w:numPr>
          <w:ilvl w:val="2"/>
          <w:numId w:val="27"/>
        </w:numPr>
        <w:tabs>
          <w:tab w:val="left" w:pos="709"/>
          <w:tab w:val="left" w:pos="851"/>
          <w:tab w:val="clear" w:pos="567"/>
        </w:tabs>
        <w:autoSpaceDE w:val="0"/>
        <w:autoSpaceDN w:val="0"/>
        <w:adjustRightInd w:val="0"/>
        <w:snapToGrid w:val="0"/>
        <w:spacing w:line="360" w:lineRule="auto"/>
        <w:ind w:left="709" w:hanging="709"/>
        <w:jc w:val="left"/>
        <w:rPr>
          <w:rFonts w:ascii="宋体" w:hAnsi="宋体"/>
          <w:szCs w:val="21"/>
        </w:rPr>
      </w:pPr>
      <w:r>
        <w:rPr>
          <w:rFonts w:hint="eastAsia" w:ascii="宋体" w:hAnsi="宋体" w:cs="宋体"/>
          <w:szCs w:val="21"/>
        </w:rPr>
        <w:t>投标报价包含履行合同所有相关服务所需的费用；</w:t>
      </w:r>
    </w:p>
    <w:p>
      <w:pPr>
        <w:numPr>
          <w:ilvl w:val="2"/>
          <w:numId w:val="27"/>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投标报价均应包含所有的税费；</w:t>
      </w:r>
    </w:p>
    <w:p>
      <w:pPr>
        <w:numPr>
          <w:ilvl w:val="2"/>
          <w:numId w:val="27"/>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其他一切隐含及不可预见的费用；</w:t>
      </w:r>
    </w:p>
    <w:p>
      <w:pPr>
        <w:numPr>
          <w:ilvl w:val="1"/>
          <w:numId w:val="27"/>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投标人根据本须知</w:t>
      </w:r>
      <w:r>
        <w:rPr>
          <w:rFonts w:hint="eastAsia" w:ascii="宋体" w:hAnsi="宋体" w:cs="宋体"/>
          <w:szCs w:val="21"/>
        </w:rPr>
        <w:t>第17.3条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投标货币</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投标人提供的货物及服务在投标时必须用人民币报价。否则，将导致其投标无效。</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联合体投标</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27"/>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 xml:space="preserve">以联合体形式参加投标的，联合体各方均必须符合本须知“合格的投标人”的一般规定，并至少有一方符合“供应商资格”的特殊条款要求； </w:t>
      </w:r>
    </w:p>
    <w:p>
      <w:pPr>
        <w:numPr>
          <w:ilvl w:val="2"/>
          <w:numId w:val="27"/>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证明投标人合格和资格的文件</w:t>
      </w:r>
    </w:p>
    <w:p>
      <w:pPr>
        <w:numPr>
          <w:ilvl w:val="1"/>
          <w:numId w:val="27"/>
        </w:numPr>
        <w:autoSpaceDE w:val="0"/>
        <w:autoSpaceDN w:val="0"/>
        <w:adjustRightInd w:val="0"/>
        <w:snapToGrid w:val="0"/>
        <w:spacing w:line="360" w:lineRule="auto"/>
        <w:rPr>
          <w:rFonts w:ascii="宋体" w:hAnsi="宋体" w:cs="黑体"/>
          <w:b/>
          <w:bCs/>
          <w:szCs w:val="21"/>
        </w:rPr>
      </w:pPr>
      <w:bookmarkStart w:id="114" w:name="_Toc237787518"/>
      <w:r>
        <w:rPr>
          <w:rFonts w:hint="eastAsia" w:ascii="宋体" w:hAnsi="宋体"/>
          <w:szCs w:val="21"/>
        </w:rPr>
        <w:t>投标人应提交证明其有资格参加投标和中标后有能力履行合同的文件，并作为其投标文件的一部分。</w:t>
      </w:r>
      <w:bookmarkEnd w:id="114"/>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证明服务的合格性和符合招标文件规定的文件</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27"/>
        </w:numPr>
        <w:tabs>
          <w:tab w:val="left" w:pos="784"/>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服务主要内容、方案、质量、标准指标等的详细说明；</w:t>
      </w:r>
    </w:p>
    <w:p>
      <w:pPr>
        <w:numPr>
          <w:ilvl w:val="2"/>
          <w:numId w:val="27"/>
        </w:numPr>
        <w:tabs>
          <w:tab w:val="left" w:pos="770"/>
          <w:tab w:val="clear" w:pos="567"/>
        </w:tabs>
        <w:autoSpaceDE w:val="0"/>
        <w:autoSpaceDN w:val="0"/>
        <w:adjustRightInd w:val="0"/>
        <w:snapToGrid w:val="0"/>
        <w:spacing w:line="360" w:lineRule="auto"/>
        <w:ind w:left="770" w:hanging="770"/>
        <w:rPr>
          <w:rFonts w:ascii="宋体" w:hAns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投标有效期</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投标文件的式样和签署</w:t>
      </w:r>
    </w:p>
    <w:p>
      <w:pPr>
        <w:widowControl/>
        <w:numPr>
          <w:ilvl w:val="1"/>
          <w:numId w:val="27"/>
        </w:numPr>
        <w:adjustRightInd w:val="0"/>
        <w:snapToGrid w:val="0"/>
        <w:spacing w:line="360" w:lineRule="auto"/>
        <w:jc w:val="left"/>
        <w:rPr>
          <w:rFonts w:ascii="宋体" w:hAns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中规定数目的副本，投标文件原则上采用A4纸制做。每套投标文件须清楚地标明“正本”或“副本”。若正本和副本不符，以正本为准。</w:t>
      </w:r>
      <w:bookmarkStart w:id="115"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115"/>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27"/>
        </w:numPr>
        <w:adjustRightInd w:val="0"/>
        <w:snapToGrid w:val="0"/>
        <w:spacing w:line="360" w:lineRule="auto"/>
        <w:jc w:val="left"/>
        <w:rPr>
          <w:rFonts w:ascii="宋体" w:hAnsi="宋体"/>
          <w:szCs w:val="21"/>
        </w:rPr>
      </w:pPr>
      <w:bookmarkStart w:id="116" w:name="_Toc237787560"/>
      <w:r>
        <w:rPr>
          <w:rFonts w:hint="eastAsia" w:ascii="宋体" w:hAnsi="宋体"/>
          <w:szCs w:val="21"/>
        </w:rPr>
        <w:t>投标文件正本须用不褪色墨水书写或打印，由投标人的法定代表人或经其正式授权</w:t>
      </w:r>
      <w:bookmarkEnd w:id="116"/>
      <w:bookmarkStart w:id="117"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117"/>
    </w:p>
    <w:p>
      <w:pPr>
        <w:widowControl/>
        <w:numPr>
          <w:ilvl w:val="1"/>
          <w:numId w:val="27"/>
        </w:numPr>
        <w:adjustRightInd w:val="0"/>
        <w:snapToGrid w:val="0"/>
        <w:spacing w:line="360" w:lineRule="auto"/>
        <w:jc w:val="left"/>
        <w:rPr>
          <w:rFonts w:ascii="宋体" w:hAns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27"/>
        </w:numPr>
        <w:adjustRightInd w:val="0"/>
        <w:snapToGrid w:val="0"/>
        <w:spacing w:line="360" w:lineRule="auto"/>
        <w:jc w:val="left"/>
        <w:rPr>
          <w:rFonts w:ascii="宋体" w:hAnsi="宋体"/>
          <w:b/>
          <w:bCs/>
          <w:szCs w:val="21"/>
        </w:rPr>
      </w:pPr>
      <w:bookmarkStart w:id="118" w:name="_Toc237787563"/>
      <w:r>
        <w:rPr>
          <w:rFonts w:hint="eastAsia" w:ascii="宋体" w:hAnsi="宋体"/>
          <w:b/>
          <w:bCs/>
          <w:szCs w:val="21"/>
        </w:rPr>
        <w:t>投标文件的正本，招标文件中已明示需盖章签名处，均须由投标人加盖投标人公章，并经投标人法定代表人或其正式授权的代表</w:t>
      </w:r>
      <w:bookmarkEnd w:id="118"/>
      <w:bookmarkStart w:id="119" w:name="_Toc237787564"/>
      <w:r>
        <w:rPr>
          <w:rFonts w:hint="eastAsia" w:ascii="宋体" w:hAnsi="宋体"/>
          <w:b/>
          <w:bCs/>
          <w:szCs w:val="21"/>
        </w:rPr>
        <w:t>签署本人姓名或印盖本人姓名章。投标文件副本</w:t>
      </w:r>
      <w:bookmarkEnd w:id="119"/>
      <w:r>
        <w:rPr>
          <w:rFonts w:hint="eastAsia" w:ascii="宋体" w:hAnsi="宋体"/>
          <w:b/>
          <w:bCs/>
          <w:szCs w:val="21"/>
        </w:rPr>
        <w:t>应为正本的复印件。</w:t>
      </w:r>
    </w:p>
    <w:p>
      <w:pPr>
        <w:numPr>
          <w:ilvl w:val="0"/>
          <w:numId w:val="26"/>
        </w:numPr>
        <w:autoSpaceDE w:val="0"/>
        <w:autoSpaceDN w:val="0"/>
        <w:adjustRightInd w:val="0"/>
        <w:snapToGrid w:val="0"/>
        <w:spacing w:before="312" w:beforeLines="100" w:after="312" w:afterLines="100" w:line="360" w:lineRule="auto"/>
        <w:ind w:left="1012" w:hanging="1012" w:hangingChars="360"/>
        <w:jc w:val="center"/>
        <w:outlineLvl w:val="1"/>
        <w:rPr>
          <w:rFonts w:ascii="宋体" w:hAnsi="宋体"/>
          <w:b/>
          <w:sz w:val="28"/>
          <w:szCs w:val="28"/>
          <w:lang w:eastAsia="zh-TW"/>
        </w:rPr>
      </w:pPr>
      <w:bookmarkStart w:id="120" w:name="_Toc435542348"/>
      <w:bookmarkStart w:id="121" w:name="_Toc438223023"/>
      <w:r>
        <w:rPr>
          <w:rFonts w:hint="eastAsia" w:ascii="宋体" w:hAnsi="宋体"/>
          <w:b/>
          <w:sz w:val="28"/>
          <w:szCs w:val="28"/>
          <w:lang w:eastAsia="zh-TW"/>
        </w:rPr>
        <w:t>投标文件的递交</w:t>
      </w:r>
      <w:bookmarkEnd w:id="120"/>
      <w:bookmarkEnd w:id="121"/>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投标文件的密封和标记</w:t>
      </w:r>
    </w:p>
    <w:p>
      <w:pPr>
        <w:widowControl/>
        <w:numPr>
          <w:ilvl w:val="1"/>
          <w:numId w:val="27"/>
        </w:numPr>
        <w:adjustRightInd w:val="0"/>
        <w:snapToGrid w:val="0"/>
        <w:spacing w:line="360" w:lineRule="auto"/>
        <w:jc w:val="left"/>
        <w:rPr>
          <w:rFonts w:ascii="宋体" w:hAnsi="宋体" w:cs="黑体"/>
          <w:bCs/>
          <w:szCs w:val="21"/>
        </w:rPr>
      </w:pPr>
      <w:r>
        <w:rPr>
          <w:rFonts w:hint="eastAsia" w:ascii="宋体" w:hAnsi="宋体"/>
          <w:szCs w:val="21"/>
        </w:rPr>
        <w:t>为方便开标时唱标，投标人应将投标文件正本和所有的副本分开密封装在单独的信封中，且在信封上标明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w:t>
      </w:r>
    </w:p>
    <w:p>
      <w:pPr>
        <w:widowControl/>
        <w:numPr>
          <w:ilvl w:val="1"/>
          <w:numId w:val="27"/>
        </w:numPr>
        <w:adjustRightInd w:val="0"/>
        <w:snapToGrid w:val="0"/>
        <w:spacing w:line="360" w:lineRule="auto"/>
        <w:jc w:val="left"/>
        <w:rPr>
          <w:rFonts w:ascii="宋体" w:hAnsi="宋体"/>
          <w:szCs w:val="21"/>
        </w:rPr>
      </w:pPr>
      <w:bookmarkStart w:id="122" w:name="_Toc237787569"/>
      <w:r>
        <w:rPr>
          <w:rFonts w:hint="eastAsia" w:ascii="宋体" w:hAnsi="宋体"/>
          <w:szCs w:val="21"/>
        </w:rPr>
        <w:t>内外层信封均应</w:t>
      </w:r>
      <w:bookmarkEnd w:id="122"/>
      <w:r>
        <w:rPr>
          <w:rFonts w:hint="eastAsia" w:ascii="宋体" w:hAnsi="宋体" w:cs="宋体"/>
          <w:szCs w:val="21"/>
        </w:rPr>
        <w:t>：</w:t>
      </w:r>
    </w:p>
    <w:p>
      <w:pPr>
        <w:widowControl/>
        <w:numPr>
          <w:ilvl w:val="2"/>
          <w:numId w:val="27"/>
        </w:numPr>
        <w:adjustRightInd w:val="0"/>
        <w:snapToGrid w:val="0"/>
        <w:spacing w:line="360" w:lineRule="auto"/>
        <w:jc w:val="left"/>
        <w:rPr>
          <w:rFonts w:ascii="宋体" w:hAnsi="宋体"/>
          <w:szCs w:val="21"/>
        </w:rPr>
      </w:pPr>
      <w:r>
        <w:rPr>
          <w:rFonts w:hint="eastAsia" w:ascii="宋体" w:hAnsi="宋体"/>
          <w:szCs w:val="21"/>
        </w:rPr>
        <w:t>清楚注明递交至投标邀请函中指明的地址；</w:t>
      </w:r>
    </w:p>
    <w:p>
      <w:pPr>
        <w:widowControl/>
        <w:numPr>
          <w:ilvl w:val="2"/>
          <w:numId w:val="27"/>
        </w:numPr>
        <w:tabs>
          <w:tab w:val="clear" w:pos="567"/>
        </w:tabs>
        <w:adjustRightInd w:val="0"/>
        <w:snapToGrid w:val="0"/>
        <w:spacing w:line="360" w:lineRule="auto"/>
        <w:ind w:left="851" w:hanging="851"/>
        <w:jc w:val="left"/>
        <w:rPr>
          <w:rFonts w:ascii="宋体" w:hAnsi="宋体"/>
          <w:szCs w:val="21"/>
        </w:rPr>
      </w:pPr>
      <w:bookmarkStart w:id="123"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123"/>
      <w:bookmarkStart w:id="124" w:name="_Toc237787572"/>
      <w:r>
        <w:rPr>
          <w:rFonts w:hint="eastAsia" w:ascii="宋体" w:hAnsi="宋体"/>
          <w:szCs w:val="21"/>
        </w:rPr>
        <w:t>的字样，并填入投标邀请函中规定的开标日期和时间</w:t>
      </w:r>
      <w:bookmarkEnd w:id="124"/>
      <w:r>
        <w:rPr>
          <w:rFonts w:hint="eastAsia" w:ascii="宋体" w:hAnsi="宋体"/>
          <w:szCs w:val="21"/>
        </w:rPr>
        <w:t>；</w:t>
      </w:r>
    </w:p>
    <w:p>
      <w:pPr>
        <w:widowControl/>
        <w:numPr>
          <w:ilvl w:val="2"/>
          <w:numId w:val="27"/>
        </w:numPr>
        <w:tabs>
          <w:tab w:val="clear" w:pos="567"/>
        </w:tabs>
        <w:adjustRightInd w:val="0"/>
        <w:snapToGrid w:val="0"/>
        <w:spacing w:line="360" w:lineRule="auto"/>
        <w:ind w:left="851" w:hanging="851"/>
        <w:jc w:val="left"/>
        <w:rPr>
          <w:rFonts w:ascii="宋体" w:hAnsi="宋体"/>
          <w:szCs w:val="21"/>
        </w:rPr>
      </w:pPr>
      <w:bookmarkStart w:id="125" w:name="_Toc237787573"/>
      <w:r>
        <w:rPr>
          <w:rFonts w:hint="eastAsia" w:ascii="宋体" w:hAnsi="宋体"/>
          <w:szCs w:val="21"/>
        </w:rPr>
        <w:t>内层信封应写明投标人名称和地址，以便将迟交的投标文件能原封</w:t>
      </w:r>
      <w:bookmarkEnd w:id="125"/>
      <w:bookmarkStart w:id="126" w:name="_Toc237787574"/>
      <w:r>
        <w:rPr>
          <w:rFonts w:hint="eastAsia" w:ascii="宋体" w:hAnsi="宋体"/>
          <w:szCs w:val="21"/>
        </w:rPr>
        <w:t>退回。</w:t>
      </w:r>
      <w:bookmarkEnd w:id="126"/>
    </w:p>
    <w:p>
      <w:pPr>
        <w:widowControl/>
        <w:numPr>
          <w:ilvl w:val="2"/>
          <w:numId w:val="27"/>
        </w:numPr>
        <w:tabs>
          <w:tab w:val="clear" w:pos="567"/>
        </w:tabs>
        <w:adjustRightInd w:val="0"/>
        <w:snapToGrid w:val="0"/>
        <w:spacing w:line="360" w:lineRule="auto"/>
        <w:ind w:left="851" w:hanging="851"/>
        <w:jc w:val="left"/>
        <w:rPr>
          <w:rFonts w:ascii="宋体" w:hAnsi="宋体"/>
          <w:szCs w:val="21"/>
        </w:rPr>
      </w:pPr>
      <w:bookmarkStart w:id="127" w:name="_Toc237787575"/>
      <w:r>
        <w:rPr>
          <w:rFonts w:hint="eastAsia" w:ascii="宋体" w:hAnsi="宋体"/>
          <w:szCs w:val="21"/>
        </w:rPr>
        <w:t>如果外层信封未按本须知的要求加写标记，采购人和采购代理机构</w:t>
      </w:r>
      <w:bookmarkEnd w:id="127"/>
      <w:bookmarkStart w:id="128" w:name="_Toc237787576"/>
      <w:r>
        <w:rPr>
          <w:rFonts w:hint="eastAsia" w:ascii="宋体" w:hAnsi="宋体"/>
          <w:szCs w:val="21"/>
        </w:rPr>
        <w:t>对误投或提前启封概不负责</w:t>
      </w:r>
      <w:bookmarkEnd w:id="128"/>
      <w:r>
        <w:rPr>
          <w:rFonts w:hint="eastAsia" w:ascii="宋体" w:hAnsi="宋体" w:cs="宋体"/>
          <w:szCs w:val="21"/>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投标截止期</w:t>
      </w:r>
    </w:p>
    <w:p>
      <w:pPr>
        <w:numPr>
          <w:ilvl w:val="1"/>
          <w:numId w:val="27"/>
        </w:numPr>
        <w:autoSpaceDE w:val="0"/>
        <w:autoSpaceDN w:val="0"/>
        <w:adjustRightInd w:val="0"/>
        <w:snapToGrid w:val="0"/>
        <w:spacing w:line="360" w:lineRule="auto"/>
        <w:rPr>
          <w:rFonts w:ascii="宋体" w:hAns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投标文件的修改和撤回、撤销</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27"/>
        </w:numPr>
        <w:autoSpaceDE w:val="0"/>
        <w:autoSpaceDN w:val="0"/>
        <w:adjustRightInd w:val="0"/>
        <w:snapToGrid w:val="0"/>
        <w:spacing w:line="360" w:lineRule="auto"/>
        <w:rPr>
          <w:rFonts w:ascii="宋体" w:hAnsi="宋体" w:cs="宋体"/>
          <w:szCs w:val="21"/>
          <w:lang w:eastAsia="zh-TW"/>
        </w:rPr>
      </w:pPr>
      <w:bookmarkStart w:id="129" w:name="_Toc237787597"/>
      <w:r>
        <w:rPr>
          <w:rFonts w:hint="eastAsia" w:ascii="宋体" w:hAnsi="宋体" w:cs="宋体"/>
          <w:szCs w:val="21"/>
          <w:lang w:eastAsia="zh-TW"/>
        </w:rPr>
        <w:t>从投标截止时间至投标人在投标文件中确定的投标有效期期满这段时间内，投标人不</w:t>
      </w:r>
      <w:bookmarkEnd w:id="129"/>
      <w:bookmarkStart w:id="130" w:name="_Toc237787598"/>
      <w:r>
        <w:rPr>
          <w:rFonts w:hint="eastAsia" w:ascii="宋体" w:hAnsi="宋体" w:cs="宋体"/>
          <w:szCs w:val="21"/>
          <w:lang w:eastAsia="zh-TW"/>
        </w:rPr>
        <w:t>得撤销其投标</w:t>
      </w:r>
      <w:r>
        <w:rPr>
          <w:rFonts w:hint="eastAsia" w:ascii="宋体" w:hAnsi="宋体" w:cs="宋体"/>
          <w:szCs w:val="21"/>
        </w:rPr>
        <w:t>文件</w:t>
      </w:r>
      <w:bookmarkEnd w:id="130"/>
      <w:r>
        <w:rPr>
          <w:rFonts w:hint="eastAsia" w:ascii="宋体" w:hAnsi="宋体" w:cs="宋体"/>
          <w:szCs w:val="21"/>
        </w:rPr>
        <w:t>。</w:t>
      </w:r>
    </w:p>
    <w:p>
      <w:pPr>
        <w:numPr>
          <w:ilvl w:val="0"/>
          <w:numId w:val="26"/>
        </w:numPr>
        <w:autoSpaceDE w:val="0"/>
        <w:autoSpaceDN w:val="0"/>
        <w:adjustRightInd w:val="0"/>
        <w:snapToGrid w:val="0"/>
        <w:spacing w:before="312" w:beforeLines="100" w:after="312" w:afterLines="100" w:line="360" w:lineRule="auto"/>
        <w:ind w:left="1012" w:hanging="1012" w:hangingChars="360"/>
        <w:jc w:val="center"/>
        <w:outlineLvl w:val="1"/>
        <w:rPr>
          <w:rFonts w:ascii="宋体" w:hAnsi="宋体"/>
          <w:b/>
          <w:sz w:val="28"/>
          <w:szCs w:val="28"/>
          <w:lang w:eastAsia="zh-TW"/>
        </w:rPr>
      </w:pPr>
      <w:bookmarkStart w:id="131" w:name="_Toc435542349"/>
      <w:bookmarkStart w:id="132" w:name="_Toc438223024"/>
      <w:r>
        <w:rPr>
          <w:rFonts w:hint="eastAsia" w:ascii="宋体" w:hAnsi="宋体"/>
          <w:b/>
          <w:sz w:val="28"/>
          <w:szCs w:val="28"/>
          <w:lang w:eastAsia="zh-TW"/>
        </w:rPr>
        <w:t>开标与评标</w:t>
      </w:r>
      <w:bookmarkEnd w:id="131"/>
      <w:bookmarkEnd w:id="132"/>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开标</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评标委员会</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27"/>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评标委员会中，同一任职单位评审专家超过二名的；</w:t>
      </w:r>
    </w:p>
    <w:p>
      <w:pPr>
        <w:numPr>
          <w:ilvl w:val="2"/>
          <w:numId w:val="27"/>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27"/>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参加采购活动前3年内与供应商存在劳动关系；</w:t>
      </w:r>
    </w:p>
    <w:p>
      <w:pPr>
        <w:numPr>
          <w:ilvl w:val="2"/>
          <w:numId w:val="27"/>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参加采购活动前3年内担任供应商的董事、监事；</w:t>
      </w:r>
    </w:p>
    <w:p>
      <w:pPr>
        <w:numPr>
          <w:ilvl w:val="2"/>
          <w:numId w:val="27"/>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参加采购活动前3年内是供应商的控股股东或者实际控制人；</w:t>
      </w:r>
    </w:p>
    <w:p>
      <w:pPr>
        <w:numPr>
          <w:ilvl w:val="2"/>
          <w:numId w:val="27"/>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27"/>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27"/>
        </w:numPr>
        <w:autoSpaceDE w:val="0"/>
        <w:autoSpaceDN w:val="0"/>
        <w:adjustRightInd w:val="0"/>
        <w:snapToGrid w:val="0"/>
        <w:spacing w:line="360" w:lineRule="auto"/>
        <w:rPr>
          <w:rFonts w:ascii="宋体" w:hAnsi="宋体" w:cs="宋体"/>
          <w:szCs w:val="21"/>
          <w:lang w:eastAsia="zh-TW"/>
        </w:rPr>
      </w:pPr>
      <w:bookmarkStart w:id="133"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133"/>
      <w:r>
        <w:rPr>
          <w:rFonts w:hint="eastAsia" w:ascii="宋体" w:hAnsi="宋体" w:cs="宋体"/>
          <w:szCs w:val="21"/>
          <w:lang w:eastAsia="zh-TW"/>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评标方法</w:t>
      </w:r>
    </w:p>
    <w:p>
      <w:pPr>
        <w:numPr>
          <w:ilvl w:val="1"/>
          <w:numId w:val="27"/>
        </w:numPr>
        <w:autoSpaceDE w:val="0"/>
        <w:autoSpaceDN w:val="0"/>
        <w:adjustRightInd w:val="0"/>
        <w:snapToGrid w:val="0"/>
        <w:spacing w:line="360" w:lineRule="auto"/>
        <w:rPr>
          <w:rFonts w:ascii="宋体" w:hAnsi="宋体"/>
          <w:szCs w:val="21"/>
        </w:rPr>
      </w:pPr>
      <w:bookmarkStart w:id="134"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134"/>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27"/>
        </w:numPr>
        <w:adjustRightInd w:val="0"/>
        <w:snapToGrid w:val="0"/>
        <w:spacing w:line="360" w:lineRule="auto"/>
        <w:jc w:val="left"/>
        <w:rPr>
          <w:rFonts w:ascii="宋体" w:hAns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27"/>
        </w:numPr>
        <w:adjustRightInd w:val="0"/>
        <w:snapToGrid w:val="0"/>
        <w:spacing w:line="360" w:lineRule="auto"/>
        <w:jc w:val="left"/>
        <w:rPr>
          <w:rFonts w:ascii="宋体" w:hAns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投标文件的初审</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审查投标文件是否完整、文件签署是否合格、投标有效期是否满足要求、有无计算</w:t>
      </w:r>
      <w:r>
        <w:rPr>
          <w:rFonts w:hint="eastAsia" w:ascii="宋体" w:hAnsi="宋体" w:cs="宋体"/>
          <w:szCs w:val="21"/>
        </w:rPr>
        <w:t>上</w:t>
      </w:r>
      <w:r>
        <w:rPr>
          <w:rFonts w:hint="eastAsia" w:ascii="宋体" w:hAnsi="宋体" w:cs="宋体"/>
          <w:szCs w:val="21"/>
          <w:lang w:eastAsia="zh-TW"/>
        </w:rPr>
        <w:t>的错误等。</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2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27"/>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投标文件的澄清</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投标人的澄清文件是其投标文件的组成部分。</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投标文件详细评价</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2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 评分体系与标准”</w:t>
      </w:r>
      <w:r>
        <w:rPr>
          <w:rFonts w:hint="eastAsia" w:ascii="宋体" w:hAnsi="宋体" w:cs="宋体"/>
          <w:szCs w:val="21"/>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授标与定标原则</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，按下列顺序比较确定：（1）节能产品；（2）环保产品；如以上都相同的，名次由评标委员会抽签确定。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27"/>
        </w:numPr>
        <w:autoSpaceDE w:val="0"/>
        <w:autoSpaceDN w:val="0"/>
        <w:adjustRightInd w:val="0"/>
        <w:snapToGrid w:val="0"/>
        <w:spacing w:line="360" w:lineRule="auto"/>
        <w:rPr>
          <w:rFonts w:ascii="宋体" w:hAnsi="宋体" w:cs="宋体"/>
          <w:szCs w:val="21"/>
          <w:lang w:eastAsia="zh-TW"/>
        </w:rPr>
      </w:pPr>
      <w:r>
        <w:rPr>
          <w:rFonts w:ascii="宋体" w:hAnsi="宋体"/>
          <w:szCs w:val="21"/>
        </w:rPr>
        <w:t>评标委员会提</w:t>
      </w:r>
      <w:r>
        <w:rPr>
          <w:rFonts w:hint="eastAsia" w:ascii="宋体" w:hAnsi="宋体"/>
          <w:szCs w:val="21"/>
        </w:rPr>
        <w:t>交</w:t>
      </w:r>
      <w:r>
        <w:rPr>
          <w:rFonts w:ascii="宋体" w:hAnsi="宋体"/>
          <w:szCs w:val="21"/>
        </w:rPr>
        <w:t>评</w:t>
      </w:r>
      <w:r>
        <w:rPr>
          <w:rFonts w:hint="eastAsia" w:ascii="宋体" w:hAnsi="宋体"/>
          <w:szCs w:val="21"/>
        </w:rPr>
        <w:t>标</w:t>
      </w:r>
      <w:r>
        <w:rPr>
          <w:rFonts w:ascii="宋体" w:hAnsi="宋体"/>
          <w:szCs w:val="21"/>
        </w:rPr>
        <w:t>报告和推荐中标意见报</w:t>
      </w:r>
      <w:r>
        <w:rPr>
          <w:rFonts w:hint="eastAsia" w:ascii="宋体" w:hAnsi="宋体"/>
          <w:szCs w:val="21"/>
        </w:rPr>
        <w:t>采购</w:t>
      </w:r>
      <w:r>
        <w:rPr>
          <w:rFonts w:ascii="宋体" w:hAnsi="宋体"/>
          <w:szCs w:val="21"/>
        </w:rPr>
        <w:t>人</w:t>
      </w:r>
      <w:r>
        <w:rPr>
          <w:rFonts w:hint="eastAsia" w:ascii="宋体" w:hAnsi="宋体"/>
          <w:szCs w:val="21"/>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szCs w:val="21"/>
        </w:rPr>
        <w:t>发</w:t>
      </w:r>
      <w:r>
        <w:rPr>
          <w:rFonts w:hint="eastAsia" w:ascii="宋体" w:hAnsi="宋体"/>
          <w:szCs w:val="21"/>
        </w:rPr>
        <w:t>布中标公告。不在中标名单之列者即为未中标人，采购代理机构不再以其他方式另行通知。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27"/>
        </w:numPr>
        <w:autoSpaceDE w:val="0"/>
        <w:autoSpaceDN w:val="0"/>
        <w:adjustRightInd w:val="0"/>
        <w:snapToGrid w:val="0"/>
        <w:spacing w:line="360" w:lineRule="auto"/>
        <w:rPr>
          <w:rFonts w:ascii="宋体" w:hAnsi="宋体"/>
          <w:b/>
          <w:bCs/>
          <w:szCs w:val="21"/>
        </w:rPr>
      </w:pPr>
      <w:r>
        <w:rPr>
          <w:rFonts w:hint="eastAsia" w:ascii="宋体" w:hAnsi="宋体"/>
          <w:szCs w:val="21"/>
        </w:rPr>
        <w:t>按约定提交原件的，报监管部门核实后按虚假应标处理。</w:t>
      </w:r>
    </w:p>
    <w:p>
      <w:pPr>
        <w:numPr>
          <w:ilvl w:val="1"/>
          <w:numId w:val="27"/>
        </w:numPr>
        <w:autoSpaceDE w:val="0"/>
        <w:autoSpaceDN w:val="0"/>
        <w:adjustRightInd w:val="0"/>
        <w:snapToGrid w:val="0"/>
        <w:spacing w:line="360" w:lineRule="auto"/>
        <w:rPr>
          <w:rFonts w:ascii="宋体" w:hAns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27"/>
        </w:numPr>
        <w:autoSpaceDE w:val="0"/>
        <w:autoSpaceDN w:val="0"/>
        <w:adjustRightInd w:val="0"/>
        <w:snapToGrid w:val="0"/>
        <w:spacing w:line="360" w:lineRule="auto"/>
        <w:ind w:left="449" w:hanging="449" w:hangingChars="213"/>
        <w:outlineLvl w:val="2"/>
        <w:rPr>
          <w:rFonts w:ascii="宋体" w:hAnsi="宋体"/>
          <w:b/>
          <w:szCs w:val="21"/>
        </w:rPr>
      </w:pPr>
      <w:r>
        <w:rPr>
          <w:rFonts w:ascii="宋体" w:hAnsi="宋体"/>
          <w:b/>
          <w:szCs w:val="21"/>
        </w:rPr>
        <w:t>废标</w:t>
      </w:r>
    </w:p>
    <w:p>
      <w:pPr>
        <w:numPr>
          <w:ilvl w:val="1"/>
          <w:numId w:val="27"/>
        </w:numPr>
        <w:autoSpaceDE w:val="0"/>
        <w:autoSpaceDN w:val="0"/>
        <w:adjustRightInd w:val="0"/>
        <w:snapToGrid w:val="0"/>
        <w:spacing w:line="360" w:lineRule="auto"/>
        <w:rPr>
          <w:rFonts w:ascii="宋体" w:hAnsi="宋体"/>
          <w:b/>
          <w:szCs w:val="21"/>
        </w:rPr>
      </w:pPr>
      <w:r>
        <w:rPr>
          <w:rFonts w:ascii="宋体" w:hAnsi="宋体"/>
          <w:b/>
          <w:szCs w:val="21"/>
        </w:rPr>
        <w:t>在招标采购中，出现下列情形之一的，应予废标</w:t>
      </w:r>
      <w:r>
        <w:rPr>
          <w:rFonts w:hint="eastAsia" w:ascii="宋体" w:hAnsi="宋体"/>
          <w:b/>
          <w:szCs w:val="21"/>
        </w:rPr>
        <w:t>。</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出现影响采购公正的违法、违规行为的；</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投标人的报价均超过了采购预算，采购人不能支付的；</w:t>
      </w:r>
    </w:p>
    <w:p>
      <w:pPr>
        <w:numPr>
          <w:ilvl w:val="2"/>
          <w:numId w:val="27"/>
        </w:numPr>
        <w:tabs>
          <w:tab w:val="left" w:pos="851"/>
        </w:tabs>
        <w:autoSpaceDE w:val="0"/>
        <w:autoSpaceDN w:val="0"/>
        <w:adjustRightInd w:val="0"/>
        <w:snapToGrid w:val="0"/>
        <w:spacing w:line="360" w:lineRule="auto"/>
        <w:rPr>
          <w:rFonts w:ascii="宋体" w:hAnsi="宋体"/>
          <w:szCs w:val="21"/>
        </w:rPr>
      </w:pPr>
      <w:r>
        <w:rPr>
          <w:rFonts w:ascii="宋体" w:hAnsi="宋体"/>
          <w:szCs w:val="21"/>
        </w:rPr>
        <w:t>因重大变故，采购任务取消的</w:t>
      </w:r>
      <w:r>
        <w:rPr>
          <w:rFonts w:hint="eastAsia" w:ascii="宋体" w:hAnsi="宋体"/>
          <w:szCs w:val="21"/>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询问、质疑、投诉</w:t>
      </w:r>
    </w:p>
    <w:p>
      <w:pPr>
        <w:adjustRightInd w:val="0"/>
        <w:snapToGrid w:val="0"/>
        <w:spacing w:line="360" w:lineRule="auto"/>
        <w:jc w:val="left"/>
        <w:rPr>
          <w:rFonts w:ascii="宋体" w:hAnsi="宋体" w:cs="宋体"/>
          <w:bCs/>
          <w:kern w:val="0"/>
          <w:szCs w:val="21"/>
        </w:rPr>
      </w:pPr>
      <w:bookmarkStart w:id="135" w:name="_Toc435542350"/>
      <w:bookmarkStart w:id="136" w:name="_Toc438223025"/>
      <w:r>
        <w:rPr>
          <w:rFonts w:hint="eastAsia" w:ascii="宋体" w:hAnsi="宋体" w:cs="宋体"/>
          <w:bCs/>
          <w:kern w:val="0"/>
          <w:szCs w:val="21"/>
        </w:rPr>
        <w:t xml:space="preserve"> 询问</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 质疑供应商认为采购文件、采购过程或采购结果使自己的权益受到损害的，以书面形式向采购人或采购代理机构书面提出质疑。质疑应当依法给与答复，并将结果告知有关当事人。我司处理质疑的依据是国家相关法律法规以及《广东省政府采购工作规范（试行）》第十一章，程序阐释如下：</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质疑处理遵循公平、公正、规范、高效的原则。</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供应商质疑实行实名制和“谁质疑，谁举证”的原则，质疑应有具体的事项及事实根据。</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质疑应以书面形式在规定时间内一次性全部提出，供应商认为采购文件、采购过程和中标或者成交结果使自己的权益受到损害的，可以在知道或者应知其损益受到损害之日起七个工作日内提出质疑。</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供应商质疑应符合下列条件：</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(1) 提供质疑的项目名称及其采购编号、质疑供应商的单位名称、详细地址、邮政编码、联系人及联系电话、日期等基本情况。质疑文件必须由法定代表人签署，并加盖单位公章，提交质疑书原件(传真件恕不受理)。若非法定代表人亲自提交的，则须提供法定代表人授权委托书。</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(2) 有质疑的具体事项、请求及理由，并附相关证据材料，所依据的有关法律、法规、规章的名称及条款内容。</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(3) 质疑材料中有外文资料的，应一并附上中文译本，并以中文译本为准。</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(4) 质疑事项属于有关法律、法规和规章规定处于保密阶段的事项，质疑的当事人应当提供信息来源或有效证据。</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（5）参与了所质疑项目的政府采购活动。</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不符合上述条件的，采购代理机构不予受理。</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采购代理机构受理质疑办理程序：</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(1) 采购代理机构应当在收到质疑书原件的当日与质疑人办理签收手续。</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(2) 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(3) 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(4) 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(5) 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(6) 在质疑处理期间，采购代理机构视情形可以依法决定暂停采购活动。</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(7) 采购代理机构原则上在质疑受理之日起七个工作日内书面答复质疑供应商。答复函可以直接领取、传真或邮寄方式均视为有效送达。</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供应商向采购代理机构提出质疑后，在质疑处理期限内，不得同时向其他部门提起同一质疑。质疑供应商如已就同一事项提起投诉、提请行政复议或诉讼的，质疑程序终止。</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采购单位、评标专家和相关供应商等当事人应积极配合采购代理机构进行质疑调查，如实反映情况，及时提供证明材料。</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质疑人拒绝配合采购代理机构依法进行调查的，按自动撤回质疑处理；被质疑人在规定时限内，无正当理由未提交相关证据和其他有关材料的，视同放弃说明权利，认可质疑事项。</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质疑供应商有下列情形之一的，属于虚假、恶意质疑：</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(1) 捏造事实或提供虚假证明材料的；</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(2) 假冒他人名义进行质疑的；</w:t>
      </w:r>
    </w:p>
    <w:p>
      <w:pPr>
        <w:adjustRightInd w:val="0"/>
        <w:snapToGrid w:val="0"/>
        <w:spacing w:line="360" w:lineRule="auto"/>
        <w:jc w:val="left"/>
        <w:rPr>
          <w:rFonts w:ascii="宋体" w:hAnsi="宋体" w:cs="宋体"/>
          <w:kern w:val="0"/>
          <w:szCs w:val="21"/>
        </w:rPr>
      </w:pPr>
      <w:r>
        <w:rPr>
          <w:rFonts w:hint="eastAsia" w:ascii="宋体" w:hAnsi="宋体" w:cs="宋体"/>
          <w:kern w:val="0"/>
          <w:szCs w:val="21"/>
        </w:rPr>
        <w:t>(3) 拒不配合进行有关调查、情节严重的。</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在供应商质疑受理调查期间，相关信息或材料文件的传递，采购代理机构、质疑人、被质疑人以及相关当事人应当采用书面形式，并办理有关签收手续。</w:t>
      </w:r>
    </w:p>
    <w:p>
      <w:pPr>
        <w:numPr>
          <w:ilvl w:val="2"/>
          <w:numId w:val="27"/>
        </w:numPr>
        <w:tabs>
          <w:tab w:val="left" w:pos="851"/>
        </w:tabs>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一年内同一供应商同一行业内有三次无效质疑的列入黑名单，并呈报监管部门处理。</w:t>
      </w:r>
    </w:p>
    <w:p>
      <w:pPr>
        <w:numPr>
          <w:ilvl w:val="0"/>
          <w:numId w:val="26"/>
        </w:numPr>
        <w:autoSpaceDE w:val="0"/>
        <w:autoSpaceDN w:val="0"/>
        <w:adjustRightInd w:val="0"/>
        <w:snapToGrid w:val="0"/>
        <w:spacing w:before="312" w:beforeLines="100" w:after="312"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授予合同</w:t>
      </w:r>
      <w:bookmarkEnd w:id="135"/>
      <w:bookmarkEnd w:id="136"/>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bookmarkStart w:id="137" w:name="_Toc237787628"/>
      <w:r>
        <w:rPr>
          <w:rFonts w:hint="eastAsia" w:ascii="宋体" w:hAnsi="宋体"/>
          <w:b/>
          <w:bCs/>
          <w:szCs w:val="21"/>
        </w:rPr>
        <w:t>中标人的确定</w:t>
      </w:r>
      <w:bookmarkEnd w:id="137"/>
    </w:p>
    <w:p>
      <w:pPr>
        <w:numPr>
          <w:ilvl w:val="1"/>
          <w:numId w:val="27"/>
        </w:numPr>
        <w:autoSpaceDE w:val="0"/>
        <w:autoSpaceDN w:val="0"/>
        <w:adjustRightInd w:val="0"/>
        <w:snapToGrid w:val="0"/>
        <w:spacing w:line="360" w:lineRule="auto"/>
        <w:rPr>
          <w:rFonts w:ascii="宋体" w:hAnsi="宋体" w:cs="宋体"/>
          <w:szCs w:val="21"/>
          <w:lang w:eastAsia="zh-TW"/>
        </w:rPr>
      </w:pPr>
      <w:bookmarkStart w:id="138" w:name="_Toc237787629"/>
      <w:r>
        <w:rPr>
          <w:rFonts w:hint="eastAsia" w:ascii="宋体" w:hAnsi="宋体" w:cs="宋体"/>
          <w:szCs w:val="21"/>
          <w:lang w:eastAsia="zh-TW"/>
        </w:rPr>
        <w:t>采购人根据评标委员会提出的书面评标报告和推荐的中标候选人确定中标人。</w:t>
      </w:r>
      <w:bookmarkEnd w:id="138"/>
      <w:r>
        <w:rPr>
          <w:rFonts w:hint="eastAsia" w:ascii="宋体" w:hAnsi="宋体" w:cs="宋体"/>
          <w:szCs w:val="21"/>
          <w:lang w:eastAsia="zh-TW"/>
        </w:rPr>
        <w:t>采购人也可以授权评标委员会直接确定中标人。</w:t>
      </w:r>
    </w:p>
    <w:p>
      <w:pPr>
        <w:numPr>
          <w:ilvl w:val="1"/>
          <w:numId w:val="27"/>
        </w:numPr>
        <w:autoSpaceDE w:val="0"/>
        <w:autoSpaceDN w:val="0"/>
        <w:adjustRightInd w:val="0"/>
        <w:snapToGrid w:val="0"/>
        <w:spacing w:line="360" w:lineRule="auto"/>
        <w:rPr>
          <w:rFonts w:ascii="宋体" w:hAnsi="宋体" w:cs="宋体"/>
          <w:szCs w:val="21"/>
          <w:lang w:eastAsia="zh-TW"/>
        </w:rPr>
      </w:pPr>
      <w:bookmarkStart w:id="139" w:name="_Toc237787633"/>
      <w:r>
        <w:rPr>
          <w:rFonts w:hint="eastAsia" w:ascii="宋体" w:hAnsi="宋体" w:cs="宋体"/>
          <w:szCs w:val="21"/>
          <w:lang w:eastAsia="zh-TW"/>
        </w:rPr>
        <w:t>确认后采购代理机构将在刊登本项目招标公告的法定媒体上发布中标公告。</w:t>
      </w:r>
      <w:bookmarkEnd w:id="139"/>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中标通知书</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中标公告发布的同时，采购代理机构以书面形式向中标人发出</w:t>
      </w:r>
      <w:bookmarkStart w:id="140"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40"/>
    </w:p>
    <w:p>
      <w:pPr>
        <w:numPr>
          <w:ilvl w:val="1"/>
          <w:numId w:val="27"/>
        </w:numPr>
        <w:autoSpaceDE w:val="0"/>
        <w:autoSpaceDN w:val="0"/>
        <w:adjustRightInd w:val="0"/>
        <w:snapToGrid w:val="0"/>
        <w:spacing w:line="360" w:lineRule="auto"/>
        <w:rPr>
          <w:rFonts w:ascii="宋体" w:hAnsi="宋体" w:cs="宋体"/>
          <w:szCs w:val="21"/>
          <w:lang w:eastAsia="zh-TW"/>
        </w:rPr>
      </w:pPr>
      <w:bookmarkStart w:id="141" w:name="_Toc237787646"/>
      <w:r>
        <w:rPr>
          <w:rFonts w:hint="eastAsia" w:ascii="宋体" w:hAnsi="宋体" w:cs="宋体"/>
          <w:szCs w:val="21"/>
          <w:lang w:eastAsia="zh-TW"/>
        </w:rPr>
        <w:t>《中标通知书》发出后，采购人改变中标结果，或者中标人放弃中标的，均应承担相应的法律责任。</w:t>
      </w:r>
      <w:bookmarkEnd w:id="141"/>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合同的订立</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招标采购单位不得向中标人提出任何不合理的要求，作为签订合同的条件，不得与中标人私下订立背离合同实质性内容的协议。 </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27"/>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合同的履行</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27"/>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27"/>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招标代理服务费</w:t>
      </w:r>
    </w:p>
    <w:p>
      <w:pPr>
        <w:ind w:firstLine="420" w:firstLineChars="200"/>
        <w:rPr>
          <w:rFonts w:ascii="宋体" w:hAnsi="宋体"/>
          <w:szCs w:val="21"/>
        </w:rPr>
      </w:pPr>
      <w:r>
        <w:rPr>
          <w:rFonts w:hint="eastAsia" w:ascii="宋体" w:hAnsi="宋体"/>
          <w:szCs w:val="21"/>
        </w:rPr>
        <w:t xml:space="preserve">本项目招标服务费，按国家发展计划委员会颁发的[2002]1980 号文《招标代理服务收费管理暂行办法》及[2011]534 号文《国家发改委关于降低部分建设项目收费标准规范收费行为等有关问题的通知》的有关规定执行，具体如下： </w:t>
      </w:r>
    </w:p>
    <w:p>
      <w:pPr>
        <w:ind w:firstLine="420" w:firstLineChars="200"/>
        <w:rPr>
          <w:rFonts w:ascii="宋体" w:hAnsi="宋体"/>
          <w:szCs w:val="21"/>
        </w:rPr>
      </w:pPr>
      <w:r>
        <w:rPr>
          <w:rFonts w:hint="eastAsia" w:ascii="宋体" w:hAnsi="宋体"/>
          <w:szCs w:val="21"/>
        </w:rPr>
        <w:t>招标代理服务收费按差额定率累进法计算，以中标通知书中确定的中标金额作为收费的计算依据。该项目中标服务费按国家计委[计价格[2002]1980号]文服务招标代理服务收费标准差额定率累进法计算后收取（根据穗招代理协[2017]3号文规定，不分工程、服务、货物招标，统一为不足 1 万元的按 1 万元计算。）本项目的招标服务费执行以下价格；</w:t>
      </w:r>
    </w:p>
    <w:p>
      <w:pPr>
        <w:ind w:firstLine="420" w:firstLineChars="20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中标金额的各部分费率如下表：</w:t>
      </w:r>
    </w:p>
    <w:tbl>
      <w:tblPr>
        <w:tblStyle w:val="17"/>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201"/>
        <w:gridCol w:w="1776"/>
        <w:gridCol w:w="1777"/>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9" w:hRule="atLeast"/>
          <w:jc w:val="center"/>
        </w:trPr>
        <w:tc>
          <w:tcPr>
            <w:tcW w:w="32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mc:AlternateContent>
                <mc:Choice Requires="wps">
                  <w:drawing>
                    <wp:anchor distT="0" distB="0" distL="114300" distR="114300" simplePos="0" relativeHeight="251655168" behindDoc="0" locked="0" layoutInCell="1" allowOverlap="1">
                      <wp:simplePos x="0" y="0"/>
                      <wp:positionH relativeFrom="column">
                        <wp:posOffset>-64770</wp:posOffset>
                      </wp:positionH>
                      <wp:positionV relativeFrom="paragraph">
                        <wp:posOffset>283845</wp:posOffset>
                      </wp:positionV>
                      <wp:extent cx="2099945" cy="635"/>
                      <wp:effectExtent l="0" t="276225" r="0" b="294640"/>
                      <wp:wrapNone/>
                      <wp:docPr id="2" name="直接连接符 1"/>
                      <wp:cNvGraphicFramePr/>
                      <a:graphic xmlns:a="http://schemas.openxmlformats.org/drawingml/2006/main">
                        <a:graphicData uri="http://schemas.microsoft.com/office/word/2010/wordprocessingShape">
                          <wps:wsp>
                            <wps:cNvCnPr/>
                            <wps:spPr>
                              <a:xfrm rot="900000">
                                <a:off x="0" y="0"/>
                                <a:ext cx="2099945"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5.1pt;margin-top:22.35pt;height:0.05pt;width:165.35pt;rotation:983040f;z-index:251655168;mso-width-relative:page;mso-height-relative:page;" filled="f" stroked="t" coordsize="21600,21600" o:gfxdata="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NfAWXZAAAACQEAAA8AAAAAAAAAAQAgAAAAIgAAAGRycy9kb3ducmV2LnhtbFBL&#10;AQIUABQAAAAIAIdO4kDOFyfl9QEAAOcDAAAOAAAAAAAAAAEAIAAAACgBAABkcnMvZTJvRG9jLnht&#10;bFBLBQYAAAAABgAGAFkBAACP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423545</wp:posOffset>
                      </wp:positionH>
                      <wp:positionV relativeFrom="paragraph">
                        <wp:posOffset>182245</wp:posOffset>
                      </wp:positionV>
                      <wp:extent cx="173355" cy="0"/>
                      <wp:effectExtent l="0" t="0" r="0" b="0"/>
                      <wp:wrapNone/>
                      <wp:docPr id="7" name="文本框 6"/>
                      <wp:cNvGraphicFramePr/>
                      <a:graphic xmlns:a="http://schemas.openxmlformats.org/drawingml/2006/main">
                        <a:graphicData uri="http://schemas.microsoft.com/office/word/2010/wordprocessingShape">
                          <wps:wsp>
                            <wps:cNvSpPr txBox="1"/>
                            <wps:spPr>
                              <a:xfrm rot="900000">
                                <a:off x="0" y="0"/>
                                <a:ext cx="173355" cy="0"/>
                              </a:xfrm>
                              <a:prstGeom prst="rect">
                                <a:avLst/>
                              </a:prstGeom>
                              <a:noFill/>
                              <a:ln>
                                <a:noFill/>
                              </a:ln>
                            </wps:spPr>
                            <wps:txbx>
                              <w:txbxContent>
                                <w:p>
                                  <w:pPr>
                                    <w:snapToGrid w:val="0"/>
                                  </w:pPr>
                                  <w:r>
                                    <w:rPr>
                                      <w:rFonts w:hint="eastAsia"/>
                                    </w:rPr>
                                    <w:t>金</w:t>
                                  </w:r>
                                </w:p>
                              </w:txbxContent>
                            </wps:txbx>
                            <wps:bodyPr lIns="0" tIns="0" rIns="0" bIns="0" upright="1"/>
                          </wps:wsp>
                        </a:graphicData>
                      </a:graphic>
                    </wp:anchor>
                  </w:drawing>
                </mc:Choice>
                <mc:Fallback>
                  <w:pict>
                    <v:shape id="文本框 6" o:spid="_x0000_s1026" o:spt="202" type="#_x0000_t202" style="position:absolute;left:0pt;margin-left:33.35pt;margin-top:14.35pt;height:0pt;width:13.65pt;rotation:983040f;z-index:251660288;mso-width-relative:page;mso-height-relative:page;" filled="f" stroked="f" coordsize="21600,21600" o:gfxdata="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4yS/S9UAAAAHAQAADwAAAAAAAAABACAAAAAiAAAAZHJzL2Rvd25yZXYueG1sUEsBAhQA&#10;FAAAAAgAh07iQP3XxuW8AQAAeQMAAA4AAAAAAAAAAQAgAAAAJAEAAGRycy9lMm9Eb2MueG1sUEsF&#10;BgAAAAAGAAYAWQEAAFIFAAAAAA==&#10;">
                      <v:fill on="f" focussize="0,0"/>
                      <v:stroke on="f"/>
                      <v:imagedata o:title=""/>
                      <o:lock v:ext="edit" aspectratio="f"/>
                      <v:textbox inset="0mm,0mm,0mm,0mm">
                        <w:txbxContent>
                          <w:p>
                            <w:pPr>
                              <w:snapToGrid w:val="0"/>
                            </w:pPr>
                            <w:r>
                              <w:rPr>
                                <w:rFonts w:hint="eastAsia"/>
                              </w:rPr>
                              <w:t>金</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1019810</wp:posOffset>
                      </wp:positionH>
                      <wp:positionV relativeFrom="paragraph">
                        <wp:posOffset>319405</wp:posOffset>
                      </wp:positionV>
                      <wp:extent cx="173355" cy="0"/>
                      <wp:effectExtent l="0" t="0" r="0" b="0"/>
                      <wp:wrapNone/>
                      <wp:docPr id="3" name="文本框 2"/>
                      <wp:cNvGraphicFramePr/>
                      <a:graphic xmlns:a="http://schemas.openxmlformats.org/drawingml/2006/main">
                        <a:graphicData uri="http://schemas.microsoft.com/office/word/2010/wordprocessingShape">
                          <wps:wsp>
                            <wps:cNvSpPr txBox="1"/>
                            <wps:spPr>
                              <a:xfrm rot="900000">
                                <a:off x="0" y="0"/>
                                <a:ext cx="173355" cy="0"/>
                              </a:xfrm>
                              <a:prstGeom prst="rect">
                                <a:avLst/>
                              </a:prstGeom>
                              <a:noFill/>
                              <a:ln>
                                <a:noFill/>
                              </a:ln>
                            </wps:spPr>
                            <wps:txbx>
                              <w:txbxContent>
                                <w:p>
                                  <w:pPr>
                                    <w:snapToGrid w:val="0"/>
                                  </w:pPr>
                                  <w:r>
                                    <w:rPr>
                                      <w:rFonts w:hint="eastAsia"/>
                                    </w:rPr>
                                    <w:t>费</w:t>
                                  </w:r>
                                </w:p>
                              </w:txbxContent>
                            </wps:txbx>
                            <wps:bodyPr lIns="0" tIns="0" rIns="0" bIns="0" upright="1"/>
                          </wps:wsp>
                        </a:graphicData>
                      </a:graphic>
                    </wp:anchor>
                  </w:drawing>
                </mc:Choice>
                <mc:Fallback>
                  <w:pict>
                    <v:shape id="文本框 2" o:spid="_x0000_s1026" o:spt="202" type="#_x0000_t202" style="position:absolute;left:0pt;margin-left:80.3pt;margin-top:25.15pt;height:0pt;width:13.65pt;rotation:983040f;z-index:251656192;mso-width-relative:page;mso-height-relative:page;" filled="f" stroked="f" coordsize="21600,21600" o:gfxdata="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cZvAtUAAAAJAQAADwAAAAAAAAABACAAAAAiAAAAZHJzL2Rvd25yZXYueG1sUEsBAhQA&#10;FAAAAAgAh07iQFC6LbS8AQAAeQMAAA4AAAAAAAAAAQAgAAAAJAEAAGRycy9lMm9Eb2MueG1sUEsF&#10;BgAAAAAGAAYAWQEAAFIFAAAAAA==&#10;">
                      <v:fill on="f" focussize="0,0"/>
                      <v:stroke on="f"/>
                      <v:imagedata o:title=""/>
                      <o:lock v:ext="edit" aspectratio="f"/>
                      <v:textbox inset="0mm,0mm,0mm,0mm">
                        <w:txbxContent>
                          <w:p>
                            <w:pPr>
                              <w:snapToGrid w:val="0"/>
                            </w:pPr>
                            <w:r>
                              <w:rPr>
                                <w:rFonts w:hint="eastAsia"/>
                              </w:rPr>
                              <w:t>费</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680720</wp:posOffset>
                      </wp:positionH>
                      <wp:positionV relativeFrom="paragraph">
                        <wp:posOffset>241300</wp:posOffset>
                      </wp:positionV>
                      <wp:extent cx="173990" cy="0"/>
                      <wp:effectExtent l="0" t="0" r="0" b="0"/>
                      <wp:wrapNone/>
                      <wp:docPr id="8" name="文本框 7"/>
                      <wp:cNvGraphicFramePr/>
                      <a:graphic xmlns:a="http://schemas.openxmlformats.org/drawingml/2006/main">
                        <a:graphicData uri="http://schemas.microsoft.com/office/word/2010/wordprocessingShape">
                          <wps:wsp>
                            <wps:cNvSpPr txBox="1"/>
                            <wps:spPr>
                              <a:xfrm rot="900000">
                                <a:off x="0" y="0"/>
                                <a:ext cx="173990" cy="0"/>
                              </a:xfrm>
                              <a:prstGeom prst="rect">
                                <a:avLst/>
                              </a:prstGeom>
                              <a:noFill/>
                              <a:ln>
                                <a:noFill/>
                              </a:ln>
                            </wps:spPr>
                            <wps:txbx>
                              <w:txbxContent>
                                <w:p>
                                  <w:pPr>
                                    <w:snapToGrid w:val="0"/>
                                  </w:pPr>
                                  <w:r>
                                    <w:rPr>
                                      <w:rFonts w:hint="eastAsia"/>
                                    </w:rPr>
                                    <w:t>额</w:t>
                                  </w:r>
                                </w:p>
                              </w:txbxContent>
                            </wps:txbx>
                            <wps:bodyPr lIns="0" tIns="0" rIns="0" bIns="0" upright="1"/>
                          </wps:wsp>
                        </a:graphicData>
                      </a:graphic>
                    </wp:anchor>
                  </w:drawing>
                </mc:Choice>
                <mc:Fallback>
                  <w:pict>
                    <v:shape id="文本框 7" o:spid="_x0000_s1026" o:spt="202" type="#_x0000_t202" style="position:absolute;left:0pt;margin-left:53.6pt;margin-top:19pt;height:0pt;width:13.7pt;rotation:983040f;z-index:251661312;mso-width-relative:page;mso-height-relative:page;" filled="f" stroked="f" coordsize="21600,21600" o:gfxdata="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WF3Bf1gAAAAkBAAAPAAAAAAAAAAEAIAAAACIAAABkcnMvZG93bnJldi54bWxQSwECFAAU&#10;AAAACACHTuJA5FtpeboBAAB5AwAADgAAAAAAAAABACAAAAAlAQAAZHJzL2Uyb0RvYy54bWxQSwUG&#10;AAAAAAYABgBZAQAAUQUAAAAA&#10;">
                      <v:fill on="f" focussize="0,0"/>
                      <v:stroke on="f"/>
                      <v:imagedata o:title=""/>
                      <o:lock v:ext="edit" aspectratio="f"/>
                      <v:textbox inset="0mm,0mm,0mm,0mm">
                        <w:txbxContent>
                          <w:p>
                            <w:pPr>
                              <w:snapToGrid w:val="0"/>
                            </w:pPr>
                            <w:r>
                              <w:rPr>
                                <w:rFonts w:hint="eastAsia"/>
                              </w:rPr>
                              <w:t>额</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242570</wp:posOffset>
                      </wp:positionH>
                      <wp:positionV relativeFrom="paragraph">
                        <wp:posOffset>123825</wp:posOffset>
                      </wp:positionV>
                      <wp:extent cx="173990" cy="0"/>
                      <wp:effectExtent l="0" t="0" r="0" b="0"/>
                      <wp:wrapNone/>
                      <wp:docPr id="6" name="文本框 5"/>
                      <wp:cNvGraphicFramePr/>
                      <a:graphic xmlns:a="http://schemas.openxmlformats.org/drawingml/2006/main">
                        <a:graphicData uri="http://schemas.microsoft.com/office/word/2010/wordprocessingShape">
                          <wps:wsp>
                            <wps:cNvSpPr txBox="1"/>
                            <wps:spPr>
                              <a:xfrm rot="900000">
                                <a:off x="0" y="0"/>
                                <a:ext cx="173990" cy="0"/>
                              </a:xfrm>
                              <a:prstGeom prst="rect">
                                <a:avLst/>
                              </a:prstGeom>
                              <a:noFill/>
                              <a:ln>
                                <a:noFill/>
                              </a:ln>
                            </wps:spPr>
                            <wps:txbx>
                              <w:txbxContent>
                                <w:p>
                                  <w:pPr>
                                    <w:snapToGrid w:val="0"/>
                                  </w:pPr>
                                  <w:r>
                                    <w:rPr>
                                      <w:rFonts w:hint="eastAsia"/>
                                    </w:rPr>
                                    <w:t>标</w:t>
                                  </w:r>
                                </w:p>
                              </w:txbxContent>
                            </wps:txbx>
                            <wps:bodyPr lIns="0" tIns="0" rIns="0" bIns="0" upright="1"/>
                          </wps:wsp>
                        </a:graphicData>
                      </a:graphic>
                    </wp:anchor>
                  </w:drawing>
                </mc:Choice>
                <mc:Fallback>
                  <w:pict>
                    <v:shape id="文本框 5" o:spid="_x0000_s1026" o:spt="202" type="#_x0000_t202" style="position:absolute;left:0pt;margin-left:19.1pt;margin-top:9.75pt;height:0pt;width:13.7pt;rotation:983040f;z-index:251659264;mso-width-relative:page;mso-height-relative:page;" filled="f" stroked="f" coordsize="21600,21600" o:gfxdata="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LJyP3UAAAABwEAAA8AAAAAAAAAAQAgAAAAIgAAAGRycy9kb3ducmV2LnhtbFBLAQIUABQA&#10;AAAIAIdO4kBBrcGAuwEAAHkDAAAOAAAAAAAAAAEAIAAAACMBAABkcnMvZTJvRG9jLnhtbFBLBQYA&#10;AAAABgAGAFkBAABQBQAAAAA=&#10;">
                      <v:fill on="f" focussize="0,0"/>
                      <v:stroke on="f"/>
                      <v:imagedata o:title=""/>
                      <o:lock v:ext="edit" aspectratio="f"/>
                      <v:textbox inset="0mm,0mm,0mm,0mm">
                        <w:txbxContent>
                          <w:p>
                            <w:pPr>
                              <w:snapToGrid w:val="0"/>
                            </w:pPr>
                            <w:r>
                              <w:rPr>
                                <w:rFonts w:hint="eastAsia"/>
                              </w:rPr>
                              <w:t>标</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64770</wp:posOffset>
                      </wp:positionV>
                      <wp:extent cx="173355" cy="0"/>
                      <wp:effectExtent l="0" t="0" r="0" b="0"/>
                      <wp:wrapNone/>
                      <wp:docPr id="5" name="文本框 4"/>
                      <wp:cNvGraphicFramePr/>
                      <a:graphic xmlns:a="http://schemas.openxmlformats.org/drawingml/2006/main">
                        <a:graphicData uri="http://schemas.microsoft.com/office/word/2010/wordprocessingShape">
                          <wps:wsp>
                            <wps:cNvSpPr txBox="1"/>
                            <wps:spPr>
                              <a:xfrm rot="900000">
                                <a:off x="0" y="0"/>
                                <a:ext cx="173355" cy="0"/>
                              </a:xfrm>
                              <a:prstGeom prst="rect">
                                <a:avLst/>
                              </a:prstGeom>
                              <a:noFill/>
                              <a:ln>
                                <a:noFill/>
                              </a:ln>
                            </wps:spPr>
                            <wps:txbx>
                              <w:txbxContent>
                                <w:p>
                                  <w:pPr>
                                    <w:snapToGrid w:val="0"/>
                                  </w:pPr>
                                  <w:r>
                                    <w:rPr>
                                      <w:rFonts w:hint="eastAsia"/>
                                    </w:rPr>
                                    <w:t>中</w:t>
                                  </w:r>
                                </w:p>
                              </w:txbxContent>
                            </wps:txbx>
                            <wps:bodyPr lIns="0" tIns="0" rIns="0" bIns="0" upright="1"/>
                          </wps:wsp>
                        </a:graphicData>
                      </a:graphic>
                    </wp:anchor>
                  </w:drawing>
                </mc:Choice>
                <mc:Fallback>
                  <w:pict>
                    <v:shape id="文本框 4" o:spid="_x0000_s1026" o:spt="202" type="#_x0000_t202" style="position:absolute;left:0pt;margin-left:1.9pt;margin-top:5.1pt;height:0pt;width:13.65pt;rotation:983040f;z-index:251658240;mso-width-relative:page;mso-height-relative:page;" filled="f" stroked="f" coordsize="21600,21600" o:gfxdata="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nLFQ9IAAAAGAQAADwAAAAAAAAABACAAAAAiAAAAZHJzL2Rvd25yZXYueG1sUEsBAhQAFAAA&#10;AAgAh07iQAviiyC8AQAAeQMAAA4AAAAAAAAAAQAgAAAAIQEAAGRycy9lMm9Eb2MueG1sUEsFBgAA&#10;AAAGAAYAWQEAAE8FAAAAAA==&#10;">
                      <v:fill on="f" focussize="0,0"/>
                      <v:stroke on="f"/>
                      <v:imagedata o:title=""/>
                      <o:lock v:ext="edit" aspectratio="f"/>
                      <v:textbox inset="0mm,0mm,0mm,0mm">
                        <w:txbxContent>
                          <w:p>
                            <w:pPr>
                              <w:snapToGrid w:val="0"/>
                            </w:pPr>
                            <w:r>
                              <w:rPr>
                                <w:rFonts w:hint="eastAsia"/>
                              </w:rPr>
                              <w:t>中</w:t>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1505585</wp:posOffset>
                      </wp:positionH>
                      <wp:positionV relativeFrom="paragraph">
                        <wp:posOffset>462280</wp:posOffset>
                      </wp:positionV>
                      <wp:extent cx="173355" cy="0"/>
                      <wp:effectExtent l="0" t="0" r="0" b="0"/>
                      <wp:wrapNone/>
                      <wp:docPr id="4" name="文本框 3"/>
                      <wp:cNvGraphicFramePr/>
                      <a:graphic xmlns:a="http://schemas.openxmlformats.org/drawingml/2006/main">
                        <a:graphicData uri="http://schemas.microsoft.com/office/word/2010/wordprocessingShape">
                          <wps:wsp>
                            <wps:cNvSpPr txBox="1"/>
                            <wps:spPr>
                              <a:xfrm rot="900000">
                                <a:off x="0" y="0"/>
                                <a:ext cx="173355" cy="0"/>
                              </a:xfrm>
                              <a:prstGeom prst="rect">
                                <a:avLst/>
                              </a:prstGeom>
                              <a:noFill/>
                              <a:ln>
                                <a:noFill/>
                              </a:ln>
                            </wps:spPr>
                            <wps:txbx>
                              <w:txbxContent>
                                <w:p>
                                  <w:pPr>
                                    <w:snapToGrid w:val="0"/>
                                  </w:pPr>
                                  <w:r>
                                    <w:rPr>
                                      <w:rFonts w:hint="eastAsia"/>
                                    </w:rPr>
                                    <w:t>率</w:t>
                                  </w:r>
                                </w:p>
                              </w:txbxContent>
                            </wps:txbx>
                            <wps:bodyPr lIns="0" tIns="0" rIns="0" bIns="0" upright="1"/>
                          </wps:wsp>
                        </a:graphicData>
                      </a:graphic>
                    </wp:anchor>
                  </w:drawing>
                </mc:Choice>
                <mc:Fallback>
                  <w:pict>
                    <v:shape id="文本框 3" o:spid="_x0000_s1026" o:spt="202" type="#_x0000_t202" style="position:absolute;left:0pt;margin-left:118.55pt;margin-top:36.4pt;height:0pt;width:13.65pt;rotation:983040f;z-index:251657216;mso-width-relative:page;mso-height-relative:page;" filled="f" stroked="f" coordsize="21600,21600" o:gfxdata="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TZj1tcAAAAJAQAADwAAAAAAAAABACAAAAAiAAAAZHJzL2Rvd25yZXYueG1sUEsB&#10;AhQAFAAAAAgAh07iQCJCQSW9AQAAeQMAAA4AAAAAAAAAAQAgAAAAJgEAAGRycy9lMm9Eb2MueG1s&#10;UEsFBgAAAAAGAAYAWQEAAFUFAAAAAA==&#10;">
                      <v:fill on="f" focussize="0,0"/>
                      <v:stroke on="f"/>
                      <v:imagedata o:title=""/>
                      <o:lock v:ext="edit" aspectratio="f"/>
                      <v:textbox inset="0mm,0mm,0mm,0mm">
                        <w:txbxContent>
                          <w:p>
                            <w:pPr>
                              <w:snapToGrid w:val="0"/>
                            </w:pPr>
                            <w:r>
                              <w:rPr>
                                <w:rFonts w:hint="eastAsia"/>
                              </w:rPr>
                              <w:t>率</w:t>
                            </w:r>
                          </w:p>
                        </w:txbxContent>
                      </v:textbox>
                    </v:shape>
                  </w:pict>
                </mc:Fallback>
              </mc:AlternateConten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货物招标</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服务招标</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2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100万元以下</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1.50％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1.50％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2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100～500万元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1.1％</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0.80％</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2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500～1000万元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0.8％</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0.45％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3201"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1000～5000万元</w:t>
            </w:r>
          </w:p>
        </w:tc>
        <w:tc>
          <w:tcPr>
            <w:tcW w:w="177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0.25％</w:t>
            </w:r>
          </w:p>
        </w:tc>
        <w:tc>
          <w:tcPr>
            <w:tcW w:w="1777"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0.35％</w:t>
            </w:r>
          </w:p>
        </w:tc>
      </w:tr>
    </w:tbl>
    <w:p>
      <w:pPr>
        <w:numPr>
          <w:ilvl w:val="0"/>
          <w:numId w:val="28"/>
        </w:numPr>
        <w:ind w:firstLine="420" w:firstLineChars="200"/>
      </w:pPr>
      <w:r>
        <w:rPr>
          <w:rFonts w:hint="eastAsia" w:ascii="宋体" w:hAnsi="宋体"/>
          <w:szCs w:val="21"/>
        </w:rPr>
        <w:t>中标人在领取《中标通知书》时，必须按《交纳服务费承诺书》向采购代理机构直接交纳招标服务费。</w:t>
      </w:r>
    </w:p>
    <w:p>
      <w:pPr>
        <w:numPr>
          <w:ilvl w:val="0"/>
          <w:numId w:val="28"/>
        </w:numPr>
        <w:ind w:firstLine="420" w:firstLineChars="200"/>
      </w:pPr>
      <w:r>
        <w:rPr>
          <w:rFonts w:hint="eastAsia"/>
        </w:rPr>
        <w:t>本项目专家论证费用6000元一并由中标单位支付。</w:t>
      </w:r>
    </w:p>
    <w:p>
      <w:pPr>
        <w:numPr>
          <w:ilvl w:val="1"/>
          <w:numId w:val="27"/>
        </w:numPr>
        <w:tabs>
          <w:tab w:val="left" w:pos="709"/>
        </w:tabs>
        <w:autoSpaceDE w:val="0"/>
        <w:autoSpaceDN w:val="0"/>
        <w:adjustRightInd w:val="0"/>
        <w:snapToGrid w:val="0"/>
        <w:rPr>
          <w:rFonts w:ascii="宋体" w:hAnsi="宋体" w:cs="宋体"/>
          <w:szCs w:val="21"/>
        </w:rPr>
      </w:pPr>
      <w:r>
        <w:rPr>
          <w:rFonts w:hint="eastAsia" w:ascii="宋体" w:hAnsi="宋体" w:cs="宋体"/>
          <w:szCs w:val="21"/>
        </w:rPr>
        <w:t>经依法取消中标资格的，招标代理服务费不予退还。</w:t>
      </w:r>
    </w:p>
    <w:p>
      <w:pPr>
        <w:numPr>
          <w:ilvl w:val="0"/>
          <w:numId w:val="27"/>
        </w:numPr>
        <w:autoSpaceDE w:val="0"/>
        <w:autoSpaceDN w:val="0"/>
        <w:adjustRightInd w:val="0"/>
        <w:snapToGrid w:val="0"/>
        <w:spacing w:line="360" w:lineRule="auto"/>
        <w:ind w:left="449" w:hanging="449" w:hangingChars="213"/>
        <w:outlineLvl w:val="2"/>
        <w:rPr>
          <w:rFonts w:ascii="宋体" w:hAnsi="宋体"/>
          <w:b/>
          <w:szCs w:val="21"/>
        </w:rPr>
      </w:pPr>
      <w:r>
        <w:rPr>
          <w:rFonts w:hint="eastAsia" w:ascii="宋体" w:hAnsi="宋体"/>
          <w:b/>
          <w:bCs/>
          <w:szCs w:val="21"/>
        </w:rPr>
        <w:t>询问函、质疑函格式</w:t>
      </w:r>
    </w:p>
    <w:p>
      <w:pPr>
        <w:snapToGrid w:val="0"/>
        <w:spacing w:line="360" w:lineRule="auto"/>
        <w:ind w:firstLine="424" w:firstLineChars="201"/>
        <w:rPr>
          <w:rFonts w:ascii="宋体" w:hAns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hAnsi="宋体"/>
          <w:szCs w:val="21"/>
        </w:rPr>
      </w:pPr>
      <w:r>
        <w:rPr>
          <w:rFonts w:hint="eastAsia" w:ascii="宋体" w:hAnsi="宋体"/>
          <w:bCs/>
          <w:sz w:val="28"/>
        </w:rPr>
        <w:t>1：询问函格式</w:t>
      </w:r>
    </w:p>
    <w:p>
      <w:pPr>
        <w:spacing w:after="156" w:afterLines="50"/>
        <w:jc w:val="center"/>
        <w:rPr>
          <w:rFonts w:ascii="宋体" w:hAnsi="宋体"/>
          <w:b/>
          <w:bCs/>
          <w:sz w:val="28"/>
          <w:szCs w:val="28"/>
        </w:rPr>
      </w:pPr>
      <w:r>
        <w:rPr>
          <w:rFonts w:hint="eastAsia" w:ascii="宋体" w:hAnsi="宋体"/>
          <w:b/>
          <w:bCs/>
          <w:sz w:val="28"/>
          <w:szCs w:val="28"/>
        </w:rPr>
        <w:t>询  问  函</w:t>
      </w:r>
    </w:p>
    <w:p>
      <w:pPr>
        <w:widowControl/>
        <w:snapToGrid w:val="0"/>
        <w:spacing w:line="360" w:lineRule="auto"/>
        <w:rPr>
          <w:rFonts w:ascii="宋体" w:hAnsi="宋体"/>
          <w:b/>
          <w:szCs w:val="21"/>
        </w:rPr>
      </w:pPr>
      <w:r>
        <w:rPr>
          <w:rFonts w:hint="eastAsia" w:ascii="宋体" w:hAnsi="宋体"/>
          <w:b/>
          <w:szCs w:val="21"/>
        </w:rPr>
        <w:t>广州宝诚招标代理咨询有限公司：</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w:t>
      </w:r>
      <w:r>
        <w:rPr>
          <w:rFonts w:hint="eastAsia" w:ascii="宋体" w:hAnsi="宋体"/>
          <w:szCs w:val="21"/>
          <w:u w:val="single"/>
        </w:rPr>
        <w:t xml:space="preserve">     </w:t>
      </w:r>
      <w:r>
        <w:rPr>
          <w:rFonts w:hint="eastAsia" w:ascii="宋体" w:hAnsi="宋体"/>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Cs w:val="21"/>
        </w:rPr>
      </w:pPr>
      <w:r>
        <w:rPr>
          <w:rFonts w:hint="eastAsia" w:ascii="宋体" w:hAnsi="宋体"/>
          <w:szCs w:val="21"/>
        </w:rPr>
        <w:t>一、_____________________（事项一）</w:t>
      </w:r>
      <w:r>
        <w:rPr>
          <w:rFonts w:ascii="宋体" w:hAnsi="宋体"/>
          <w:szCs w:val="21"/>
        </w:rPr>
        <w:tab/>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（1）____________________（问题或条款内容）</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（2）____________________（说明疑问或无法理解原因）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（3）____________________（建议）</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二、_____________________（事项二）</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地址/邮编：</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电话/传真：</w:t>
      </w:r>
    </w:p>
    <w:p>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40" w:lineRule="exact"/>
        <w:rPr>
          <w:rFonts w:ascii="宋体" w:hAnsi="宋体"/>
          <w:szCs w:val="21"/>
        </w:rPr>
      </w:pPr>
      <w:r>
        <w:rPr>
          <w:rFonts w:hint="eastAsia" w:ascii="宋体" w:hAnsi="宋体"/>
          <w:bCs/>
          <w:sz w:val="28"/>
        </w:rPr>
        <w:t>2：质疑函格式</w:t>
      </w:r>
    </w:p>
    <w:p>
      <w:pPr>
        <w:spacing w:after="156" w:afterLines="50"/>
        <w:jc w:val="center"/>
        <w:rPr>
          <w:rFonts w:ascii="宋体" w:hAnsi="宋体"/>
          <w:b/>
          <w:bCs/>
          <w:sz w:val="28"/>
          <w:szCs w:val="28"/>
        </w:rPr>
      </w:pPr>
      <w:r>
        <w:rPr>
          <w:rFonts w:ascii="宋体" w:hAnsi="宋体"/>
          <w:b/>
          <w:bCs/>
          <w:sz w:val="28"/>
          <w:szCs w:val="28"/>
        </w:rPr>
        <w:t>质</w:t>
      </w:r>
      <w:r>
        <w:rPr>
          <w:rFonts w:hint="eastAsia" w:ascii="宋体" w:hAnsi="宋体"/>
          <w:b/>
          <w:bCs/>
          <w:sz w:val="28"/>
          <w:szCs w:val="28"/>
        </w:rPr>
        <w:t xml:space="preserve">  </w:t>
      </w:r>
      <w:r>
        <w:rPr>
          <w:rFonts w:ascii="宋体" w:hAnsi="宋体"/>
          <w:b/>
          <w:bCs/>
          <w:sz w:val="28"/>
          <w:szCs w:val="28"/>
        </w:rPr>
        <w:t>疑</w:t>
      </w:r>
      <w:r>
        <w:rPr>
          <w:rFonts w:hint="eastAsia" w:ascii="宋体" w:hAnsi="宋体"/>
          <w:b/>
          <w:bCs/>
          <w:sz w:val="28"/>
          <w:szCs w:val="28"/>
        </w:rPr>
        <w:t xml:space="preserve">  函</w:t>
      </w:r>
    </w:p>
    <w:p>
      <w:pPr>
        <w:widowControl/>
        <w:spacing w:line="360" w:lineRule="auto"/>
        <w:jc w:val="center"/>
        <w:rPr>
          <w:rFonts w:ascii="宋体" w:hAnsi="宋体" w:cs="Tahoma"/>
          <w:b/>
          <w:bCs/>
          <w:spacing w:val="10"/>
          <w:szCs w:val="21"/>
        </w:rPr>
      </w:pPr>
      <w:r>
        <w:rPr>
          <w:rFonts w:hint="eastAsia" w:ascii="宋体" w:hAnsi="宋体" w:cs="Tahoma"/>
          <w:spacing w:val="10"/>
          <w:szCs w:val="21"/>
        </w:rPr>
        <w:t xml:space="preserve"> (可根据质疑内容增加或删减)</w:t>
      </w:r>
    </w:p>
    <w:p>
      <w:pPr>
        <w:widowControl/>
        <w:snapToGrid w:val="0"/>
        <w:spacing w:line="360" w:lineRule="auto"/>
        <w:rPr>
          <w:rFonts w:ascii="宋体" w:hAnsi="宋体"/>
          <w:b/>
          <w:szCs w:val="21"/>
        </w:rPr>
      </w:pPr>
      <w:r>
        <w:rPr>
          <w:rFonts w:hint="eastAsia" w:ascii="宋体" w:hAnsi="宋体"/>
          <w:b/>
          <w:szCs w:val="21"/>
        </w:rPr>
        <w:t>广州宝诚招标代理咨询有限公司：</w:t>
      </w:r>
    </w:p>
    <w:p>
      <w:pPr>
        <w:widowControl/>
        <w:snapToGrid w:val="0"/>
        <w:spacing w:line="360" w:lineRule="auto"/>
        <w:ind w:firstLine="420" w:firstLineChars="200"/>
        <w:rPr>
          <w:rFonts w:ascii="宋体" w:hAns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日组织的政府采购活动。根据《政府采购法》和《政府采购供应商投诉处理办法》等规定，我公司认为</w:t>
      </w:r>
      <w:r>
        <w:rPr>
          <w:rFonts w:hint="eastAsia" w:ascii="宋体" w:hAnsi="宋体"/>
          <w:szCs w:val="21"/>
          <w:u w:val="single"/>
        </w:rPr>
        <w:t xml:space="preserve"> （采购项目名称）（采购项目编号：     ）</w:t>
      </w:r>
      <w:r>
        <w:rPr>
          <w:rFonts w:hint="eastAsia" w:ascii="宋体" w:hAnsi="宋体"/>
          <w:szCs w:val="21"/>
        </w:rPr>
        <w:t>项目的采购活动中，</w:t>
      </w:r>
      <w:r>
        <w:rPr>
          <w:rFonts w:hint="eastAsia" w:ascii="宋体" w:hAnsi="宋体"/>
          <w:szCs w:val="21"/>
          <w:u w:val="single"/>
        </w:rPr>
        <w:t xml:space="preserve">（采购文件、采购过程、中标/成交结果） </w:t>
      </w:r>
      <w:r>
        <w:rPr>
          <w:rFonts w:hint="eastAsia" w:ascii="宋体" w:hAnsi="宋体"/>
          <w:szCs w:val="21"/>
        </w:rPr>
        <w:t>损害了我公司权益，特提出质疑。</w:t>
      </w:r>
    </w:p>
    <w:p>
      <w:pPr>
        <w:widowControl/>
        <w:snapToGrid w:val="0"/>
        <w:spacing w:line="360" w:lineRule="auto"/>
        <w:ind w:firstLine="420" w:firstLineChars="200"/>
        <w:rPr>
          <w:rFonts w:ascii="宋体" w:hAnsi="宋体"/>
          <w:szCs w:val="21"/>
        </w:rPr>
      </w:pPr>
      <w:r>
        <w:rPr>
          <w:rFonts w:hint="eastAsia" w:ascii="宋体" w:hAnsi="宋体"/>
          <w:szCs w:val="21"/>
        </w:rPr>
        <w:t>一、我公司认为项目的</w:t>
      </w:r>
      <w:r>
        <w:rPr>
          <w:rFonts w:hint="eastAsia" w:ascii="宋体" w:hAnsi="宋体"/>
          <w:szCs w:val="21"/>
          <w:u w:val="single"/>
        </w:rPr>
        <w:t>（采购文件、采购过程、中标/成交结果）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hAnsi="宋体"/>
          <w:b/>
          <w:szCs w:val="21"/>
        </w:rPr>
      </w:pPr>
      <w:r>
        <w:rPr>
          <w:rFonts w:hint="eastAsia" w:ascii="宋体" w:hAnsi="宋体"/>
          <w:b/>
          <w:szCs w:val="21"/>
        </w:rPr>
        <w:t>质疑采购文件</w:t>
      </w:r>
    </w:p>
    <w:p>
      <w:pPr>
        <w:widowControl/>
        <w:snapToGrid w:val="0"/>
        <w:spacing w:line="360" w:lineRule="auto"/>
        <w:ind w:firstLine="420" w:firstLineChars="200"/>
        <w:rPr>
          <w:rFonts w:ascii="宋体" w:hAnsi="宋体"/>
          <w:szCs w:val="21"/>
        </w:rPr>
      </w:pPr>
      <w:r>
        <w:rPr>
          <w:rFonts w:hint="eastAsia" w:ascii="宋体" w:hAnsi="宋体"/>
          <w:szCs w:val="21"/>
        </w:rPr>
        <w:t>1．质疑内容采购文件</w:t>
      </w:r>
      <w:r>
        <w:rPr>
          <w:rFonts w:hint="eastAsia" w:ascii="宋体" w:hAnsi="宋体"/>
          <w:szCs w:val="21"/>
          <w:u w:val="single"/>
        </w:rPr>
        <w:t xml:space="preserve">    </w:t>
      </w:r>
      <w:r>
        <w:rPr>
          <w:rFonts w:hint="eastAsia" w:ascii="宋体" w:hAnsi="宋体"/>
          <w:szCs w:val="21"/>
        </w:rPr>
        <w:t xml:space="preserve">页，内容“ </w:t>
      </w:r>
      <w:r>
        <w:rPr>
          <w:rFonts w:hint="eastAsia" w:ascii="宋体" w:hAnsi="宋体"/>
          <w:szCs w:val="21"/>
          <w:u w:val="single"/>
        </w:rPr>
        <w:t xml:space="preserve">                            </w:t>
      </w:r>
      <w:r>
        <w:rPr>
          <w:rFonts w:hint="eastAsia" w:ascii="宋体" w:hAnsi="宋体"/>
          <w:szCs w:val="21"/>
        </w:rPr>
        <w:t xml:space="preserve"> ” 损害了我公司权益，</w:t>
      </w:r>
    </w:p>
    <w:p>
      <w:pPr>
        <w:widowControl/>
        <w:snapToGrid w:val="0"/>
        <w:spacing w:line="360" w:lineRule="auto"/>
        <w:ind w:firstLine="735" w:firstLineChars="350"/>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我方请求采购文件做如下修改：</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质疑采购过程</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rPr>
        <w:t>进行的（收取采购文件（样品）、开标、谈判）过程，发生损害了我公司权益的事项，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质疑采购结果</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日公布的中标（成交）结果，发生损害了我公司权益的事项，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hAnsi="宋体"/>
          <w:szCs w:val="21"/>
        </w:rPr>
      </w:pPr>
    </w:p>
    <w:p>
      <w:pPr>
        <w:widowControl/>
        <w:snapToGrid w:val="0"/>
        <w:spacing w:line="360" w:lineRule="auto"/>
        <w:ind w:firstLine="420" w:firstLineChars="200"/>
        <w:rPr>
          <w:rFonts w:ascii="宋体" w:hAns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宋体"/>
          <w:szCs w:val="21"/>
        </w:rPr>
      </w:pPr>
      <w:r>
        <w:rPr>
          <w:rFonts w:hint="eastAsia" w:ascii="宋体" w:hAnsi="宋体"/>
          <w:szCs w:val="21"/>
        </w:rPr>
        <w:t>质疑供应商</w:t>
      </w:r>
      <w:r>
        <w:rPr>
          <w:rFonts w:hint="eastAsia" w:ascii="宋体" w:hAnsi="宋体"/>
          <w:szCs w:val="21"/>
          <w:u w:val="single"/>
        </w:rPr>
        <w:t xml:space="preserve">： （签章）  </w:t>
      </w:r>
      <w:r>
        <w:rPr>
          <w:rFonts w:hint="eastAsia" w:ascii="宋体" w:hAnsi="宋体"/>
          <w:szCs w:val="21"/>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主要负责人 ：</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rPr>
      </w:pPr>
      <w:r>
        <w:rPr>
          <w:rFonts w:hint="eastAsia" w:ascii="宋体" w:hAnsi="宋体"/>
          <w:szCs w:val="21"/>
        </w:rPr>
        <w:t>项目联系人：</w:t>
      </w:r>
      <w:r>
        <w:rPr>
          <w:rFonts w:hint="eastAsia" w:ascii="宋体" w:hAnsi="宋体"/>
          <w:szCs w:val="21"/>
          <w:u w:val="single"/>
        </w:rPr>
        <w:t xml:space="preserve">             </w:t>
      </w:r>
      <w:r>
        <w:rPr>
          <w:rFonts w:hint="eastAsia" w:ascii="宋体" w:hAnsi="宋体"/>
          <w:szCs w:val="21"/>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u w:val="single"/>
        </w:rPr>
      </w:pPr>
      <w:r>
        <w:rPr>
          <w:rFonts w:hint="eastAsia" w:ascii="宋体" w:hAnsi="宋体"/>
          <w:szCs w:val="21"/>
        </w:rPr>
        <w:t>职位：</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电话（手机/座机）：</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邮编：</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电子邮箱：</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传真：</w:t>
      </w:r>
      <w:r>
        <w:rPr>
          <w:rFonts w:hint="eastAsia" w:ascii="宋体" w:hAnsi="宋体"/>
          <w:szCs w:val="21"/>
          <w:u w:val="single"/>
        </w:rPr>
        <w:t xml:space="preserve">            </w:t>
      </w:r>
    </w:p>
    <w:p>
      <w:pPr>
        <w:widowControl/>
        <w:snapToGrid w:val="0"/>
        <w:spacing w:line="360" w:lineRule="auto"/>
        <w:ind w:firstLine="420" w:firstLineChars="200"/>
        <w:jc w:val="lef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napToGrid w:val="0"/>
        <w:spacing w:line="360" w:lineRule="auto"/>
        <w:ind w:firstLine="420" w:firstLineChars="200"/>
        <w:rPr>
          <w:rFonts w:ascii="宋体" w:hAnsi="宋体"/>
          <w:szCs w:val="21"/>
        </w:rPr>
      </w:pPr>
      <w:r>
        <w:rPr>
          <w:rFonts w:hint="eastAsia" w:ascii="宋体" w:hAnsi="宋体"/>
          <w:szCs w:val="21"/>
        </w:rPr>
        <w:t>备注：</w:t>
      </w:r>
    </w:p>
    <w:p>
      <w:pPr>
        <w:widowControl/>
        <w:numPr>
          <w:ilvl w:val="0"/>
          <w:numId w:val="29"/>
        </w:numPr>
        <w:snapToGrid w:val="0"/>
        <w:spacing w:line="360" w:lineRule="auto"/>
        <w:rPr>
          <w:rFonts w:ascii="宋体" w:hAns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29"/>
        </w:numPr>
        <w:snapToGrid w:val="0"/>
        <w:spacing w:line="360" w:lineRule="auto"/>
        <w:rPr>
          <w:rFonts w:ascii="宋体" w:hAnsi="宋体"/>
          <w:szCs w:val="21"/>
        </w:rPr>
      </w:pPr>
      <w:r>
        <w:rPr>
          <w:rFonts w:hint="eastAsia" w:ascii="宋体" w:hAnsi="宋体"/>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29"/>
        </w:numPr>
        <w:snapToGrid w:val="0"/>
        <w:spacing w:line="360" w:lineRule="auto"/>
        <w:rPr>
          <w:rFonts w:ascii="宋体" w:hAns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29"/>
        </w:numPr>
        <w:snapToGrid w:val="0"/>
        <w:spacing w:line="360" w:lineRule="auto"/>
        <w:rPr>
          <w:rFonts w:ascii="宋体" w:hAnsi="宋体"/>
          <w:szCs w:val="21"/>
        </w:rPr>
      </w:pPr>
      <w:r>
        <w:rPr>
          <w:rFonts w:hint="eastAsia" w:ascii="宋体" w:hAnsi="宋体"/>
          <w:b/>
          <w:szCs w:val="21"/>
        </w:rPr>
        <w:t>不按上述要求拟写的质疑函，采购代理机构将有可能不予回复。</w:t>
      </w:r>
    </w:p>
    <w:p>
      <w:pPr>
        <w:spacing w:line="440" w:lineRule="exact"/>
        <w:rPr>
          <w:rFonts w:ascii="宋体" w:hAnsi="宋体"/>
          <w:sz w:val="24"/>
        </w:rPr>
      </w:pPr>
    </w:p>
    <w:p>
      <w:pPr>
        <w:rPr>
          <w:rFonts w:ascii="宋体" w:hAnsi="宋体"/>
          <w:spacing w:val="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SimSun-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http://www.baochengdaili.com/                     第</w:t>
    </w:r>
    <w:r>
      <w:fldChar w:fldCharType="begin"/>
    </w:r>
    <w:r>
      <w:rPr>
        <w:rStyle w:val="21"/>
      </w:rPr>
      <w:instrText xml:space="preserve"> PAGE </w:instrText>
    </w:r>
    <w:r>
      <w:fldChar w:fldCharType="separate"/>
    </w:r>
    <w:r>
      <w:rPr>
        <w:rStyle w:val="21"/>
      </w:rPr>
      <w:t>2</w:t>
    </w:r>
    <w:r>
      <w:fldChar w:fldCharType="end"/>
    </w:r>
    <w:r>
      <w:rPr>
        <w:rStyle w:val="21"/>
        <w:rFonts w:hint="eastAsia"/>
      </w:rPr>
      <w:t>页，共</w:t>
    </w:r>
    <w:r>
      <w:fldChar w:fldCharType="begin"/>
    </w:r>
    <w:r>
      <w:rPr>
        <w:rStyle w:val="21"/>
      </w:rPr>
      <w:instrText xml:space="preserve"> NUMPAGES </w:instrText>
    </w:r>
    <w:r>
      <w:fldChar w:fldCharType="separate"/>
    </w:r>
    <w:r>
      <w:rPr>
        <w:rStyle w:val="21"/>
      </w:rPr>
      <w:t>86</w:t>
    </w:r>
    <w:r>
      <w:fldChar w:fldCharType="end"/>
    </w:r>
    <w:r>
      <w:rPr>
        <w:rStyle w:val="21"/>
        <w:rFonts w:hint="eastAsia"/>
      </w:rPr>
      <w:t>页</w:t>
    </w:r>
    <w:r>
      <w:rPr>
        <w:rFonts w:hint="eastAsia"/>
      </w:rPr>
      <w:t xml:space="preserve">                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 http://www.baochengdaili.com//                   第</w:t>
    </w:r>
    <w:r>
      <w:fldChar w:fldCharType="begin"/>
    </w:r>
    <w:r>
      <w:rPr>
        <w:rStyle w:val="21"/>
      </w:rPr>
      <w:instrText xml:space="preserve"> PAGE </w:instrText>
    </w:r>
    <w:r>
      <w:fldChar w:fldCharType="separate"/>
    </w:r>
    <w:r>
      <w:rPr>
        <w:rStyle w:val="21"/>
      </w:rPr>
      <w:t>1</w:t>
    </w:r>
    <w:r>
      <w:fldChar w:fldCharType="end"/>
    </w:r>
    <w:r>
      <w:rPr>
        <w:rStyle w:val="21"/>
        <w:rFonts w:hint="eastAsia"/>
      </w:rPr>
      <w:t>页，共</w:t>
    </w:r>
    <w:r>
      <w:fldChar w:fldCharType="begin"/>
    </w:r>
    <w:r>
      <w:rPr>
        <w:rStyle w:val="21"/>
      </w:rPr>
      <w:instrText xml:space="preserve"> NUMPAGES </w:instrText>
    </w:r>
    <w:r>
      <w:fldChar w:fldCharType="separate"/>
    </w:r>
    <w:r>
      <w:rPr>
        <w:rStyle w:val="21"/>
      </w:rPr>
      <w:t>86</w:t>
    </w:r>
    <w:r>
      <w:fldChar w:fldCharType="end"/>
    </w:r>
    <w:r>
      <w:rPr>
        <w:rStyle w:val="21"/>
        <w:rFonts w:hint="eastAsia"/>
      </w:rPr>
      <w:t>页</w:t>
    </w:r>
    <w:r>
      <w:rPr>
        <w:rFonts w:hint="eastAsia"/>
      </w:rPr>
      <w:t xml:space="preserve">                  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rPr>
        <w:rFonts w:ascii="宋体" w:hAnsi="宋体"/>
        <w:bCs/>
      </w:rPr>
    </w:pPr>
    <w:r>
      <w:rPr>
        <w:rFonts w:hint="eastAsia" w:ascii="宋体" w:hAnsi="宋体"/>
        <w:bCs/>
      </w:rPr>
      <w:t>项目名称：广州市地质灾害在册隐患点专业监测设备采购                             项目编号：GZBC21HG01005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4BF6D"/>
    <w:multiLevelType w:val="multilevel"/>
    <w:tmpl w:val="CFF4BF6D"/>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hint="eastAsia" w:ascii="宋体" w:hAnsi="宋体" w:eastAsia="宋体"/>
        <w:b w:val="0"/>
        <w:i w:val="0"/>
        <w:strike w:val="0"/>
        <w:dstrike w:val="0"/>
        <w:color w:val="auto"/>
        <w:sz w:val="24"/>
        <w:szCs w:val="24"/>
        <w:u w:val="none"/>
      </w:rPr>
    </w:lvl>
    <w:lvl w:ilvl="2" w:tentative="0">
      <w:start w:val="1"/>
      <w:numFmt w:val="decimal"/>
      <w:lvlText w:val="%3."/>
      <w:lvlJc w:val="left"/>
      <w:pPr>
        <w:ind w:left="709" w:hanging="709"/>
      </w:pPr>
      <w:rPr>
        <w:rFonts w:hint="eastAsia" w:ascii="宋体" w:hAnsi="宋体" w:eastAsia="宋体"/>
        <w:b w: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F62668"/>
    <w:multiLevelType w:val="multilevel"/>
    <w:tmpl w:val="03F62668"/>
    <w:lvl w:ilvl="0" w:tentative="0">
      <w:start w:val="1"/>
      <w:numFmt w:val="chineseCountingThousand"/>
      <w:lvlText w:val="%1、"/>
      <w:lvlJc w:val="left"/>
      <w:pPr>
        <w:ind w:left="425" w:hanging="425"/>
      </w:pPr>
      <w:rPr>
        <w:b w:val="0"/>
        <w:i w:val="0"/>
        <w:color w:val="auto"/>
        <w:sz w:val="24"/>
        <w:szCs w:val="24"/>
      </w:rPr>
    </w:lvl>
    <w:lvl w:ilvl="1" w:tentative="0">
      <w:start w:val="1"/>
      <w:numFmt w:val="chineseCountingThousand"/>
      <w:lvlText w:val="(%2)"/>
      <w:lvlJc w:val="left"/>
      <w:pPr>
        <w:ind w:left="567" w:hanging="567"/>
      </w:pPr>
      <w:rPr>
        <w:rFonts w:ascii="宋体" w:hAnsi="宋体" w:eastAsia="宋体"/>
        <w:b w:val="0"/>
        <w:i w:val="0"/>
        <w:strike w:val="0"/>
        <w:dstrike w:val="0"/>
        <w:color w:val="auto"/>
        <w:sz w:val="24"/>
        <w:szCs w:val="24"/>
        <w:u w:val="none"/>
      </w:rPr>
    </w:lvl>
    <w:lvl w:ilvl="2" w:tentative="0">
      <w:start w:val="1"/>
      <w:numFmt w:val="decimal"/>
      <w:lvlText w:val="%3."/>
      <w:lvlJc w:val="left"/>
      <w:pPr>
        <w:ind w:left="709" w:hanging="709"/>
      </w:pPr>
      <w:rPr>
        <w:rFonts w:ascii="宋体" w:hAnsi="宋体" w:eastAsia="宋体"/>
        <w:b w:val="0"/>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0F2361DD"/>
    <w:multiLevelType w:val="multilevel"/>
    <w:tmpl w:val="0F2361DD"/>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478586B"/>
    <w:multiLevelType w:val="multilevel"/>
    <w:tmpl w:val="24785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7843FAB"/>
    <w:multiLevelType w:val="multilevel"/>
    <w:tmpl w:val="27843FAB"/>
    <w:lvl w:ilvl="0" w:tentative="0">
      <w:start w:val="1"/>
      <w:numFmt w:val="decimal"/>
      <w:lvlText w:val="%1)"/>
      <w:lvlJc w:val="left"/>
      <w:pPr>
        <w:ind w:left="845" w:hanging="425"/>
      </w:pPr>
      <w:rPr>
        <w:rFonts w:hint="eastAsia"/>
        <w:b w:val="0"/>
      </w:rPr>
    </w:lvl>
    <w:lvl w:ilvl="1" w:tentative="0">
      <w:start w:val="1"/>
      <w:numFmt w:val="decimal"/>
      <w:lvlText w:val="%1.%2."/>
      <w:lvlJc w:val="left"/>
      <w:pPr>
        <w:ind w:left="987" w:hanging="567"/>
      </w:pPr>
      <w:rPr>
        <w:rFonts w:ascii="宋体" w:hAnsi="宋体" w:eastAsia="宋体"/>
      </w:rPr>
    </w:lvl>
    <w:lvl w:ilvl="2" w:tentative="0">
      <w:start w:val="1"/>
      <w:numFmt w:val="decimal"/>
      <w:lvlText w:val="%1.%2.%3."/>
      <w:lvlJc w:val="left"/>
      <w:pPr>
        <w:ind w:left="1129" w:hanging="709"/>
      </w:pPr>
      <w:rPr>
        <w:rFonts w:ascii="宋体" w:hAnsi="宋体" w:eastAsia="宋体"/>
      </w:rPr>
    </w:lvl>
    <w:lvl w:ilvl="3" w:tentative="0">
      <w:start w:val="1"/>
      <w:numFmt w:val="decimal"/>
      <w:lvlText w:val="%1.%2.%3.%4."/>
      <w:lvlJc w:val="left"/>
      <w:pPr>
        <w:ind w:left="1271" w:hanging="851"/>
      </w:p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7">
    <w:nsid w:val="295E43D2"/>
    <w:multiLevelType w:val="multilevel"/>
    <w:tmpl w:val="295E43D2"/>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CD1BAA8"/>
    <w:multiLevelType w:val="singleLevel"/>
    <w:tmpl w:val="2CD1BAA8"/>
    <w:lvl w:ilvl="0" w:tentative="0">
      <w:start w:val="2"/>
      <w:numFmt w:val="decimal"/>
      <w:lvlText w:val="(%1)"/>
      <w:lvlJc w:val="left"/>
    </w:lvl>
  </w:abstractNum>
  <w:abstractNum w:abstractNumId="9">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0">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1">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13">
    <w:nsid w:val="41F51FC8"/>
    <w:multiLevelType w:val="multilevel"/>
    <w:tmpl w:val="41F51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51C043A"/>
    <w:multiLevelType w:val="multilevel"/>
    <w:tmpl w:val="451C043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26"/>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4DA86E80"/>
    <w:multiLevelType w:val="multilevel"/>
    <w:tmpl w:val="4DA86E80"/>
    <w:lvl w:ilvl="0" w:tentative="0">
      <w:start w:val="1"/>
      <w:numFmt w:val="decimal"/>
      <w:lvlText w:val="%1）"/>
      <w:lvlJc w:val="left"/>
      <w:pPr>
        <w:ind w:left="1350" w:hanging="825"/>
      </w:pPr>
      <w:rPr>
        <w:rFonts w:hint="default" w:ascii="宋体" w:hAnsi="宋体"/>
        <w:color w:val="auto"/>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8">
    <w:nsid w:val="50675357"/>
    <w:multiLevelType w:val="multilevel"/>
    <w:tmpl w:val="50675357"/>
    <w:lvl w:ilvl="0" w:tentative="0">
      <w:start w:val="1"/>
      <w:numFmt w:val="decimal"/>
      <w:lvlText w:val="%1."/>
      <w:lvlJc w:val="left"/>
      <w:pPr>
        <w:ind w:left="425" w:hanging="425"/>
      </w:pPr>
      <w:rPr>
        <w:rFonts w:hint="eastAsia" w:ascii="宋体" w:hAnsi="宋体" w:eastAsia="宋体"/>
        <w:b w:val="0"/>
      </w:r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52F42418"/>
    <w:multiLevelType w:val="multilevel"/>
    <w:tmpl w:val="52F42418"/>
    <w:lvl w:ilvl="0" w:tentative="0">
      <w:start w:val="1"/>
      <w:numFmt w:val="chineseCountingThousand"/>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56BB1B21"/>
    <w:multiLevelType w:val="multilevel"/>
    <w:tmpl w:val="56BB1B2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3">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1247931"/>
    <w:multiLevelType w:val="multilevel"/>
    <w:tmpl w:val="61247931"/>
    <w:lvl w:ilvl="0" w:tentative="0">
      <w:start w:val="1"/>
      <w:numFmt w:val="decimal"/>
      <w:lvlText w:val="%1."/>
      <w:lvlJc w:val="left"/>
      <w:pPr>
        <w:ind w:left="735" w:hanging="420"/>
      </w:pPr>
      <w:rPr>
        <w:b w:val="0"/>
        <w:color w:val="auto"/>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5">
    <w:nsid w:val="6F9217A7"/>
    <w:multiLevelType w:val="multilevel"/>
    <w:tmpl w:val="6F9217A7"/>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hint="eastAsia" w:ascii="宋体" w:hAnsi="宋体" w:eastAsia="宋体"/>
        <w:b w:val="0"/>
        <w:i w:val="0"/>
        <w:strike w:val="0"/>
        <w:dstrike w:val="0"/>
        <w:color w:val="auto"/>
        <w:sz w:val="24"/>
        <w:szCs w:val="24"/>
        <w:u w:val="none"/>
      </w:rPr>
    </w:lvl>
    <w:lvl w:ilvl="2" w:tentative="0">
      <w:start w:val="1"/>
      <w:numFmt w:val="decimal"/>
      <w:lvlText w:val="%3."/>
      <w:lvlJc w:val="left"/>
      <w:pPr>
        <w:ind w:left="709" w:hanging="709"/>
      </w:pPr>
      <w:rPr>
        <w:rFonts w:hint="eastAsia" w:ascii="宋体" w:hAnsi="宋体" w:eastAsia="宋体"/>
        <w:b w: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6">
    <w:nsid w:val="7296C0E2"/>
    <w:multiLevelType w:val="multilevel"/>
    <w:tmpl w:val="7296C0E2"/>
    <w:lvl w:ilvl="0" w:tentative="0">
      <w:start w:val="1"/>
      <w:numFmt w:val="chineseCountingThousand"/>
      <w:lvlText w:val="%1、"/>
      <w:lvlJc w:val="left"/>
      <w:pPr>
        <w:ind w:left="425" w:hanging="425"/>
      </w:pPr>
      <w:rPr>
        <w:rFonts w:hint="eastAsia"/>
        <w:b w:val="0"/>
        <w:i w:val="0"/>
        <w:color w:val="auto"/>
        <w:sz w:val="24"/>
        <w:szCs w:val="24"/>
      </w:rPr>
    </w:lvl>
    <w:lvl w:ilvl="1" w:tentative="0">
      <w:start w:val="1"/>
      <w:numFmt w:val="chineseCountingThousand"/>
      <w:lvlText w:val="(%2)"/>
      <w:lvlJc w:val="left"/>
      <w:pPr>
        <w:ind w:left="567" w:hanging="567"/>
      </w:pPr>
      <w:rPr>
        <w:rFonts w:hint="eastAsia" w:ascii="宋体" w:hAnsi="宋体" w:eastAsia="宋体"/>
        <w:b w:val="0"/>
        <w:i w:val="0"/>
        <w:strike w:val="0"/>
        <w:dstrike w:val="0"/>
        <w:color w:val="auto"/>
        <w:sz w:val="24"/>
        <w:szCs w:val="24"/>
        <w:u w:val="none"/>
      </w:rPr>
    </w:lvl>
    <w:lvl w:ilvl="2" w:tentative="0">
      <w:start w:val="1"/>
      <w:numFmt w:val="decimal"/>
      <w:lvlText w:val="%3."/>
      <w:lvlJc w:val="left"/>
      <w:pPr>
        <w:ind w:left="709" w:hanging="709"/>
      </w:pPr>
      <w:rPr>
        <w:rFonts w:hint="eastAsia" w:ascii="宋体" w:hAnsi="宋体" w:eastAsia="宋体"/>
        <w:b w: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7">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A851134"/>
    <w:multiLevelType w:val="multilevel"/>
    <w:tmpl w:val="7A85113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num>
  <w:num w:numId="5">
    <w:abstractNumId w:val="7"/>
  </w:num>
  <w:num w:numId="6">
    <w:abstractNumId w:val="17"/>
  </w:num>
  <w:num w:numId="7">
    <w:abstractNumId w:val="14"/>
  </w:num>
  <w:num w:numId="8">
    <w:abstractNumId w:val="5"/>
  </w:num>
  <w:num w:numId="9">
    <w:abstractNumId w:val="11"/>
  </w:num>
  <w:num w:numId="10">
    <w:abstractNumId w:val="18"/>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6"/>
  </w:num>
  <w:num w:numId="15">
    <w:abstractNumId w:val="25"/>
  </w:num>
  <w:num w:numId="16">
    <w:abstractNumId w:val="22"/>
  </w:num>
  <w:num w:numId="17">
    <w:abstractNumId w:val="10"/>
  </w:num>
  <w:num w:numId="18">
    <w:abstractNumId w:val="28"/>
  </w:num>
  <w:num w:numId="19">
    <w:abstractNumId w:val="9"/>
  </w:num>
  <w:num w:numId="20">
    <w:abstractNumId w:val="12"/>
  </w:num>
  <w:num w:numId="21">
    <w:abstractNumId w:val="2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0"/>
  </w:num>
  <w:num w:numId="25">
    <w:abstractNumId w:val="4"/>
  </w:num>
  <w:num w:numId="26">
    <w:abstractNumId w:val="23"/>
  </w:num>
  <w:num w:numId="27">
    <w:abstractNumId w:val="21"/>
  </w:num>
  <w:num w:numId="28">
    <w:abstractNumId w:val="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59"/>
    <w:rsid w:val="00053F1D"/>
    <w:rsid w:val="00076470"/>
    <w:rsid w:val="000809FA"/>
    <w:rsid w:val="00095490"/>
    <w:rsid w:val="000C2443"/>
    <w:rsid w:val="000D5B1D"/>
    <w:rsid w:val="000F33E4"/>
    <w:rsid w:val="00107439"/>
    <w:rsid w:val="00111351"/>
    <w:rsid w:val="0012180D"/>
    <w:rsid w:val="0014646B"/>
    <w:rsid w:val="001652CE"/>
    <w:rsid w:val="002122CB"/>
    <w:rsid w:val="00215651"/>
    <w:rsid w:val="00217500"/>
    <w:rsid w:val="00220759"/>
    <w:rsid w:val="0024761F"/>
    <w:rsid w:val="002E3CFA"/>
    <w:rsid w:val="002F224E"/>
    <w:rsid w:val="00373922"/>
    <w:rsid w:val="003763E5"/>
    <w:rsid w:val="0038138A"/>
    <w:rsid w:val="00397AB2"/>
    <w:rsid w:val="003A662A"/>
    <w:rsid w:val="003B2DD3"/>
    <w:rsid w:val="004154B6"/>
    <w:rsid w:val="00423744"/>
    <w:rsid w:val="00442656"/>
    <w:rsid w:val="00446C15"/>
    <w:rsid w:val="004C2E2C"/>
    <w:rsid w:val="004E4D46"/>
    <w:rsid w:val="0050099C"/>
    <w:rsid w:val="0052325B"/>
    <w:rsid w:val="00537EA8"/>
    <w:rsid w:val="005C5A7F"/>
    <w:rsid w:val="005F146C"/>
    <w:rsid w:val="00603374"/>
    <w:rsid w:val="00616B8E"/>
    <w:rsid w:val="0062088E"/>
    <w:rsid w:val="00650291"/>
    <w:rsid w:val="00667154"/>
    <w:rsid w:val="0067792F"/>
    <w:rsid w:val="00693825"/>
    <w:rsid w:val="006B1FB3"/>
    <w:rsid w:val="006B5DE0"/>
    <w:rsid w:val="006C33C3"/>
    <w:rsid w:val="006E789D"/>
    <w:rsid w:val="006F29FD"/>
    <w:rsid w:val="007010CD"/>
    <w:rsid w:val="007027DC"/>
    <w:rsid w:val="007036BF"/>
    <w:rsid w:val="00755DCC"/>
    <w:rsid w:val="007E1F5B"/>
    <w:rsid w:val="007F5A19"/>
    <w:rsid w:val="00800827"/>
    <w:rsid w:val="00815D98"/>
    <w:rsid w:val="0084517A"/>
    <w:rsid w:val="00846C36"/>
    <w:rsid w:val="00872590"/>
    <w:rsid w:val="00881D26"/>
    <w:rsid w:val="00895D82"/>
    <w:rsid w:val="008B7A88"/>
    <w:rsid w:val="008D4028"/>
    <w:rsid w:val="008E0F27"/>
    <w:rsid w:val="008F0186"/>
    <w:rsid w:val="0091698C"/>
    <w:rsid w:val="00936D22"/>
    <w:rsid w:val="00960182"/>
    <w:rsid w:val="009713FA"/>
    <w:rsid w:val="00987E4D"/>
    <w:rsid w:val="009B097A"/>
    <w:rsid w:val="009E02A8"/>
    <w:rsid w:val="00A254C5"/>
    <w:rsid w:val="00A257BE"/>
    <w:rsid w:val="00A41C84"/>
    <w:rsid w:val="00A44054"/>
    <w:rsid w:val="00A518DB"/>
    <w:rsid w:val="00A61108"/>
    <w:rsid w:val="00A714CD"/>
    <w:rsid w:val="00AB647A"/>
    <w:rsid w:val="00B178F4"/>
    <w:rsid w:val="00B45D29"/>
    <w:rsid w:val="00C22F78"/>
    <w:rsid w:val="00C343A3"/>
    <w:rsid w:val="00C663EE"/>
    <w:rsid w:val="00C750D4"/>
    <w:rsid w:val="00C879E6"/>
    <w:rsid w:val="00CA70B5"/>
    <w:rsid w:val="00CC50EC"/>
    <w:rsid w:val="00CD0622"/>
    <w:rsid w:val="00CE1F05"/>
    <w:rsid w:val="00D03D82"/>
    <w:rsid w:val="00D14864"/>
    <w:rsid w:val="00D16EBB"/>
    <w:rsid w:val="00D44463"/>
    <w:rsid w:val="00D73EAA"/>
    <w:rsid w:val="00DB03A3"/>
    <w:rsid w:val="00DF72CC"/>
    <w:rsid w:val="00E44955"/>
    <w:rsid w:val="00E85DCC"/>
    <w:rsid w:val="00EA3441"/>
    <w:rsid w:val="00EB624C"/>
    <w:rsid w:val="00EC4661"/>
    <w:rsid w:val="00EC4D8B"/>
    <w:rsid w:val="00EE6351"/>
    <w:rsid w:val="00EE71D4"/>
    <w:rsid w:val="00F21BAD"/>
    <w:rsid w:val="00F36428"/>
    <w:rsid w:val="00F90625"/>
    <w:rsid w:val="00FA6B7E"/>
    <w:rsid w:val="00FB7036"/>
    <w:rsid w:val="00FC40EB"/>
    <w:rsid w:val="00FE0B1C"/>
    <w:rsid w:val="01076FD7"/>
    <w:rsid w:val="010D45D7"/>
    <w:rsid w:val="01100146"/>
    <w:rsid w:val="01177C71"/>
    <w:rsid w:val="011E610E"/>
    <w:rsid w:val="01233CB9"/>
    <w:rsid w:val="01255D48"/>
    <w:rsid w:val="012D6130"/>
    <w:rsid w:val="013446F5"/>
    <w:rsid w:val="013924F5"/>
    <w:rsid w:val="013D7117"/>
    <w:rsid w:val="01456C0A"/>
    <w:rsid w:val="01460851"/>
    <w:rsid w:val="014A2C98"/>
    <w:rsid w:val="014A752A"/>
    <w:rsid w:val="01543ABB"/>
    <w:rsid w:val="01692646"/>
    <w:rsid w:val="016A0798"/>
    <w:rsid w:val="016B1954"/>
    <w:rsid w:val="01863C37"/>
    <w:rsid w:val="01A023BB"/>
    <w:rsid w:val="01AB3259"/>
    <w:rsid w:val="01AB439B"/>
    <w:rsid w:val="01B66F67"/>
    <w:rsid w:val="01B864DF"/>
    <w:rsid w:val="01BA3379"/>
    <w:rsid w:val="01BD240D"/>
    <w:rsid w:val="01BE2DA5"/>
    <w:rsid w:val="01C0060E"/>
    <w:rsid w:val="01CC04BD"/>
    <w:rsid w:val="01CE6F13"/>
    <w:rsid w:val="01CF5629"/>
    <w:rsid w:val="01D55BD9"/>
    <w:rsid w:val="01D829F2"/>
    <w:rsid w:val="01E76F96"/>
    <w:rsid w:val="01EE06D9"/>
    <w:rsid w:val="01F25280"/>
    <w:rsid w:val="01F40FA5"/>
    <w:rsid w:val="01FE472A"/>
    <w:rsid w:val="020739DD"/>
    <w:rsid w:val="020D4CB8"/>
    <w:rsid w:val="02206911"/>
    <w:rsid w:val="02235477"/>
    <w:rsid w:val="02246E58"/>
    <w:rsid w:val="022D2B4F"/>
    <w:rsid w:val="02342AF7"/>
    <w:rsid w:val="0237773C"/>
    <w:rsid w:val="02427C6A"/>
    <w:rsid w:val="024545E6"/>
    <w:rsid w:val="02485AE1"/>
    <w:rsid w:val="024910A2"/>
    <w:rsid w:val="02496491"/>
    <w:rsid w:val="02516405"/>
    <w:rsid w:val="02571DE8"/>
    <w:rsid w:val="025B1A52"/>
    <w:rsid w:val="025B3DAF"/>
    <w:rsid w:val="025C408B"/>
    <w:rsid w:val="02616F3B"/>
    <w:rsid w:val="026E075F"/>
    <w:rsid w:val="02764D92"/>
    <w:rsid w:val="0285293B"/>
    <w:rsid w:val="028F2637"/>
    <w:rsid w:val="028F5FC3"/>
    <w:rsid w:val="029022D1"/>
    <w:rsid w:val="029B0320"/>
    <w:rsid w:val="029C6632"/>
    <w:rsid w:val="02A02BEF"/>
    <w:rsid w:val="02A114C6"/>
    <w:rsid w:val="02B30F4C"/>
    <w:rsid w:val="02B6787A"/>
    <w:rsid w:val="02C103D8"/>
    <w:rsid w:val="02C85C4D"/>
    <w:rsid w:val="02D013D9"/>
    <w:rsid w:val="02D04232"/>
    <w:rsid w:val="02D9087F"/>
    <w:rsid w:val="02DF7AD4"/>
    <w:rsid w:val="02EC00C4"/>
    <w:rsid w:val="02EC4A73"/>
    <w:rsid w:val="02ED1E35"/>
    <w:rsid w:val="02FF6296"/>
    <w:rsid w:val="030179D7"/>
    <w:rsid w:val="03022A39"/>
    <w:rsid w:val="03205778"/>
    <w:rsid w:val="03236AC2"/>
    <w:rsid w:val="03256779"/>
    <w:rsid w:val="03331E67"/>
    <w:rsid w:val="03525BB4"/>
    <w:rsid w:val="03672518"/>
    <w:rsid w:val="03687111"/>
    <w:rsid w:val="037E27E8"/>
    <w:rsid w:val="037F7BA2"/>
    <w:rsid w:val="03845F0D"/>
    <w:rsid w:val="03861EEE"/>
    <w:rsid w:val="038E075C"/>
    <w:rsid w:val="039879F7"/>
    <w:rsid w:val="03B56F97"/>
    <w:rsid w:val="03CC74A6"/>
    <w:rsid w:val="03D11AFF"/>
    <w:rsid w:val="03DE1AAF"/>
    <w:rsid w:val="03E12C23"/>
    <w:rsid w:val="03E145CE"/>
    <w:rsid w:val="03EB5EA0"/>
    <w:rsid w:val="03F94376"/>
    <w:rsid w:val="040075A3"/>
    <w:rsid w:val="040258F9"/>
    <w:rsid w:val="040635BC"/>
    <w:rsid w:val="04202074"/>
    <w:rsid w:val="042B32BA"/>
    <w:rsid w:val="042C421D"/>
    <w:rsid w:val="042C45F3"/>
    <w:rsid w:val="0435791D"/>
    <w:rsid w:val="043D32A2"/>
    <w:rsid w:val="043E32D2"/>
    <w:rsid w:val="044279CF"/>
    <w:rsid w:val="044D7F7C"/>
    <w:rsid w:val="04507948"/>
    <w:rsid w:val="04605644"/>
    <w:rsid w:val="04643FB1"/>
    <w:rsid w:val="046766D3"/>
    <w:rsid w:val="047F5C61"/>
    <w:rsid w:val="04835712"/>
    <w:rsid w:val="04856217"/>
    <w:rsid w:val="048D2B18"/>
    <w:rsid w:val="04A53FE1"/>
    <w:rsid w:val="04B02EDC"/>
    <w:rsid w:val="04B45049"/>
    <w:rsid w:val="04BC3200"/>
    <w:rsid w:val="04C5482A"/>
    <w:rsid w:val="04CA5CA6"/>
    <w:rsid w:val="04CF7C8B"/>
    <w:rsid w:val="04D06007"/>
    <w:rsid w:val="04D40624"/>
    <w:rsid w:val="04D4516F"/>
    <w:rsid w:val="04DF3D66"/>
    <w:rsid w:val="04E6270B"/>
    <w:rsid w:val="04E80ED9"/>
    <w:rsid w:val="04F2702F"/>
    <w:rsid w:val="04F663E2"/>
    <w:rsid w:val="04F75E4C"/>
    <w:rsid w:val="05075E5F"/>
    <w:rsid w:val="050E15AE"/>
    <w:rsid w:val="051154FD"/>
    <w:rsid w:val="051D5098"/>
    <w:rsid w:val="05237F8E"/>
    <w:rsid w:val="053A443A"/>
    <w:rsid w:val="05433EC5"/>
    <w:rsid w:val="0550338B"/>
    <w:rsid w:val="05512A36"/>
    <w:rsid w:val="05552592"/>
    <w:rsid w:val="055C1DDF"/>
    <w:rsid w:val="055E6D0B"/>
    <w:rsid w:val="0562684B"/>
    <w:rsid w:val="05640F83"/>
    <w:rsid w:val="056A51FD"/>
    <w:rsid w:val="056D0EEA"/>
    <w:rsid w:val="056E2362"/>
    <w:rsid w:val="057640AD"/>
    <w:rsid w:val="05777728"/>
    <w:rsid w:val="05861571"/>
    <w:rsid w:val="05983E54"/>
    <w:rsid w:val="05994730"/>
    <w:rsid w:val="059959FF"/>
    <w:rsid w:val="059C7058"/>
    <w:rsid w:val="059D0DCC"/>
    <w:rsid w:val="05A4072B"/>
    <w:rsid w:val="05A66373"/>
    <w:rsid w:val="05B13918"/>
    <w:rsid w:val="05B30505"/>
    <w:rsid w:val="05B601C1"/>
    <w:rsid w:val="05BD281A"/>
    <w:rsid w:val="05C3500F"/>
    <w:rsid w:val="05C5601A"/>
    <w:rsid w:val="05C66CFE"/>
    <w:rsid w:val="05D46C1C"/>
    <w:rsid w:val="05D561DA"/>
    <w:rsid w:val="05D56952"/>
    <w:rsid w:val="05D71877"/>
    <w:rsid w:val="05D81EDD"/>
    <w:rsid w:val="05D92701"/>
    <w:rsid w:val="05DA060F"/>
    <w:rsid w:val="05DF719E"/>
    <w:rsid w:val="05EC7AC4"/>
    <w:rsid w:val="05F2736F"/>
    <w:rsid w:val="05F84CB5"/>
    <w:rsid w:val="06024576"/>
    <w:rsid w:val="060471A6"/>
    <w:rsid w:val="060F5578"/>
    <w:rsid w:val="061A3572"/>
    <w:rsid w:val="06210E90"/>
    <w:rsid w:val="06247FCB"/>
    <w:rsid w:val="062509E9"/>
    <w:rsid w:val="0625397B"/>
    <w:rsid w:val="06296351"/>
    <w:rsid w:val="06326464"/>
    <w:rsid w:val="0637367A"/>
    <w:rsid w:val="063C742D"/>
    <w:rsid w:val="064B263C"/>
    <w:rsid w:val="064C65B4"/>
    <w:rsid w:val="064F4318"/>
    <w:rsid w:val="0654452D"/>
    <w:rsid w:val="06622738"/>
    <w:rsid w:val="06683F90"/>
    <w:rsid w:val="06751F36"/>
    <w:rsid w:val="068A729F"/>
    <w:rsid w:val="068B51FF"/>
    <w:rsid w:val="068E350E"/>
    <w:rsid w:val="06915C39"/>
    <w:rsid w:val="069D4ABD"/>
    <w:rsid w:val="06A00F45"/>
    <w:rsid w:val="06A911AE"/>
    <w:rsid w:val="06A94E70"/>
    <w:rsid w:val="06C51603"/>
    <w:rsid w:val="06C670A8"/>
    <w:rsid w:val="06CA744A"/>
    <w:rsid w:val="06CD1A1D"/>
    <w:rsid w:val="06D17F81"/>
    <w:rsid w:val="06DD4E3D"/>
    <w:rsid w:val="06E7141C"/>
    <w:rsid w:val="06ED59AB"/>
    <w:rsid w:val="06F17DC5"/>
    <w:rsid w:val="06F5637C"/>
    <w:rsid w:val="06F63A05"/>
    <w:rsid w:val="06FB5BEA"/>
    <w:rsid w:val="06FB6328"/>
    <w:rsid w:val="06FD6F5A"/>
    <w:rsid w:val="07050E9A"/>
    <w:rsid w:val="0713372E"/>
    <w:rsid w:val="07136744"/>
    <w:rsid w:val="071873BB"/>
    <w:rsid w:val="071C0EA5"/>
    <w:rsid w:val="071C2B9F"/>
    <w:rsid w:val="071D7C41"/>
    <w:rsid w:val="07445122"/>
    <w:rsid w:val="07455AC0"/>
    <w:rsid w:val="07507F25"/>
    <w:rsid w:val="075130B7"/>
    <w:rsid w:val="075B3CA9"/>
    <w:rsid w:val="075E7DA5"/>
    <w:rsid w:val="076273A3"/>
    <w:rsid w:val="07633D59"/>
    <w:rsid w:val="07656A09"/>
    <w:rsid w:val="07677110"/>
    <w:rsid w:val="077D78AE"/>
    <w:rsid w:val="079040AE"/>
    <w:rsid w:val="07A17C1D"/>
    <w:rsid w:val="07A56326"/>
    <w:rsid w:val="07AD12CC"/>
    <w:rsid w:val="07B25005"/>
    <w:rsid w:val="07B35C3A"/>
    <w:rsid w:val="07B60CF4"/>
    <w:rsid w:val="07BB4BC8"/>
    <w:rsid w:val="07C44F01"/>
    <w:rsid w:val="07D9391A"/>
    <w:rsid w:val="07EA56E7"/>
    <w:rsid w:val="07EB12A0"/>
    <w:rsid w:val="07EC4DBF"/>
    <w:rsid w:val="07ED23C3"/>
    <w:rsid w:val="07F27638"/>
    <w:rsid w:val="07F77B97"/>
    <w:rsid w:val="07FC12FC"/>
    <w:rsid w:val="08032138"/>
    <w:rsid w:val="080C259C"/>
    <w:rsid w:val="080E2CF5"/>
    <w:rsid w:val="081E6D03"/>
    <w:rsid w:val="082549C0"/>
    <w:rsid w:val="08287FB4"/>
    <w:rsid w:val="083927F2"/>
    <w:rsid w:val="083948C1"/>
    <w:rsid w:val="083A63CB"/>
    <w:rsid w:val="083E2CC9"/>
    <w:rsid w:val="084629C6"/>
    <w:rsid w:val="084A0F9B"/>
    <w:rsid w:val="084F3024"/>
    <w:rsid w:val="086037D3"/>
    <w:rsid w:val="086B4787"/>
    <w:rsid w:val="086E7719"/>
    <w:rsid w:val="08707530"/>
    <w:rsid w:val="08714199"/>
    <w:rsid w:val="08846250"/>
    <w:rsid w:val="088B0A0F"/>
    <w:rsid w:val="08937746"/>
    <w:rsid w:val="08997715"/>
    <w:rsid w:val="089E1D6F"/>
    <w:rsid w:val="08A108BB"/>
    <w:rsid w:val="08A52F21"/>
    <w:rsid w:val="08A55AE2"/>
    <w:rsid w:val="08A62C11"/>
    <w:rsid w:val="08A84B0A"/>
    <w:rsid w:val="08AF4250"/>
    <w:rsid w:val="08B96FD1"/>
    <w:rsid w:val="08BA1528"/>
    <w:rsid w:val="08BA6A2E"/>
    <w:rsid w:val="08BF45A4"/>
    <w:rsid w:val="08C12249"/>
    <w:rsid w:val="08C273DC"/>
    <w:rsid w:val="08C576B2"/>
    <w:rsid w:val="08CF4D50"/>
    <w:rsid w:val="08D27BF6"/>
    <w:rsid w:val="08E5218B"/>
    <w:rsid w:val="08E91AA1"/>
    <w:rsid w:val="08F1760E"/>
    <w:rsid w:val="08FB28D6"/>
    <w:rsid w:val="08FB6DB0"/>
    <w:rsid w:val="08FB76E9"/>
    <w:rsid w:val="0904163D"/>
    <w:rsid w:val="090F0BF1"/>
    <w:rsid w:val="091451D1"/>
    <w:rsid w:val="091C599B"/>
    <w:rsid w:val="092007AC"/>
    <w:rsid w:val="09224D8F"/>
    <w:rsid w:val="092330E0"/>
    <w:rsid w:val="0925477F"/>
    <w:rsid w:val="092D1BB8"/>
    <w:rsid w:val="092F6AFE"/>
    <w:rsid w:val="09320FB5"/>
    <w:rsid w:val="09322F0D"/>
    <w:rsid w:val="093341BD"/>
    <w:rsid w:val="09375999"/>
    <w:rsid w:val="094671CE"/>
    <w:rsid w:val="094E68C4"/>
    <w:rsid w:val="09597B04"/>
    <w:rsid w:val="096C6C46"/>
    <w:rsid w:val="096D6BA1"/>
    <w:rsid w:val="097B5D16"/>
    <w:rsid w:val="098D2EB2"/>
    <w:rsid w:val="09917D73"/>
    <w:rsid w:val="09A0309E"/>
    <w:rsid w:val="09A631F6"/>
    <w:rsid w:val="09AC43EE"/>
    <w:rsid w:val="09B13C74"/>
    <w:rsid w:val="09B40FB4"/>
    <w:rsid w:val="09B86002"/>
    <w:rsid w:val="09BC73C1"/>
    <w:rsid w:val="09CD3AC3"/>
    <w:rsid w:val="09D2755D"/>
    <w:rsid w:val="09D417B2"/>
    <w:rsid w:val="09DC0410"/>
    <w:rsid w:val="09DF3FB6"/>
    <w:rsid w:val="09FC691A"/>
    <w:rsid w:val="0A0A04D3"/>
    <w:rsid w:val="0A0E0055"/>
    <w:rsid w:val="0A193412"/>
    <w:rsid w:val="0A331DF5"/>
    <w:rsid w:val="0A394CA9"/>
    <w:rsid w:val="0A3C10C1"/>
    <w:rsid w:val="0A4F3643"/>
    <w:rsid w:val="0A5715D9"/>
    <w:rsid w:val="0A5E4838"/>
    <w:rsid w:val="0A5E69CE"/>
    <w:rsid w:val="0A6104A3"/>
    <w:rsid w:val="0A620FC9"/>
    <w:rsid w:val="0A6C66BA"/>
    <w:rsid w:val="0A6D44BD"/>
    <w:rsid w:val="0A782910"/>
    <w:rsid w:val="0A7A5ECF"/>
    <w:rsid w:val="0A7B00FA"/>
    <w:rsid w:val="0A7E1E5F"/>
    <w:rsid w:val="0A8008E1"/>
    <w:rsid w:val="0A860144"/>
    <w:rsid w:val="0A8648ED"/>
    <w:rsid w:val="0A942906"/>
    <w:rsid w:val="0A9F5AA3"/>
    <w:rsid w:val="0AA40BD4"/>
    <w:rsid w:val="0AB14A71"/>
    <w:rsid w:val="0AC321EE"/>
    <w:rsid w:val="0AC558E6"/>
    <w:rsid w:val="0AC601BD"/>
    <w:rsid w:val="0AC732DE"/>
    <w:rsid w:val="0ACD4604"/>
    <w:rsid w:val="0ACF0DFB"/>
    <w:rsid w:val="0AD20000"/>
    <w:rsid w:val="0AD82858"/>
    <w:rsid w:val="0AD91E36"/>
    <w:rsid w:val="0ADB2BA6"/>
    <w:rsid w:val="0ADE554D"/>
    <w:rsid w:val="0AE47994"/>
    <w:rsid w:val="0AE75D12"/>
    <w:rsid w:val="0AEA52A2"/>
    <w:rsid w:val="0AF00EFE"/>
    <w:rsid w:val="0AF14212"/>
    <w:rsid w:val="0AF210F7"/>
    <w:rsid w:val="0B01368C"/>
    <w:rsid w:val="0B057F4F"/>
    <w:rsid w:val="0B0B542D"/>
    <w:rsid w:val="0B1C567B"/>
    <w:rsid w:val="0B215037"/>
    <w:rsid w:val="0B222495"/>
    <w:rsid w:val="0B2A7363"/>
    <w:rsid w:val="0B2D0D88"/>
    <w:rsid w:val="0B303411"/>
    <w:rsid w:val="0B306BDB"/>
    <w:rsid w:val="0B35589D"/>
    <w:rsid w:val="0B3B46C7"/>
    <w:rsid w:val="0B435D1A"/>
    <w:rsid w:val="0B477723"/>
    <w:rsid w:val="0B4B77A4"/>
    <w:rsid w:val="0B5233A1"/>
    <w:rsid w:val="0B5727D8"/>
    <w:rsid w:val="0B584682"/>
    <w:rsid w:val="0B592B8D"/>
    <w:rsid w:val="0B5C6DF4"/>
    <w:rsid w:val="0B6B23F0"/>
    <w:rsid w:val="0B6D1BA0"/>
    <w:rsid w:val="0B6E29A5"/>
    <w:rsid w:val="0B7016BB"/>
    <w:rsid w:val="0B7F51DF"/>
    <w:rsid w:val="0B813C27"/>
    <w:rsid w:val="0B840A57"/>
    <w:rsid w:val="0B864C0C"/>
    <w:rsid w:val="0B8C64D5"/>
    <w:rsid w:val="0B920A32"/>
    <w:rsid w:val="0B963BF8"/>
    <w:rsid w:val="0B9A48A9"/>
    <w:rsid w:val="0B9E5828"/>
    <w:rsid w:val="0BA64C51"/>
    <w:rsid w:val="0BA760D0"/>
    <w:rsid w:val="0BA96727"/>
    <w:rsid w:val="0BB47B20"/>
    <w:rsid w:val="0BB5246C"/>
    <w:rsid w:val="0BB535CA"/>
    <w:rsid w:val="0BD067E6"/>
    <w:rsid w:val="0BDC5D3C"/>
    <w:rsid w:val="0BE05230"/>
    <w:rsid w:val="0BE11970"/>
    <w:rsid w:val="0BE3559C"/>
    <w:rsid w:val="0BEB5A39"/>
    <w:rsid w:val="0BF53982"/>
    <w:rsid w:val="0C037046"/>
    <w:rsid w:val="0C0716CC"/>
    <w:rsid w:val="0C082284"/>
    <w:rsid w:val="0C131DC7"/>
    <w:rsid w:val="0C145CE4"/>
    <w:rsid w:val="0C1F425A"/>
    <w:rsid w:val="0C2631BC"/>
    <w:rsid w:val="0C2C2891"/>
    <w:rsid w:val="0C324EA6"/>
    <w:rsid w:val="0C40688D"/>
    <w:rsid w:val="0C513FEB"/>
    <w:rsid w:val="0C54299D"/>
    <w:rsid w:val="0C5C7DBC"/>
    <w:rsid w:val="0C5E6115"/>
    <w:rsid w:val="0C656979"/>
    <w:rsid w:val="0C662B4A"/>
    <w:rsid w:val="0C756652"/>
    <w:rsid w:val="0C76664C"/>
    <w:rsid w:val="0C7C0554"/>
    <w:rsid w:val="0C804D22"/>
    <w:rsid w:val="0C964645"/>
    <w:rsid w:val="0C985996"/>
    <w:rsid w:val="0C9C4F63"/>
    <w:rsid w:val="0C9F3B5A"/>
    <w:rsid w:val="0CAC5A8E"/>
    <w:rsid w:val="0CD90F45"/>
    <w:rsid w:val="0CE527A4"/>
    <w:rsid w:val="0CEA4585"/>
    <w:rsid w:val="0CF30A60"/>
    <w:rsid w:val="0D0272E1"/>
    <w:rsid w:val="0D07371E"/>
    <w:rsid w:val="0D085CD5"/>
    <w:rsid w:val="0D29549F"/>
    <w:rsid w:val="0D3668A7"/>
    <w:rsid w:val="0D392327"/>
    <w:rsid w:val="0D3E0AB0"/>
    <w:rsid w:val="0D4125FF"/>
    <w:rsid w:val="0D465059"/>
    <w:rsid w:val="0D48448C"/>
    <w:rsid w:val="0D586F7E"/>
    <w:rsid w:val="0D615942"/>
    <w:rsid w:val="0D6642B2"/>
    <w:rsid w:val="0D690BEB"/>
    <w:rsid w:val="0D6A04F7"/>
    <w:rsid w:val="0D815A20"/>
    <w:rsid w:val="0D8241DA"/>
    <w:rsid w:val="0D91734B"/>
    <w:rsid w:val="0D9E69A8"/>
    <w:rsid w:val="0DA40C88"/>
    <w:rsid w:val="0DAB0F99"/>
    <w:rsid w:val="0DAB1B56"/>
    <w:rsid w:val="0DB14954"/>
    <w:rsid w:val="0DB514C0"/>
    <w:rsid w:val="0DBD165B"/>
    <w:rsid w:val="0DC346B8"/>
    <w:rsid w:val="0DC71864"/>
    <w:rsid w:val="0DC76181"/>
    <w:rsid w:val="0DCA7491"/>
    <w:rsid w:val="0DDA7F38"/>
    <w:rsid w:val="0DDB0986"/>
    <w:rsid w:val="0DDD06BB"/>
    <w:rsid w:val="0DDE4713"/>
    <w:rsid w:val="0DE17245"/>
    <w:rsid w:val="0DE74469"/>
    <w:rsid w:val="0DEE4374"/>
    <w:rsid w:val="0DEF3C94"/>
    <w:rsid w:val="0DF52AAA"/>
    <w:rsid w:val="0DF86DCB"/>
    <w:rsid w:val="0DFB1953"/>
    <w:rsid w:val="0DFF2D63"/>
    <w:rsid w:val="0E0E08B7"/>
    <w:rsid w:val="0E143ECF"/>
    <w:rsid w:val="0E1B51E4"/>
    <w:rsid w:val="0E282319"/>
    <w:rsid w:val="0E3A4805"/>
    <w:rsid w:val="0E4A6F1D"/>
    <w:rsid w:val="0E537A1E"/>
    <w:rsid w:val="0E5B58B9"/>
    <w:rsid w:val="0E62130E"/>
    <w:rsid w:val="0E650473"/>
    <w:rsid w:val="0E681100"/>
    <w:rsid w:val="0E6B31D8"/>
    <w:rsid w:val="0E73215E"/>
    <w:rsid w:val="0E813F40"/>
    <w:rsid w:val="0E820509"/>
    <w:rsid w:val="0E896FFE"/>
    <w:rsid w:val="0E8F652D"/>
    <w:rsid w:val="0E9341BB"/>
    <w:rsid w:val="0E9C5605"/>
    <w:rsid w:val="0E9E0984"/>
    <w:rsid w:val="0E9E4DC0"/>
    <w:rsid w:val="0EAF6F74"/>
    <w:rsid w:val="0EB57A21"/>
    <w:rsid w:val="0EBB3ECC"/>
    <w:rsid w:val="0EC109B9"/>
    <w:rsid w:val="0EDA5675"/>
    <w:rsid w:val="0EE04776"/>
    <w:rsid w:val="0EEA3D8E"/>
    <w:rsid w:val="0EF24883"/>
    <w:rsid w:val="0EF408C9"/>
    <w:rsid w:val="0F09758C"/>
    <w:rsid w:val="0F1C36D3"/>
    <w:rsid w:val="0F237C9A"/>
    <w:rsid w:val="0F411FE7"/>
    <w:rsid w:val="0F5109C9"/>
    <w:rsid w:val="0F566D59"/>
    <w:rsid w:val="0F5C3DBD"/>
    <w:rsid w:val="0F6064A8"/>
    <w:rsid w:val="0F6F66F8"/>
    <w:rsid w:val="0F723F3C"/>
    <w:rsid w:val="0F752C30"/>
    <w:rsid w:val="0F802285"/>
    <w:rsid w:val="0F827398"/>
    <w:rsid w:val="0F877AE7"/>
    <w:rsid w:val="0F8C27C0"/>
    <w:rsid w:val="0F9261BA"/>
    <w:rsid w:val="0F934178"/>
    <w:rsid w:val="0F972A29"/>
    <w:rsid w:val="0F997E52"/>
    <w:rsid w:val="0F9E1CE2"/>
    <w:rsid w:val="0FAD2C02"/>
    <w:rsid w:val="0FB85E4B"/>
    <w:rsid w:val="0FBD61C4"/>
    <w:rsid w:val="0FC57A5F"/>
    <w:rsid w:val="0FCB1C3D"/>
    <w:rsid w:val="0FD161C4"/>
    <w:rsid w:val="0FD6699C"/>
    <w:rsid w:val="0FE72674"/>
    <w:rsid w:val="0FEB7E0D"/>
    <w:rsid w:val="0FF63D67"/>
    <w:rsid w:val="0FF8224E"/>
    <w:rsid w:val="100866C9"/>
    <w:rsid w:val="101375D5"/>
    <w:rsid w:val="10216F3E"/>
    <w:rsid w:val="10281CAB"/>
    <w:rsid w:val="102A2CD2"/>
    <w:rsid w:val="102B762A"/>
    <w:rsid w:val="1039482C"/>
    <w:rsid w:val="1045085E"/>
    <w:rsid w:val="10464D9F"/>
    <w:rsid w:val="104C0CCB"/>
    <w:rsid w:val="105B31EF"/>
    <w:rsid w:val="105F59D9"/>
    <w:rsid w:val="106845BA"/>
    <w:rsid w:val="106B16E5"/>
    <w:rsid w:val="108037BD"/>
    <w:rsid w:val="10805D57"/>
    <w:rsid w:val="10830267"/>
    <w:rsid w:val="108F770C"/>
    <w:rsid w:val="10903BB8"/>
    <w:rsid w:val="10951E9E"/>
    <w:rsid w:val="109E4DDE"/>
    <w:rsid w:val="10A66BB5"/>
    <w:rsid w:val="10A90238"/>
    <w:rsid w:val="10AF0D25"/>
    <w:rsid w:val="10B72375"/>
    <w:rsid w:val="10B729A8"/>
    <w:rsid w:val="10B937F6"/>
    <w:rsid w:val="10BF066C"/>
    <w:rsid w:val="10C36F86"/>
    <w:rsid w:val="10C554CE"/>
    <w:rsid w:val="10CF2502"/>
    <w:rsid w:val="10DC0B43"/>
    <w:rsid w:val="10DD5695"/>
    <w:rsid w:val="10DE1A89"/>
    <w:rsid w:val="10DE628A"/>
    <w:rsid w:val="10F63A48"/>
    <w:rsid w:val="1108553C"/>
    <w:rsid w:val="11092752"/>
    <w:rsid w:val="11110886"/>
    <w:rsid w:val="11156B5F"/>
    <w:rsid w:val="112213FC"/>
    <w:rsid w:val="112A0E5B"/>
    <w:rsid w:val="112C5325"/>
    <w:rsid w:val="112F1AE5"/>
    <w:rsid w:val="11307502"/>
    <w:rsid w:val="113334A9"/>
    <w:rsid w:val="113D0BD7"/>
    <w:rsid w:val="11415019"/>
    <w:rsid w:val="114657CA"/>
    <w:rsid w:val="11471DEC"/>
    <w:rsid w:val="11494296"/>
    <w:rsid w:val="11510737"/>
    <w:rsid w:val="115D0895"/>
    <w:rsid w:val="11647640"/>
    <w:rsid w:val="11744F0C"/>
    <w:rsid w:val="1184410A"/>
    <w:rsid w:val="118603A6"/>
    <w:rsid w:val="11A13830"/>
    <w:rsid w:val="11A55C03"/>
    <w:rsid w:val="11B036C7"/>
    <w:rsid w:val="11BE738E"/>
    <w:rsid w:val="11C63C86"/>
    <w:rsid w:val="11CE6E93"/>
    <w:rsid w:val="11D371FD"/>
    <w:rsid w:val="11DF7B3A"/>
    <w:rsid w:val="11EA25D5"/>
    <w:rsid w:val="11EE6DCA"/>
    <w:rsid w:val="11EF0378"/>
    <w:rsid w:val="11F128D4"/>
    <w:rsid w:val="11F3526B"/>
    <w:rsid w:val="11F702EF"/>
    <w:rsid w:val="11F86AFE"/>
    <w:rsid w:val="1206407A"/>
    <w:rsid w:val="120A0329"/>
    <w:rsid w:val="12120705"/>
    <w:rsid w:val="12274679"/>
    <w:rsid w:val="122B667F"/>
    <w:rsid w:val="12307737"/>
    <w:rsid w:val="123B714B"/>
    <w:rsid w:val="123D1C01"/>
    <w:rsid w:val="12431197"/>
    <w:rsid w:val="124654AF"/>
    <w:rsid w:val="12480DE3"/>
    <w:rsid w:val="124D3BE6"/>
    <w:rsid w:val="125245BE"/>
    <w:rsid w:val="12654091"/>
    <w:rsid w:val="12684E43"/>
    <w:rsid w:val="126B41F6"/>
    <w:rsid w:val="126C6635"/>
    <w:rsid w:val="128240B1"/>
    <w:rsid w:val="128E200F"/>
    <w:rsid w:val="12905F0B"/>
    <w:rsid w:val="1298260B"/>
    <w:rsid w:val="129D50AA"/>
    <w:rsid w:val="12A01EC8"/>
    <w:rsid w:val="12A37F6B"/>
    <w:rsid w:val="12A85EC5"/>
    <w:rsid w:val="12A93F60"/>
    <w:rsid w:val="12B0212D"/>
    <w:rsid w:val="12B20D6A"/>
    <w:rsid w:val="12B322E9"/>
    <w:rsid w:val="12BB2356"/>
    <w:rsid w:val="12BE5707"/>
    <w:rsid w:val="12C44259"/>
    <w:rsid w:val="12CB752C"/>
    <w:rsid w:val="12CD54BA"/>
    <w:rsid w:val="12D1493E"/>
    <w:rsid w:val="12DA4151"/>
    <w:rsid w:val="12DE5AA3"/>
    <w:rsid w:val="12E12EDF"/>
    <w:rsid w:val="12EC16B3"/>
    <w:rsid w:val="12EE3831"/>
    <w:rsid w:val="12EF39F1"/>
    <w:rsid w:val="12FC2777"/>
    <w:rsid w:val="12FC3DC2"/>
    <w:rsid w:val="13077776"/>
    <w:rsid w:val="130969F4"/>
    <w:rsid w:val="13096C1B"/>
    <w:rsid w:val="130B5931"/>
    <w:rsid w:val="130D399B"/>
    <w:rsid w:val="130E5589"/>
    <w:rsid w:val="131C61D5"/>
    <w:rsid w:val="131C6844"/>
    <w:rsid w:val="131D7918"/>
    <w:rsid w:val="1323777A"/>
    <w:rsid w:val="13254FDA"/>
    <w:rsid w:val="132E1516"/>
    <w:rsid w:val="1331725B"/>
    <w:rsid w:val="13362A82"/>
    <w:rsid w:val="133F4332"/>
    <w:rsid w:val="13421F12"/>
    <w:rsid w:val="13445761"/>
    <w:rsid w:val="134B3396"/>
    <w:rsid w:val="134C3392"/>
    <w:rsid w:val="136B2BD9"/>
    <w:rsid w:val="13702E67"/>
    <w:rsid w:val="13710D11"/>
    <w:rsid w:val="13755F24"/>
    <w:rsid w:val="137778F1"/>
    <w:rsid w:val="137C7919"/>
    <w:rsid w:val="13926679"/>
    <w:rsid w:val="139B7900"/>
    <w:rsid w:val="13AB10C3"/>
    <w:rsid w:val="13B66AE6"/>
    <w:rsid w:val="13B94ADF"/>
    <w:rsid w:val="13BE37A7"/>
    <w:rsid w:val="13BF1E66"/>
    <w:rsid w:val="13C92A31"/>
    <w:rsid w:val="13CC3968"/>
    <w:rsid w:val="13D31DF6"/>
    <w:rsid w:val="13DD428B"/>
    <w:rsid w:val="13DF3B41"/>
    <w:rsid w:val="13EB4D36"/>
    <w:rsid w:val="13F40833"/>
    <w:rsid w:val="13FC25C4"/>
    <w:rsid w:val="14005C22"/>
    <w:rsid w:val="14041B5B"/>
    <w:rsid w:val="14086309"/>
    <w:rsid w:val="1413722A"/>
    <w:rsid w:val="141E453A"/>
    <w:rsid w:val="141F5AFE"/>
    <w:rsid w:val="142719F6"/>
    <w:rsid w:val="142F1F6D"/>
    <w:rsid w:val="14397000"/>
    <w:rsid w:val="143B6C9F"/>
    <w:rsid w:val="143C1B5C"/>
    <w:rsid w:val="143C67C3"/>
    <w:rsid w:val="143E42F5"/>
    <w:rsid w:val="14612821"/>
    <w:rsid w:val="146B05E1"/>
    <w:rsid w:val="146B31C5"/>
    <w:rsid w:val="146C0821"/>
    <w:rsid w:val="14853944"/>
    <w:rsid w:val="148C1B36"/>
    <w:rsid w:val="14901548"/>
    <w:rsid w:val="14991348"/>
    <w:rsid w:val="149F3E4D"/>
    <w:rsid w:val="14B15D22"/>
    <w:rsid w:val="14B97A92"/>
    <w:rsid w:val="14C655E5"/>
    <w:rsid w:val="14C861FB"/>
    <w:rsid w:val="14CD1FF7"/>
    <w:rsid w:val="14D36B81"/>
    <w:rsid w:val="14DC30F3"/>
    <w:rsid w:val="14E562E0"/>
    <w:rsid w:val="14E845CC"/>
    <w:rsid w:val="14EA3BE1"/>
    <w:rsid w:val="14EF601F"/>
    <w:rsid w:val="14F33418"/>
    <w:rsid w:val="14FA0013"/>
    <w:rsid w:val="14FA5E80"/>
    <w:rsid w:val="14FF23E5"/>
    <w:rsid w:val="14FF6E26"/>
    <w:rsid w:val="150022D1"/>
    <w:rsid w:val="15050672"/>
    <w:rsid w:val="15074E61"/>
    <w:rsid w:val="150D4E1E"/>
    <w:rsid w:val="150F1ED6"/>
    <w:rsid w:val="15142668"/>
    <w:rsid w:val="151D206E"/>
    <w:rsid w:val="15286794"/>
    <w:rsid w:val="152C765F"/>
    <w:rsid w:val="15401471"/>
    <w:rsid w:val="155520BD"/>
    <w:rsid w:val="155F033A"/>
    <w:rsid w:val="156E03F6"/>
    <w:rsid w:val="15710A67"/>
    <w:rsid w:val="15753EFF"/>
    <w:rsid w:val="15786EBF"/>
    <w:rsid w:val="157924C7"/>
    <w:rsid w:val="157F44A7"/>
    <w:rsid w:val="15823112"/>
    <w:rsid w:val="15831A68"/>
    <w:rsid w:val="158E7CA3"/>
    <w:rsid w:val="158F7009"/>
    <w:rsid w:val="15907E04"/>
    <w:rsid w:val="159B2DD6"/>
    <w:rsid w:val="159D06A1"/>
    <w:rsid w:val="159D726A"/>
    <w:rsid w:val="15A313AC"/>
    <w:rsid w:val="15AC5474"/>
    <w:rsid w:val="15BD36C0"/>
    <w:rsid w:val="15BF6870"/>
    <w:rsid w:val="15C51ED2"/>
    <w:rsid w:val="15D103CA"/>
    <w:rsid w:val="15D10DCA"/>
    <w:rsid w:val="15DC7DEF"/>
    <w:rsid w:val="15DF306C"/>
    <w:rsid w:val="15EB220D"/>
    <w:rsid w:val="15EF7E12"/>
    <w:rsid w:val="15F20A86"/>
    <w:rsid w:val="1603237C"/>
    <w:rsid w:val="1607459A"/>
    <w:rsid w:val="160D3373"/>
    <w:rsid w:val="16147D16"/>
    <w:rsid w:val="161C2BC7"/>
    <w:rsid w:val="163367B4"/>
    <w:rsid w:val="16373386"/>
    <w:rsid w:val="16374A54"/>
    <w:rsid w:val="163E35B0"/>
    <w:rsid w:val="16426B8B"/>
    <w:rsid w:val="16481886"/>
    <w:rsid w:val="165266E7"/>
    <w:rsid w:val="16542547"/>
    <w:rsid w:val="16554F76"/>
    <w:rsid w:val="165811A6"/>
    <w:rsid w:val="165D528E"/>
    <w:rsid w:val="166313A7"/>
    <w:rsid w:val="166D7AEE"/>
    <w:rsid w:val="167006B3"/>
    <w:rsid w:val="16765CF9"/>
    <w:rsid w:val="167B0CE8"/>
    <w:rsid w:val="16844690"/>
    <w:rsid w:val="168618B8"/>
    <w:rsid w:val="16886F66"/>
    <w:rsid w:val="16932C4F"/>
    <w:rsid w:val="16952D61"/>
    <w:rsid w:val="16961D80"/>
    <w:rsid w:val="169C5B4A"/>
    <w:rsid w:val="169E43BB"/>
    <w:rsid w:val="16A1248C"/>
    <w:rsid w:val="16A71D6A"/>
    <w:rsid w:val="16AC1D7E"/>
    <w:rsid w:val="16AE2AD6"/>
    <w:rsid w:val="16BD2C63"/>
    <w:rsid w:val="16C03FA8"/>
    <w:rsid w:val="16C20D93"/>
    <w:rsid w:val="16C908C1"/>
    <w:rsid w:val="16C941AB"/>
    <w:rsid w:val="16CE431A"/>
    <w:rsid w:val="16D37FC1"/>
    <w:rsid w:val="16D436D3"/>
    <w:rsid w:val="16D55A26"/>
    <w:rsid w:val="16DF1B6A"/>
    <w:rsid w:val="16DF490F"/>
    <w:rsid w:val="16F1047C"/>
    <w:rsid w:val="16F27B2F"/>
    <w:rsid w:val="16F34581"/>
    <w:rsid w:val="16FB0EAA"/>
    <w:rsid w:val="17080B36"/>
    <w:rsid w:val="170B1411"/>
    <w:rsid w:val="17251228"/>
    <w:rsid w:val="172C190E"/>
    <w:rsid w:val="17313DBB"/>
    <w:rsid w:val="173642F1"/>
    <w:rsid w:val="173B2CBB"/>
    <w:rsid w:val="1746166A"/>
    <w:rsid w:val="174C0B25"/>
    <w:rsid w:val="17515D17"/>
    <w:rsid w:val="175225A9"/>
    <w:rsid w:val="175E7109"/>
    <w:rsid w:val="175F762D"/>
    <w:rsid w:val="17605E59"/>
    <w:rsid w:val="176D2223"/>
    <w:rsid w:val="176E5AAD"/>
    <w:rsid w:val="17716C8E"/>
    <w:rsid w:val="17733879"/>
    <w:rsid w:val="17830166"/>
    <w:rsid w:val="178B5941"/>
    <w:rsid w:val="179A1BF1"/>
    <w:rsid w:val="179B3199"/>
    <w:rsid w:val="17A54224"/>
    <w:rsid w:val="17A55683"/>
    <w:rsid w:val="17B152CC"/>
    <w:rsid w:val="17B45059"/>
    <w:rsid w:val="17BE238F"/>
    <w:rsid w:val="17D65AF0"/>
    <w:rsid w:val="17DD3C4A"/>
    <w:rsid w:val="17DE2C4B"/>
    <w:rsid w:val="17F62CAF"/>
    <w:rsid w:val="180A5128"/>
    <w:rsid w:val="180C16C3"/>
    <w:rsid w:val="181227BC"/>
    <w:rsid w:val="18144B2E"/>
    <w:rsid w:val="1816449B"/>
    <w:rsid w:val="181C5707"/>
    <w:rsid w:val="18216B8A"/>
    <w:rsid w:val="18271570"/>
    <w:rsid w:val="182A77A3"/>
    <w:rsid w:val="18301DAA"/>
    <w:rsid w:val="183D5BC2"/>
    <w:rsid w:val="18406503"/>
    <w:rsid w:val="18457E93"/>
    <w:rsid w:val="184E4896"/>
    <w:rsid w:val="18544A4F"/>
    <w:rsid w:val="1855371E"/>
    <w:rsid w:val="18560CAD"/>
    <w:rsid w:val="186D2EF5"/>
    <w:rsid w:val="187362C4"/>
    <w:rsid w:val="187545CF"/>
    <w:rsid w:val="1877046D"/>
    <w:rsid w:val="187A16E0"/>
    <w:rsid w:val="187D0D0A"/>
    <w:rsid w:val="187D43CE"/>
    <w:rsid w:val="188327CB"/>
    <w:rsid w:val="18836D5B"/>
    <w:rsid w:val="188B6184"/>
    <w:rsid w:val="18A31B7F"/>
    <w:rsid w:val="18AF00FC"/>
    <w:rsid w:val="18B57A11"/>
    <w:rsid w:val="18B70484"/>
    <w:rsid w:val="18B83042"/>
    <w:rsid w:val="18C120BC"/>
    <w:rsid w:val="18C1482D"/>
    <w:rsid w:val="18CA6615"/>
    <w:rsid w:val="18DF25A4"/>
    <w:rsid w:val="18E4078D"/>
    <w:rsid w:val="18EF4C22"/>
    <w:rsid w:val="18F009F7"/>
    <w:rsid w:val="18F21B8A"/>
    <w:rsid w:val="18F53D88"/>
    <w:rsid w:val="18FA37F2"/>
    <w:rsid w:val="18FC2B99"/>
    <w:rsid w:val="19010BA7"/>
    <w:rsid w:val="19076E72"/>
    <w:rsid w:val="19077523"/>
    <w:rsid w:val="190F6C58"/>
    <w:rsid w:val="191344EC"/>
    <w:rsid w:val="19161B88"/>
    <w:rsid w:val="19164014"/>
    <w:rsid w:val="19234D10"/>
    <w:rsid w:val="1925244E"/>
    <w:rsid w:val="19294D1D"/>
    <w:rsid w:val="19304F5E"/>
    <w:rsid w:val="193B58FE"/>
    <w:rsid w:val="193D5B8D"/>
    <w:rsid w:val="194F199E"/>
    <w:rsid w:val="19587032"/>
    <w:rsid w:val="195A3EF5"/>
    <w:rsid w:val="195C5F46"/>
    <w:rsid w:val="196B1356"/>
    <w:rsid w:val="19724549"/>
    <w:rsid w:val="197431E8"/>
    <w:rsid w:val="1974743A"/>
    <w:rsid w:val="1975458D"/>
    <w:rsid w:val="197B0865"/>
    <w:rsid w:val="19831D76"/>
    <w:rsid w:val="19875DC6"/>
    <w:rsid w:val="19884618"/>
    <w:rsid w:val="198C7715"/>
    <w:rsid w:val="19900EA4"/>
    <w:rsid w:val="1998232D"/>
    <w:rsid w:val="199A2DDB"/>
    <w:rsid w:val="199D6A85"/>
    <w:rsid w:val="19A606F4"/>
    <w:rsid w:val="19B50EB0"/>
    <w:rsid w:val="19C50385"/>
    <w:rsid w:val="19CC61D4"/>
    <w:rsid w:val="19CF2CD4"/>
    <w:rsid w:val="19D42DBF"/>
    <w:rsid w:val="19D97E24"/>
    <w:rsid w:val="19DD29CA"/>
    <w:rsid w:val="19E44EFF"/>
    <w:rsid w:val="19EB0279"/>
    <w:rsid w:val="19F7674A"/>
    <w:rsid w:val="19FC0C40"/>
    <w:rsid w:val="19FF2A68"/>
    <w:rsid w:val="1A055CE3"/>
    <w:rsid w:val="1A063C69"/>
    <w:rsid w:val="1A065B0A"/>
    <w:rsid w:val="1A200EBD"/>
    <w:rsid w:val="1A2519F7"/>
    <w:rsid w:val="1A2D2C6A"/>
    <w:rsid w:val="1A2E565B"/>
    <w:rsid w:val="1A3129A2"/>
    <w:rsid w:val="1A3168F5"/>
    <w:rsid w:val="1A332F12"/>
    <w:rsid w:val="1A3A0BE6"/>
    <w:rsid w:val="1A3B3FC5"/>
    <w:rsid w:val="1A3B753C"/>
    <w:rsid w:val="1A3B7C41"/>
    <w:rsid w:val="1A3D4271"/>
    <w:rsid w:val="1A3E1DA3"/>
    <w:rsid w:val="1A413FFF"/>
    <w:rsid w:val="1A4243BB"/>
    <w:rsid w:val="1A437302"/>
    <w:rsid w:val="1A471FA2"/>
    <w:rsid w:val="1A4951D6"/>
    <w:rsid w:val="1A537FE8"/>
    <w:rsid w:val="1A547060"/>
    <w:rsid w:val="1A551D7A"/>
    <w:rsid w:val="1A591588"/>
    <w:rsid w:val="1A673513"/>
    <w:rsid w:val="1A6B1D7F"/>
    <w:rsid w:val="1A785DD9"/>
    <w:rsid w:val="1A7C2A99"/>
    <w:rsid w:val="1A872451"/>
    <w:rsid w:val="1A93317C"/>
    <w:rsid w:val="1AA440D0"/>
    <w:rsid w:val="1AAA1233"/>
    <w:rsid w:val="1AAA75F2"/>
    <w:rsid w:val="1AC031C9"/>
    <w:rsid w:val="1AC84BC7"/>
    <w:rsid w:val="1ACE4AD7"/>
    <w:rsid w:val="1ADC4E7D"/>
    <w:rsid w:val="1AE156E8"/>
    <w:rsid w:val="1AE33CF4"/>
    <w:rsid w:val="1AF4060B"/>
    <w:rsid w:val="1AFB485C"/>
    <w:rsid w:val="1AFE7E88"/>
    <w:rsid w:val="1B09577A"/>
    <w:rsid w:val="1B0C1569"/>
    <w:rsid w:val="1B1612B6"/>
    <w:rsid w:val="1B1B46BD"/>
    <w:rsid w:val="1B2B6878"/>
    <w:rsid w:val="1B320CED"/>
    <w:rsid w:val="1B375393"/>
    <w:rsid w:val="1B3B5530"/>
    <w:rsid w:val="1B4368FA"/>
    <w:rsid w:val="1B4542E3"/>
    <w:rsid w:val="1B4668E5"/>
    <w:rsid w:val="1B4A664B"/>
    <w:rsid w:val="1B4B0E3A"/>
    <w:rsid w:val="1B572293"/>
    <w:rsid w:val="1B586C82"/>
    <w:rsid w:val="1B5B71A3"/>
    <w:rsid w:val="1B5F0ECC"/>
    <w:rsid w:val="1B65563D"/>
    <w:rsid w:val="1B6E70A2"/>
    <w:rsid w:val="1B99573B"/>
    <w:rsid w:val="1BA52C65"/>
    <w:rsid w:val="1BAC5BFB"/>
    <w:rsid w:val="1BB03CEA"/>
    <w:rsid w:val="1BBD78EF"/>
    <w:rsid w:val="1BC944CA"/>
    <w:rsid w:val="1BDA3373"/>
    <w:rsid w:val="1BE97D47"/>
    <w:rsid w:val="1BF07F0D"/>
    <w:rsid w:val="1BFE40D3"/>
    <w:rsid w:val="1BFF6E19"/>
    <w:rsid w:val="1C0A2CDF"/>
    <w:rsid w:val="1C0A3A2D"/>
    <w:rsid w:val="1C0C46AE"/>
    <w:rsid w:val="1C175818"/>
    <w:rsid w:val="1C19604A"/>
    <w:rsid w:val="1C1A5E23"/>
    <w:rsid w:val="1C2A5F1F"/>
    <w:rsid w:val="1C2D0830"/>
    <w:rsid w:val="1C311EC8"/>
    <w:rsid w:val="1C393F7F"/>
    <w:rsid w:val="1C3D6B63"/>
    <w:rsid w:val="1C453B8A"/>
    <w:rsid w:val="1C4D24E6"/>
    <w:rsid w:val="1C4F4B73"/>
    <w:rsid w:val="1C534CC0"/>
    <w:rsid w:val="1C562F08"/>
    <w:rsid w:val="1C7872F8"/>
    <w:rsid w:val="1C856E3E"/>
    <w:rsid w:val="1C8D7615"/>
    <w:rsid w:val="1C913CA3"/>
    <w:rsid w:val="1C937D88"/>
    <w:rsid w:val="1C946292"/>
    <w:rsid w:val="1CAA7BAF"/>
    <w:rsid w:val="1CB6203D"/>
    <w:rsid w:val="1CC41DE5"/>
    <w:rsid w:val="1CC45194"/>
    <w:rsid w:val="1CD121FE"/>
    <w:rsid w:val="1CD60AC2"/>
    <w:rsid w:val="1CD62583"/>
    <w:rsid w:val="1CD824EF"/>
    <w:rsid w:val="1CDB2883"/>
    <w:rsid w:val="1CE11909"/>
    <w:rsid w:val="1CE50BAF"/>
    <w:rsid w:val="1CE53F61"/>
    <w:rsid w:val="1CE9015E"/>
    <w:rsid w:val="1CEB100A"/>
    <w:rsid w:val="1D037DF0"/>
    <w:rsid w:val="1D1241CC"/>
    <w:rsid w:val="1D151B49"/>
    <w:rsid w:val="1D1A61C7"/>
    <w:rsid w:val="1D1C63EE"/>
    <w:rsid w:val="1D1D310C"/>
    <w:rsid w:val="1D1F1BCA"/>
    <w:rsid w:val="1D216171"/>
    <w:rsid w:val="1D255157"/>
    <w:rsid w:val="1D2B2847"/>
    <w:rsid w:val="1D2B4BDB"/>
    <w:rsid w:val="1D31038F"/>
    <w:rsid w:val="1D3339E6"/>
    <w:rsid w:val="1D3645D7"/>
    <w:rsid w:val="1D3836AD"/>
    <w:rsid w:val="1D3A6AAF"/>
    <w:rsid w:val="1D490CFC"/>
    <w:rsid w:val="1D494834"/>
    <w:rsid w:val="1D543505"/>
    <w:rsid w:val="1D5A22B2"/>
    <w:rsid w:val="1D6F2115"/>
    <w:rsid w:val="1D717800"/>
    <w:rsid w:val="1D722A11"/>
    <w:rsid w:val="1D73437F"/>
    <w:rsid w:val="1D7B731D"/>
    <w:rsid w:val="1D8612F4"/>
    <w:rsid w:val="1D95191E"/>
    <w:rsid w:val="1DA05543"/>
    <w:rsid w:val="1DA36DB0"/>
    <w:rsid w:val="1DA70405"/>
    <w:rsid w:val="1DA7671B"/>
    <w:rsid w:val="1DAD467B"/>
    <w:rsid w:val="1DBC4C99"/>
    <w:rsid w:val="1DBE402F"/>
    <w:rsid w:val="1DC440DC"/>
    <w:rsid w:val="1DC44B42"/>
    <w:rsid w:val="1DCA27AD"/>
    <w:rsid w:val="1DCA598A"/>
    <w:rsid w:val="1DD22E92"/>
    <w:rsid w:val="1DD52E51"/>
    <w:rsid w:val="1DDF50C5"/>
    <w:rsid w:val="1DE33AED"/>
    <w:rsid w:val="1DE85A1C"/>
    <w:rsid w:val="1DF548F1"/>
    <w:rsid w:val="1DFD6276"/>
    <w:rsid w:val="1DFF24FD"/>
    <w:rsid w:val="1E035B0C"/>
    <w:rsid w:val="1E0D6AC0"/>
    <w:rsid w:val="1E0E5C41"/>
    <w:rsid w:val="1E106F71"/>
    <w:rsid w:val="1E14276A"/>
    <w:rsid w:val="1E184A44"/>
    <w:rsid w:val="1E2B0555"/>
    <w:rsid w:val="1E2B5075"/>
    <w:rsid w:val="1E2E10EA"/>
    <w:rsid w:val="1E3320D1"/>
    <w:rsid w:val="1E3A1BC8"/>
    <w:rsid w:val="1E42337D"/>
    <w:rsid w:val="1E4473B7"/>
    <w:rsid w:val="1E474640"/>
    <w:rsid w:val="1E4B3DCC"/>
    <w:rsid w:val="1E4D0DE6"/>
    <w:rsid w:val="1E5833F9"/>
    <w:rsid w:val="1E5E5C25"/>
    <w:rsid w:val="1E635478"/>
    <w:rsid w:val="1E651F92"/>
    <w:rsid w:val="1E684069"/>
    <w:rsid w:val="1E6912CF"/>
    <w:rsid w:val="1E691D5F"/>
    <w:rsid w:val="1E821B6B"/>
    <w:rsid w:val="1E8645D2"/>
    <w:rsid w:val="1E9027B4"/>
    <w:rsid w:val="1E9A5B08"/>
    <w:rsid w:val="1E9A5D49"/>
    <w:rsid w:val="1EA22DB2"/>
    <w:rsid w:val="1EAA0F84"/>
    <w:rsid w:val="1EB72233"/>
    <w:rsid w:val="1EBA3082"/>
    <w:rsid w:val="1EBE5C51"/>
    <w:rsid w:val="1EC27D37"/>
    <w:rsid w:val="1ECC0EC0"/>
    <w:rsid w:val="1ECD0713"/>
    <w:rsid w:val="1ED422F9"/>
    <w:rsid w:val="1EDD28D0"/>
    <w:rsid w:val="1EDE7E55"/>
    <w:rsid w:val="1EDF4E49"/>
    <w:rsid w:val="1EE14B15"/>
    <w:rsid w:val="1EE500D2"/>
    <w:rsid w:val="1EE852F2"/>
    <w:rsid w:val="1EE935B0"/>
    <w:rsid w:val="1EEF6BF1"/>
    <w:rsid w:val="1EF739A4"/>
    <w:rsid w:val="1F124E9D"/>
    <w:rsid w:val="1F176A0C"/>
    <w:rsid w:val="1F254183"/>
    <w:rsid w:val="1F262716"/>
    <w:rsid w:val="1F3B649C"/>
    <w:rsid w:val="1F3E1E3C"/>
    <w:rsid w:val="1F401A4C"/>
    <w:rsid w:val="1F42633F"/>
    <w:rsid w:val="1F453002"/>
    <w:rsid w:val="1F463769"/>
    <w:rsid w:val="1F4B2E82"/>
    <w:rsid w:val="1F54672C"/>
    <w:rsid w:val="1F5C1132"/>
    <w:rsid w:val="1F5E455B"/>
    <w:rsid w:val="1F613B6F"/>
    <w:rsid w:val="1F641E59"/>
    <w:rsid w:val="1F686726"/>
    <w:rsid w:val="1F79272A"/>
    <w:rsid w:val="1F7F40BC"/>
    <w:rsid w:val="1F837E86"/>
    <w:rsid w:val="1F9008C7"/>
    <w:rsid w:val="1F913CCE"/>
    <w:rsid w:val="1F984549"/>
    <w:rsid w:val="1F9E4FAC"/>
    <w:rsid w:val="1F9F1506"/>
    <w:rsid w:val="1F9F3DD7"/>
    <w:rsid w:val="1FA303D2"/>
    <w:rsid w:val="1FA87A7C"/>
    <w:rsid w:val="1FAF7572"/>
    <w:rsid w:val="1FB5719D"/>
    <w:rsid w:val="1FB64867"/>
    <w:rsid w:val="1FB64B58"/>
    <w:rsid w:val="1FB95506"/>
    <w:rsid w:val="1FC0516E"/>
    <w:rsid w:val="1FCA5891"/>
    <w:rsid w:val="1FCC3EC3"/>
    <w:rsid w:val="1FD06938"/>
    <w:rsid w:val="1FDE0DD5"/>
    <w:rsid w:val="1FDF12CA"/>
    <w:rsid w:val="1FE41A6F"/>
    <w:rsid w:val="1FEF407A"/>
    <w:rsid w:val="1FF64103"/>
    <w:rsid w:val="1FF904FF"/>
    <w:rsid w:val="20000A88"/>
    <w:rsid w:val="200229D7"/>
    <w:rsid w:val="201D0606"/>
    <w:rsid w:val="2025262A"/>
    <w:rsid w:val="202674E0"/>
    <w:rsid w:val="20286D41"/>
    <w:rsid w:val="202D3CDB"/>
    <w:rsid w:val="2035450A"/>
    <w:rsid w:val="204216B7"/>
    <w:rsid w:val="205F243C"/>
    <w:rsid w:val="20695741"/>
    <w:rsid w:val="20771C9C"/>
    <w:rsid w:val="20776D72"/>
    <w:rsid w:val="207B5526"/>
    <w:rsid w:val="208C709E"/>
    <w:rsid w:val="2093368B"/>
    <w:rsid w:val="20A80165"/>
    <w:rsid w:val="20AA45D9"/>
    <w:rsid w:val="20AB4430"/>
    <w:rsid w:val="20AC0A19"/>
    <w:rsid w:val="20B21721"/>
    <w:rsid w:val="20BE4B78"/>
    <w:rsid w:val="20C04B03"/>
    <w:rsid w:val="20C26108"/>
    <w:rsid w:val="20C73D28"/>
    <w:rsid w:val="20D06FB6"/>
    <w:rsid w:val="20D141E6"/>
    <w:rsid w:val="20D502B5"/>
    <w:rsid w:val="20D8148B"/>
    <w:rsid w:val="20D8469D"/>
    <w:rsid w:val="20DD6D05"/>
    <w:rsid w:val="20E94561"/>
    <w:rsid w:val="20ED6F48"/>
    <w:rsid w:val="20F03951"/>
    <w:rsid w:val="20F066AA"/>
    <w:rsid w:val="20F13673"/>
    <w:rsid w:val="20F35D3A"/>
    <w:rsid w:val="20FC4C02"/>
    <w:rsid w:val="20FE49D2"/>
    <w:rsid w:val="2102385C"/>
    <w:rsid w:val="2104291D"/>
    <w:rsid w:val="210E11B1"/>
    <w:rsid w:val="21224DFC"/>
    <w:rsid w:val="21260482"/>
    <w:rsid w:val="212A0A23"/>
    <w:rsid w:val="213759BD"/>
    <w:rsid w:val="213765BD"/>
    <w:rsid w:val="213A18C0"/>
    <w:rsid w:val="213B7211"/>
    <w:rsid w:val="21406BA5"/>
    <w:rsid w:val="21430E98"/>
    <w:rsid w:val="2145170C"/>
    <w:rsid w:val="214D33D3"/>
    <w:rsid w:val="215B04E6"/>
    <w:rsid w:val="21643CDF"/>
    <w:rsid w:val="216E2B4D"/>
    <w:rsid w:val="217400F5"/>
    <w:rsid w:val="21742526"/>
    <w:rsid w:val="217666E8"/>
    <w:rsid w:val="2177156C"/>
    <w:rsid w:val="2187085A"/>
    <w:rsid w:val="21887E60"/>
    <w:rsid w:val="218C0698"/>
    <w:rsid w:val="21935DF5"/>
    <w:rsid w:val="219F55B8"/>
    <w:rsid w:val="21A15907"/>
    <w:rsid w:val="21A72709"/>
    <w:rsid w:val="21A83508"/>
    <w:rsid w:val="21AD5C84"/>
    <w:rsid w:val="21B32404"/>
    <w:rsid w:val="21BF6973"/>
    <w:rsid w:val="21C645A3"/>
    <w:rsid w:val="21C7631E"/>
    <w:rsid w:val="21CC3855"/>
    <w:rsid w:val="21CE2CE8"/>
    <w:rsid w:val="21D13DA9"/>
    <w:rsid w:val="21D575C7"/>
    <w:rsid w:val="21D64DEF"/>
    <w:rsid w:val="21D65308"/>
    <w:rsid w:val="21DA417D"/>
    <w:rsid w:val="21EB5344"/>
    <w:rsid w:val="21EC32B3"/>
    <w:rsid w:val="21EF1233"/>
    <w:rsid w:val="21F558EA"/>
    <w:rsid w:val="21F717EA"/>
    <w:rsid w:val="220009B9"/>
    <w:rsid w:val="22024694"/>
    <w:rsid w:val="220C363D"/>
    <w:rsid w:val="221C734E"/>
    <w:rsid w:val="221E3217"/>
    <w:rsid w:val="222C0C2F"/>
    <w:rsid w:val="222E13BD"/>
    <w:rsid w:val="22321F70"/>
    <w:rsid w:val="223936E3"/>
    <w:rsid w:val="223C5A50"/>
    <w:rsid w:val="223E64A5"/>
    <w:rsid w:val="223E7D91"/>
    <w:rsid w:val="223F7FF0"/>
    <w:rsid w:val="224A7D89"/>
    <w:rsid w:val="22536A17"/>
    <w:rsid w:val="2261131F"/>
    <w:rsid w:val="226250E7"/>
    <w:rsid w:val="226F3FF1"/>
    <w:rsid w:val="227441FD"/>
    <w:rsid w:val="227606F7"/>
    <w:rsid w:val="22793D81"/>
    <w:rsid w:val="227E166C"/>
    <w:rsid w:val="22853E7D"/>
    <w:rsid w:val="22860C3B"/>
    <w:rsid w:val="229A65A0"/>
    <w:rsid w:val="22A80A6F"/>
    <w:rsid w:val="22AF7551"/>
    <w:rsid w:val="22B619B9"/>
    <w:rsid w:val="22B774B7"/>
    <w:rsid w:val="22C43B6A"/>
    <w:rsid w:val="22CA66D9"/>
    <w:rsid w:val="22D33D77"/>
    <w:rsid w:val="22E01C4A"/>
    <w:rsid w:val="22E0563C"/>
    <w:rsid w:val="22E06246"/>
    <w:rsid w:val="22E30FDA"/>
    <w:rsid w:val="22EA1A1C"/>
    <w:rsid w:val="22F35ED0"/>
    <w:rsid w:val="22F40325"/>
    <w:rsid w:val="22F707ED"/>
    <w:rsid w:val="22FC1BE8"/>
    <w:rsid w:val="2301032C"/>
    <w:rsid w:val="230118FC"/>
    <w:rsid w:val="23011A41"/>
    <w:rsid w:val="23012ED8"/>
    <w:rsid w:val="230570F4"/>
    <w:rsid w:val="23086B36"/>
    <w:rsid w:val="23097103"/>
    <w:rsid w:val="230E5A39"/>
    <w:rsid w:val="230F0364"/>
    <w:rsid w:val="23110081"/>
    <w:rsid w:val="231742F7"/>
    <w:rsid w:val="231C353B"/>
    <w:rsid w:val="232F27BC"/>
    <w:rsid w:val="233444B0"/>
    <w:rsid w:val="233F1560"/>
    <w:rsid w:val="234206CF"/>
    <w:rsid w:val="2342266F"/>
    <w:rsid w:val="23453A6C"/>
    <w:rsid w:val="23544C74"/>
    <w:rsid w:val="23651F0A"/>
    <w:rsid w:val="23667DB0"/>
    <w:rsid w:val="23753C96"/>
    <w:rsid w:val="237A64BB"/>
    <w:rsid w:val="2386084A"/>
    <w:rsid w:val="23875708"/>
    <w:rsid w:val="238E53E2"/>
    <w:rsid w:val="238F076D"/>
    <w:rsid w:val="238F6217"/>
    <w:rsid w:val="23986020"/>
    <w:rsid w:val="239E30FB"/>
    <w:rsid w:val="239E53CD"/>
    <w:rsid w:val="23A42E49"/>
    <w:rsid w:val="23AA1F31"/>
    <w:rsid w:val="23AD51E3"/>
    <w:rsid w:val="23B72747"/>
    <w:rsid w:val="23BA6729"/>
    <w:rsid w:val="23BD0C21"/>
    <w:rsid w:val="23C140C7"/>
    <w:rsid w:val="23C30A44"/>
    <w:rsid w:val="23CA3793"/>
    <w:rsid w:val="23E81DFF"/>
    <w:rsid w:val="23E9382E"/>
    <w:rsid w:val="23EC75A8"/>
    <w:rsid w:val="23EE01FE"/>
    <w:rsid w:val="24013F40"/>
    <w:rsid w:val="240C649E"/>
    <w:rsid w:val="241E7B09"/>
    <w:rsid w:val="2424431C"/>
    <w:rsid w:val="242550C6"/>
    <w:rsid w:val="24346493"/>
    <w:rsid w:val="243720F7"/>
    <w:rsid w:val="243879F5"/>
    <w:rsid w:val="244A2A19"/>
    <w:rsid w:val="244C4F41"/>
    <w:rsid w:val="245A5AFD"/>
    <w:rsid w:val="245E11B6"/>
    <w:rsid w:val="246048C9"/>
    <w:rsid w:val="246127DE"/>
    <w:rsid w:val="2464434D"/>
    <w:rsid w:val="24664C5E"/>
    <w:rsid w:val="24664D43"/>
    <w:rsid w:val="247F38A4"/>
    <w:rsid w:val="248F0548"/>
    <w:rsid w:val="24913D04"/>
    <w:rsid w:val="24A425A4"/>
    <w:rsid w:val="24A658B5"/>
    <w:rsid w:val="24AB01DF"/>
    <w:rsid w:val="24AB6A99"/>
    <w:rsid w:val="24B51FCD"/>
    <w:rsid w:val="24B849F2"/>
    <w:rsid w:val="24BC6B56"/>
    <w:rsid w:val="24C51BB3"/>
    <w:rsid w:val="24CA1DE2"/>
    <w:rsid w:val="24CB03F3"/>
    <w:rsid w:val="24CC031F"/>
    <w:rsid w:val="24DC15C5"/>
    <w:rsid w:val="24DC41B9"/>
    <w:rsid w:val="24DC6462"/>
    <w:rsid w:val="24DF14C8"/>
    <w:rsid w:val="24DF3759"/>
    <w:rsid w:val="24E46DA4"/>
    <w:rsid w:val="24EB05A3"/>
    <w:rsid w:val="24F239C2"/>
    <w:rsid w:val="25135AE0"/>
    <w:rsid w:val="252E4D73"/>
    <w:rsid w:val="253464F0"/>
    <w:rsid w:val="253854C9"/>
    <w:rsid w:val="2541192A"/>
    <w:rsid w:val="25540AD8"/>
    <w:rsid w:val="2559616C"/>
    <w:rsid w:val="255A3DCC"/>
    <w:rsid w:val="25636515"/>
    <w:rsid w:val="256445D0"/>
    <w:rsid w:val="256B3641"/>
    <w:rsid w:val="256D47A1"/>
    <w:rsid w:val="257B2563"/>
    <w:rsid w:val="257C674E"/>
    <w:rsid w:val="25852F1A"/>
    <w:rsid w:val="258C1137"/>
    <w:rsid w:val="258D1F5D"/>
    <w:rsid w:val="258F2D0C"/>
    <w:rsid w:val="259D1D20"/>
    <w:rsid w:val="259D4978"/>
    <w:rsid w:val="25A4422E"/>
    <w:rsid w:val="25B457F5"/>
    <w:rsid w:val="25BC277D"/>
    <w:rsid w:val="25C012CF"/>
    <w:rsid w:val="25C05349"/>
    <w:rsid w:val="25C3495D"/>
    <w:rsid w:val="25CF4F3E"/>
    <w:rsid w:val="25D067DE"/>
    <w:rsid w:val="25D53721"/>
    <w:rsid w:val="25D62DCA"/>
    <w:rsid w:val="25E8340C"/>
    <w:rsid w:val="25EA14D2"/>
    <w:rsid w:val="25ED1812"/>
    <w:rsid w:val="26004B08"/>
    <w:rsid w:val="260735C4"/>
    <w:rsid w:val="2617413D"/>
    <w:rsid w:val="261C7C2F"/>
    <w:rsid w:val="261E04EC"/>
    <w:rsid w:val="262824A1"/>
    <w:rsid w:val="262D1B8D"/>
    <w:rsid w:val="262D7300"/>
    <w:rsid w:val="26386355"/>
    <w:rsid w:val="26525BA6"/>
    <w:rsid w:val="265924F7"/>
    <w:rsid w:val="265F6258"/>
    <w:rsid w:val="266D6216"/>
    <w:rsid w:val="267277FD"/>
    <w:rsid w:val="26734F59"/>
    <w:rsid w:val="267833BD"/>
    <w:rsid w:val="267A700A"/>
    <w:rsid w:val="268A4EA5"/>
    <w:rsid w:val="268F391F"/>
    <w:rsid w:val="26917709"/>
    <w:rsid w:val="2692086C"/>
    <w:rsid w:val="2696018B"/>
    <w:rsid w:val="269D15F5"/>
    <w:rsid w:val="26A20122"/>
    <w:rsid w:val="26A55682"/>
    <w:rsid w:val="26A649C4"/>
    <w:rsid w:val="26AC45D7"/>
    <w:rsid w:val="26BA11E9"/>
    <w:rsid w:val="26BD2AC6"/>
    <w:rsid w:val="26C423C5"/>
    <w:rsid w:val="26C866B6"/>
    <w:rsid w:val="26D55208"/>
    <w:rsid w:val="26DC2861"/>
    <w:rsid w:val="26E035B3"/>
    <w:rsid w:val="26EA3EBD"/>
    <w:rsid w:val="26EA66F8"/>
    <w:rsid w:val="26EA6C05"/>
    <w:rsid w:val="26EE290F"/>
    <w:rsid w:val="26F33AC0"/>
    <w:rsid w:val="26F71023"/>
    <w:rsid w:val="26F84F6E"/>
    <w:rsid w:val="26FE1B3E"/>
    <w:rsid w:val="272048E8"/>
    <w:rsid w:val="27304EA0"/>
    <w:rsid w:val="273D285F"/>
    <w:rsid w:val="273F21C5"/>
    <w:rsid w:val="2749537C"/>
    <w:rsid w:val="275236A0"/>
    <w:rsid w:val="27554C49"/>
    <w:rsid w:val="27557969"/>
    <w:rsid w:val="275B15D2"/>
    <w:rsid w:val="276A1519"/>
    <w:rsid w:val="276F7DD7"/>
    <w:rsid w:val="277E2092"/>
    <w:rsid w:val="27827416"/>
    <w:rsid w:val="278378EC"/>
    <w:rsid w:val="27922E98"/>
    <w:rsid w:val="27990CD3"/>
    <w:rsid w:val="279C5FC5"/>
    <w:rsid w:val="279E1AD0"/>
    <w:rsid w:val="27A33307"/>
    <w:rsid w:val="27A35122"/>
    <w:rsid w:val="27A45927"/>
    <w:rsid w:val="27A6094B"/>
    <w:rsid w:val="27B061AE"/>
    <w:rsid w:val="27BD52AC"/>
    <w:rsid w:val="27C17151"/>
    <w:rsid w:val="27CB205F"/>
    <w:rsid w:val="27DE182B"/>
    <w:rsid w:val="27E27F6B"/>
    <w:rsid w:val="27E673FB"/>
    <w:rsid w:val="27E80F2E"/>
    <w:rsid w:val="27FA5F0A"/>
    <w:rsid w:val="27FC5672"/>
    <w:rsid w:val="27FE0ECF"/>
    <w:rsid w:val="27FE2719"/>
    <w:rsid w:val="28040FB8"/>
    <w:rsid w:val="280E18FD"/>
    <w:rsid w:val="28113320"/>
    <w:rsid w:val="28156A14"/>
    <w:rsid w:val="281771B9"/>
    <w:rsid w:val="28420B04"/>
    <w:rsid w:val="284A491C"/>
    <w:rsid w:val="284C3C44"/>
    <w:rsid w:val="285963AC"/>
    <w:rsid w:val="28615204"/>
    <w:rsid w:val="28644F63"/>
    <w:rsid w:val="286C7375"/>
    <w:rsid w:val="286D7FD0"/>
    <w:rsid w:val="2875007A"/>
    <w:rsid w:val="287514C3"/>
    <w:rsid w:val="28762075"/>
    <w:rsid w:val="28915383"/>
    <w:rsid w:val="289E499F"/>
    <w:rsid w:val="28AA6AAF"/>
    <w:rsid w:val="28B52245"/>
    <w:rsid w:val="28BE7876"/>
    <w:rsid w:val="28C159B6"/>
    <w:rsid w:val="28C23162"/>
    <w:rsid w:val="28C63BB0"/>
    <w:rsid w:val="28D15BA8"/>
    <w:rsid w:val="28E07DBD"/>
    <w:rsid w:val="28E24EAF"/>
    <w:rsid w:val="28E83A37"/>
    <w:rsid w:val="28E91743"/>
    <w:rsid w:val="28E97A66"/>
    <w:rsid w:val="28EA30D6"/>
    <w:rsid w:val="28EF2F3E"/>
    <w:rsid w:val="28F0211B"/>
    <w:rsid w:val="2907663E"/>
    <w:rsid w:val="29087E38"/>
    <w:rsid w:val="291E60A2"/>
    <w:rsid w:val="29200184"/>
    <w:rsid w:val="292763F7"/>
    <w:rsid w:val="292A7911"/>
    <w:rsid w:val="292C6EE3"/>
    <w:rsid w:val="29302117"/>
    <w:rsid w:val="293456EF"/>
    <w:rsid w:val="29350F17"/>
    <w:rsid w:val="29446A13"/>
    <w:rsid w:val="294503C2"/>
    <w:rsid w:val="294B7412"/>
    <w:rsid w:val="294D4875"/>
    <w:rsid w:val="2953583E"/>
    <w:rsid w:val="295C1F8A"/>
    <w:rsid w:val="2968160A"/>
    <w:rsid w:val="29687041"/>
    <w:rsid w:val="296E261B"/>
    <w:rsid w:val="296E5220"/>
    <w:rsid w:val="29850B19"/>
    <w:rsid w:val="29862DCE"/>
    <w:rsid w:val="299D315A"/>
    <w:rsid w:val="29AB0A13"/>
    <w:rsid w:val="29B0603E"/>
    <w:rsid w:val="29B52B8B"/>
    <w:rsid w:val="29C81E06"/>
    <w:rsid w:val="29E05655"/>
    <w:rsid w:val="29EC111F"/>
    <w:rsid w:val="29EE10E9"/>
    <w:rsid w:val="2A05422A"/>
    <w:rsid w:val="2A096DBA"/>
    <w:rsid w:val="2A15648E"/>
    <w:rsid w:val="2A182C42"/>
    <w:rsid w:val="2A191F64"/>
    <w:rsid w:val="2A2A29FA"/>
    <w:rsid w:val="2A3508F0"/>
    <w:rsid w:val="2A39367F"/>
    <w:rsid w:val="2A467AD0"/>
    <w:rsid w:val="2A4D15D2"/>
    <w:rsid w:val="2A5230B5"/>
    <w:rsid w:val="2A6343B1"/>
    <w:rsid w:val="2A661808"/>
    <w:rsid w:val="2A66740E"/>
    <w:rsid w:val="2A6F238A"/>
    <w:rsid w:val="2A76333C"/>
    <w:rsid w:val="2A8F131A"/>
    <w:rsid w:val="2A9023B8"/>
    <w:rsid w:val="2A9A71B6"/>
    <w:rsid w:val="2AAA4630"/>
    <w:rsid w:val="2AAC37BD"/>
    <w:rsid w:val="2ABC05D0"/>
    <w:rsid w:val="2AC07AF8"/>
    <w:rsid w:val="2AC17847"/>
    <w:rsid w:val="2AC57AC5"/>
    <w:rsid w:val="2AC6433D"/>
    <w:rsid w:val="2AC9019E"/>
    <w:rsid w:val="2AD63F69"/>
    <w:rsid w:val="2ADE64A0"/>
    <w:rsid w:val="2AE06023"/>
    <w:rsid w:val="2AE30293"/>
    <w:rsid w:val="2AE35EF1"/>
    <w:rsid w:val="2AF658DD"/>
    <w:rsid w:val="2B080186"/>
    <w:rsid w:val="2B097A82"/>
    <w:rsid w:val="2B111BC2"/>
    <w:rsid w:val="2B12715D"/>
    <w:rsid w:val="2B180B49"/>
    <w:rsid w:val="2B181675"/>
    <w:rsid w:val="2B222B9A"/>
    <w:rsid w:val="2B25391D"/>
    <w:rsid w:val="2B277338"/>
    <w:rsid w:val="2B2A1FF9"/>
    <w:rsid w:val="2B32467C"/>
    <w:rsid w:val="2B352C03"/>
    <w:rsid w:val="2B3D6A4C"/>
    <w:rsid w:val="2B3E06C1"/>
    <w:rsid w:val="2B403DBE"/>
    <w:rsid w:val="2B430848"/>
    <w:rsid w:val="2B464ADB"/>
    <w:rsid w:val="2B465CAB"/>
    <w:rsid w:val="2B4A56C8"/>
    <w:rsid w:val="2B4D6EDD"/>
    <w:rsid w:val="2B603C0A"/>
    <w:rsid w:val="2B7852D9"/>
    <w:rsid w:val="2B867208"/>
    <w:rsid w:val="2B880A01"/>
    <w:rsid w:val="2B936B61"/>
    <w:rsid w:val="2B9667B8"/>
    <w:rsid w:val="2B99302E"/>
    <w:rsid w:val="2BA23047"/>
    <w:rsid w:val="2BA51723"/>
    <w:rsid w:val="2BBC69E7"/>
    <w:rsid w:val="2BBE7124"/>
    <w:rsid w:val="2BC44A9D"/>
    <w:rsid w:val="2BCD455F"/>
    <w:rsid w:val="2BD56A9A"/>
    <w:rsid w:val="2BE3160B"/>
    <w:rsid w:val="2BEE1B84"/>
    <w:rsid w:val="2BF404A2"/>
    <w:rsid w:val="2BF64985"/>
    <w:rsid w:val="2BFB4885"/>
    <w:rsid w:val="2C032AB5"/>
    <w:rsid w:val="2C0B5494"/>
    <w:rsid w:val="2C0B57D0"/>
    <w:rsid w:val="2C101493"/>
    <w:rsid w:val="2C1E3C70"/>
    <w:rsid w:val="2C270DFF"/>
    <w:rsid w:val="2C3116AE"/>
    <w:rsid w:val="2C3D5F7D"/>
    <w:rsid w:val="2C437A60"/>
    <w:rsid w:val="2C4408FE"/>
    <w:rsid w:val="2C4469C5"/>
    <w:rsid w:val="2C473DB1"/>
    <w:rsid w:val="2C4B420E"/>
    <w:rsid w:val="2C4E60C6"/>
    <w:rsid w:val="2C520EE3"/>
    <w:rsid w:val="2C66306C"/>
    <w:rsid w:val="2C7C7DFC"/>
    <w:rsid w:val="2C7D1E7E"/>
    <w:rsid w:val="2C822090"/>
    <w:rsid w:val="2C8A0E53"/>
    <w:rsid w:val="2C8C1B11"/>
    <w:rsid w:val="2C8C7708"/>
    <w:rsid w:val="2C9863C1"/>
    <w:rsid w:val="2C996A30"/>
    <w:rsid w:val="2C9C141F"/>
    <w:rsid w:val="2CA52CE7"/>
    <w:rsid w:val="2CAA27D0"/>
    <w:rsid w:val="2CC029C9"/>
    <w:rsid w:val="2CC32D54"/>
    <w:rsid w:val="2CC71902"/>
    <w:rsid w:val="2CCD1E4D"/>
    <w:rsid w:val="2CCF6792"/>
    <w:rsid w:val="2CD43E1A"/>
    <w:rsid w:val="2CDA6A99"/>
    <w:rsid w:val="2CE371C3"/>
    <w:rsid w:val="2CE633BB"/>
    <w:rsid w:val="2CEF3FEC"/>
    <w:rsid w:val="2CF62289"/>
    <w:rsid w:val="2CFC31F5"/>
    <w:rsid w:val="2CFF08AE"/>
    <w:rsid w:val="2CFF50AA"/>
    <w:rsid w:val="2D112A5E"/>
    <w:rsid w:val="2D141BAC"/>
    <w:rsid w:val="2D1D39B7"/>
    <w:rsid w:val="2D254B45"/>
    <w:rsid w:val="2D3844A2"/>
    <w:rsid w:val="2D415B95"/>
    <w:rsid w:val="2D436353"/>
    <w:rsid w:val="2D4878E2"/>
    <w:rsid w:val="2D5A1664"/>
    <w:rsid w:val="2D5F0BD4"/>
    <w:rsid w:val="2D616996"/>
    <w:rsid w:val="2D6D7E92"/>
    <w:rsid w:val="2D6F73AA"/>
    <w:rsid w:val="2D7370A3"/>
    <w:rsid w:val="2D793988"/>
    <w:rsid w:val="2D871DDA"/>
    <w:rsid w:val="2D8761F7"/>
    <w:rsid w:val="2D8A057B"/>
    <w:rsid w:val="2D8A676C"/>
    <w:rsid w:val="2D9B29F2"/>
    <w:rsid w:val="2D9C2F9A"/>
    <w:rsid w:val="2DB022C3"/>
    <w:rsid w:val="2DB240A4"/>
    <w:rsid w:val="2DBA5C7F"/>
    <w:rsid w:val="2DC11E02"/>
    <w:rsid w:val="2DD40EFF"/>
    <w:rsid w:val="2DD66B87"/>
    <w:rsid w:val="2DD7560C"/>
    <w:rsid w:val="2DDA689D"/>
    <w:rsid w:val="2DE67D12"/>
    <w:rsid w:val="2DE91597"/>
    <w:rsid w:val="2DEE1FB5"/>
    <w:rsid w:val="2DF533FA"/>
    <w:rsid w:val="2DFA596E"/>
    <w:rsid w:val="2E044389"/>
    <w:rsid w:val="2E0C7022"/>
    <w:rsid w:val="2E0F2818"/>
    <w:rsid w:val="2E1100DC"/>
    <w:rsid w:val="2E140964"/>
    <w:rsid w:val="2E1C61FD"/>
    <w:rsid w:val="2E1E4596"/>
    <w:rsid w:val="2E481797"/>
    <w:rsid w:val="2E4C5497"/>
    <w:rsid w:val="2E526984"/>
    <w:rsid w:val="2E594A91"/>
    <w:rsid w:val="2E5D5D84"/>
    <w:rsid w:val="2E5E578C"/>
    <w:rsid w:val="2E5F4BFA"/>
    <w:rsid w:val="2E657BA1"/>
    <w:rsid w:val="2E69489B"/>
    <w:rsid w:val="2E6978C1"/>
    <w:rsid w:val="2E6A798A"/>
    <w:rsid w:val="2E793B4B"/>
    <w:rsid w:val="2E7B76A0"/>
    <w:rsid w:val="2E876D0F"/>
    <w:rsid w:val="2E8976BE"/>
    <w:rsid w:val="2E8D25CA"/>
    <w:rsid w:val="2E991A74"/>
    <w:rsid w:val="2E9B7AC3"/>
    <w:rsid w:val="2E9D7479"/>
    <w:rsid w:val="2EA2680E"/>
    <w:rsid w:val="2EAF7A45"/>
    <w:rsid w:val="2EB236FA"/>
    <w:rsid w:val="2EC3080B"/>
    <w:rsid w:val="2EC4073F"/>
    <w:rsid w:val="2EC72B66"/>
    <w:rsid w:val="2ECB29E0"/>
    <w:rsid w:val="2ECB684F"/>
    <w:rsid w:val="2ED22020"/>
    <w:rsid w:val="2EE2010F"/>
    <w:rsid w:val="2EE52E7A"/>
    <w:rsid w:val="2EE967CC"/>
    <w:rsid w:val="2EEC39DA"/>
    <w:rsid w:val="2EFD2D95"/>
    <w:rsid w:val="2F0E197A"/>
    <w:rsid w:val="2F1A5B77"/>
    <w:rsid w:val="2F2200D1"/>
    <w:rsid w:val="2F260BCD"/>
    <w:rsid w:val="2F2651F9"/>
    <w:rsid w:val="2F367804"/>
    <w:rsid w:val="2F3777A2"/>
    <w:rsid w:val="2F3C4594"/>
    <w:rsid w:val="2F4A6576"/>
    <w:rsid w:val="2F512CA1"/>
    <w:rsid w:val="2F5911EC"/>
    <w:rsid w:val="2F663F21"/>
    <w:rsid w:val="2F6E4DD1"/>
    <w:rsid w:val="2F7E578B"/>
    <w:rsid w:val="2F7F5816"/>
    <w:rsid w:val="2F9D6150"/>
    <w:rsid w:val="2FA9542F"/>
    <w:rsid w:val="2FAB077E"/>
    <w:rsid w:val="2FB20885"/>
    <w:rsid w:val="2FBA41F1"/>
    <w:rsid w:val="2FBB70F0"/>
    <w:rsid w:val="2FC07315"/>
    <w:rsid w:val="2FCC25E8"/>
    <w:rsid w:val="2FD60B28"/>
    <w:rsid w:val="2FD66FE4"/>
    <w:rsid w:val="2FDF2E92"/>
    <w:rsid w:val="2FDF75A1"/>
    <w:rsid w:val="2FF53A53"/>
    <w:rsid w:val="2FF754B6"/>
    <w:rsid w:val="2FF86CE1"/>
    <w:rsid w:val="2FFA2AC6"/>
    <w:rsid w:val="301228F5"/>
    <w:rsid w:val="30160883"/>
    <w:rsid w:val="301B42CD"/>
    <w:rsid w:val="301D0F52"/>
    <w:rsid w:val="301D13AA"/>
    <w:rsid w:val="30214554"/>
    <w:rsid w:val="302C018D"/>
    <w:rsid w:val="302D1551"/>
    <w:rsid w:val="302D4DBE"/>
    <w:rsid w:val="30341D03"/>
    <w:rsid w:val="30397F2A"/>
    <w:rsid w:val="30413874"/>
    <w:rsid w:val="30471F01"/>
    <w:rsid w:val="304D0844"/>
    <w:rsid w:val="304F0C6D"/>
    <w:rsid w:val="3052188E"/>
    <w:rsid w:val="30526B66"/>
    <w:rsid w:val="305F4B6C"/>
    <w:rsid w:val="30636928"/>
    <w:rsid w:val="30700DB3"/>
    <w:rsid w:val="3071406C"/>
    <w:rsid w:val="307F31C1"/>
    <w:rsid w:val="308049D5"/>
    <w:rsid w:val="308F2E2D"/>
    <w:rsid w:val="309713E7"/>
    <w:rsid w:val="30985121"/>
    <w:rsid w:val="309B6C76"/>
    <w:rsid w:val="30B54A3C"/>
    <w:rsid w:val="30C05643"/>
    <w:rsid w:val="30CB7BAF"/>
    <w:rsid w:val="30CF4321"/>
    <w:rsid w:val="30DE3B39"/>
    <w:rsid w:val="30DE6902"/>
    <w:rsid w:val="30F3210E"/>
    <w:rsid w:val="30F3258F"/>
    <w:rsid w:val="30F95331"/>
    <w:rsid w:val="30F958CD"/>
    <w:rsid w:val="30FB3737"/>
    <w:rsid w:val="31015E9B"/>
    <w:rsid w:val="3102157F"/>
    <w:rsid w:val="3105096D"/>
    <w:rsid w:val="310B29E8"/>
    <w:rsid w:val="3114696A"/>
    <w:rsid w:val="31152233"/>
    <w:rsid w:val="31185F87"/>
    <w:rsid w:val="311E15CF"/>
    <w:rsid w:val="31287E99"/>
    <w:rsid w:val="313B0890"/>
    <w:rsid w:val="313E6FAC"/>
    <w:rsid w:val="313F6535"/>
    <w:rsid w:val="31425D39"/>
    <w:rsid w:val="31442DAD"/>
    <w:rsid w:val="31456675"/>
    <w:rsid w:val="314D5BC5"/>
    <w:rsid w:val="31547E55"/>
    <w:rsid w:val="3159398D"/>
    <w:rsid w:val="31686DEF"/>
    <w:rsid w:val="316B0BE0"/>
    <w:rsid w:val="316B5930"/>
    <w:rsid w:val="316F5599"/>
    <w:rsid w:val="31722577"/>
    <w:rsid w:val="3176767E"/>
    <w:rsid w:val="317B3226"/>
    <w:rsid w:val="317C76E8"/>
    <w:rsid w:val="318E49C4"/>
    <w:rsid w:val="319B4325"/>
    <w:rsid w:val="319E38E6"/>
    <w:rsid w:val="319F18FA"/>
    <w:rsid w:val="31A822C6"/>
    <w:rsid w:val="31B23571"/>
    <w:rsid w:val="31BF7E6F"/>
    <w:rsid w:val="31BF7FA9"/>
    <w:rsid w:val="31C27DF6"/>
    <w:rsid w:val="31C33A63"/>
    <w:rsid w:val="31C36609"/>
    <w:rsid w:val="31CB729F"/>
    <w:rsid w:val="31CF026E"/>
    <w:rsid w:val="31D35C35"/>
    <w:rsid w:val="31D969BB"/>
    <w:rsid w:val="31DB640D"/>
    <w:rsid w:val="31E2726A"/>
    <w:rsid w:val="31E31A66"/>
    <w:rsid w:val="31E83339"/>
    <w:rsid w:val="31EA5372"/>
    <w:rsid w:val="31F139CC"/>
    <w:rsid w:val="31F322C3"/>
    <w:rsid w:val="31F9572A"/>
    <w:rsid w:val="31FD44AD"/>
    <w:rsid w:val="320015FF"/>
    <w:rsid w:val="32012DCD"/>
    <w:rsid w:val="32040940"/>
    <w:rsid w:val="320846FC"/>
    <w:rsid w:val="320C4458"/>
    <w:rsid w:val="32197E14"/>
    <w:rsid w:val="321C3752"/>
    <w:rsid w:val="3221335A"/>
    <w:rsid w:val="32235C15"/>
    <w:rsid w:val="32260C39"/>
    <w:rsid w:val="322B01D6"/>
    <w:rsid w:val="322B24E6"/>
    <w:rsid w:val="322E5D4F"/>
    <w:rsid w:val="32376659"/>
    <w:rsid w:val="323D5104"/>
    <w:rsid w:val="323F16B2"/>
    <w:rsid w:val="324A02CD"/>
    <w:rsid w:val="325C782C"/>
    <w:rsid w:val="3265649B"/>
    <w:rsid w:val="326C49CB"/>
    <w:rsid w:val="327524C7"/>
    <w:rsid w:val="32781CC3"/>
    <w:rsid w:val="32794ADC"/>
    <w:rsid w:val="328A40FE"/>
    <w:rsid w:val="328D15BA"/>
    <w:rsid w:val="328F22A1"/>
    <w:rsid w:val="32977C77"/>
    <w:rsid w:val="329840D0"/>
    <w:rsid w:val="329B2555"/>
    <w:rsid w:val="32A24832"/>
    <w:rsid w:val="32A96648"/>
    <w:rsid w:val="32AD62C1"/>
    <w:rsid w:val="32AF0C88"/>
    <w:rsid w:val="32B92B1F"/>
    <w:rsid w:val="32BB2A65"/>
    <w:rsid w:val="32CB53A3"/>
    <w:rsid w:val="32CB5F46"/>
    <w:rsid w:val="32CC0321"/>
    <w:rsid w:val="32D05126"/>
    <w:rsid w:val="32D612B8"/>
    <w:rsid w:val="32DB5FE2"/>
    <w:rsid w:val="32DC1884"/>
    <w:rsid w:val="32E56661"/>
    <w:rsid w:val="32E73164"/>
    <w:rsid w:val="32E91504"/>
    <w:rsid w:val="32EB72A4"/>
    <w:rsid w:val="32F3740F"/>
    <w:rsid w:val="32FA214B"/>
    <w:rsid w:val="32FC65D9"/>
    <w:rsid w:val="32FE7A85"/>
    <w:rsid w:val="330E138F"/>
    <w:rsid w:val="331306F6"/>
    <w:rsid w:val="33165AD1"/>
    <w:rsid w:val="33173DF0"/>
    <w:rsid w:val="331C44DE"/>
    <w:rsid w:val="331C6C97"/>
    <w:rsid w:val="33325244"/>
    <w:rsid w:val="333308E2"/>
    <w:rsid w:val="33417D52"/>
    <w:rsid w:val="334350DD"/>
    <w:rsid w:val="33491C41"/>
    <w:rsid w:val="33492444"/>
    <w:rsid w:val="334B65B8"/>
    <w:rsid w:val="3358507C"/>
    <w:rsid w:val="335B786E"/>
    <w:rsid w:val="33665CF5"/>
    <w:rsid w:val="33711EAC"/>
    <w:rsid w:val="33744C89"/>
    <w:rsid w:val="337723B7"/>
    <w:rsid w:val="33780F46"/>
    <w:rsid w:val="33820DF1"/>
    <w:rsid w:val="33841CA4"/>
    <w:rsid w:val="3386671F"/>
    <w:rsid w:val="338B5D97"/>
    <w:rsid w:val="338D1597"/>
    <w:rsid w:val="33973FAA"/>
    <w:rsid w:val="339A4918"/>
    <w:rsid w:val="33A56DAF"/>
    <w:rsid w:val="33AC69A6"/>
    <w:rsid w:val="33B53522"/>
    <w:rsid w:val="33C459D3"/>
    <w:rsid w:val="33C87FC3"/>
    <w:rsid w:val="33CD688F"/>
    <w:rsid w:val="33CF1F91"/>
    <w:rsid w:val="33DA6B7D"/>
    <w:rsid w:val="33DD69CB"/>
    <w:rsid w:val="33F225C8"/>
    <w:rsid w:val="33F33DE9"/>
    <w:rsid w:val="33F42391"/>
    <w:rsid w:val="3402521F"/>
    <w:rsid w:val="340B4474"/>
    <w:rsid w:val="340E172D"/>
    <w:rsid w:val="3424620C"/>
    <w:rsid w:val="34271E21"/>
    <w:rsid w:val="3437217D"/>
    <w:rsid w:val="34450011"/>
    <w:rsid w:val="34451F15"/>
    <w:rsid w:val="344D0963"/>
    <w:rsid w:val="34552EAA"/>
    <w:rsid w:val="345A7BD9"/>
    <w:rsid w:val="3463005F"/>
    <w:rsid w:val="34650620"/>
    <w:rsid w:val="346A737D"/>
    <w:rsid w:val="34845DAA"/>
    <w:rsid w:val="3496715F"/>
    <w:rsid w:val="349D6D6F"/>
    <w:rsid w:val="34A17DC6"/>
    <w:rsid w:val="34AA7088"/>
    <w:rsid w:val="34B42DD9"/>
    <w:rsid w:val="34D37DF5"/>
    <w:rsid w:val="34D40E4C"/>
    <w:rsid w:val="34D713CC"/>
    <w:rsid w:val="34D91B12"/>
    <w:rsid w:val="34D92306"/>
    <w:rsid w:val="35114FCA"/>
    <w:rsid w:val="35116F72"/>
    <w:rsid w:val="35120070"/>
    <w:rsid w:val="35142A05"/>
    <w:rsid w:val="351933DD"/>
    <w:rsid w:val="351C3B08"/>
    <w:rsid w:val="35261501"/>
    <w:rsid w:val="35322102"/>
    <w:rsid w:val="354112A0"/>
    <w:rsid w:val="35434E54"/>
    <w:rsid w:val="354C0942"/>
    <w:rsid w:val="35560CE7"/>
    <w:rsid w:val="35574CCB"/>
    <w:rsid w:val="355F4704"/>
    <w:rsid w:val="35654C6E"/>
    <w:rsid w:val="356F1599"/>
    <w:rsid w:val="357B730B"/>
    <w:rsid w:val="358071CF"/>
    <w:rsid w:val="35807E8D"/>
    <w:rsid w:val="3583402F"/>
    <w:rsid w:val="3589384B"/>
    <w:rsid w:val="358B5E9B"/>
    <w:rsid w:val="3595370D"/>
    <w:rsid w:val="359B3FD1"/>
    <w:rsid w:val="35A00AB6"/>
    <w:rsid w:val="35A05D04"/>
    <w:rsid w:val="35B11EE8"/>
    <w:rsid w:val="35B322DB"/>
    <w:rsid w:val="35B60C78"/>
    <w:rsid w:val="35B97173"/>
    <w:rsid w:val="35BC4127"/>
    <w:rsid w:val="35C501CC"/>
    <w:rsid w:val="35C52E9D"/>
    <w:rsid w:val="35CC2608"/>
    <w:rsid w:val="35DD3ADA"/>
    <w:rsid w:val="35F20D74"/>
    <w:rsid w:val="35F4027C"/>
    <w:rsid w:val="36020E80"/>
    <w:rsid w:val="3605477E"/>
    <w:rsid w:val="360F7C99"/>
    <w:rsid w:val="36185EC4"/>
    <w:rsid w:val="361A1EA9"/>
    <w:rsid w:val="361A5C33"/>
    <w:rsid w:val="3626311A"/>
    <w:rsid w:val="36270F15"/>
    <w:rsid w:val="362A3C16"/>
    <w:rsid w:val="36334C83"/>
    <w:rsid w:val="365B24B1"/>
    <w:rsid w:val="36651C38"/>
    <w:rsid w:val="36686DFB"/>
    <w:rsid w:val="36757F9E"/>
    <w:rsid w:val="36776596"/>
    <w:rsid w:val="367C31A6"/>
    <w:rsid w:val="368F1A74"/>
    <w:rsid w:val="369275E2"/>
    <w:rsid w:val="369367DB"/>
    <w:rsid w:val="36944903"/>
    <w:rsid w:val="36965924"/>
    <w:rsid w:val="36A026F4"/>
    <w:rsid w:val="36AC4D3C"/>
    <w:rsid w:val="36B3080C"/>
    <w:rsid w:val="36C906E2"/>
    <w:rsid w:val="36D5466E"/>
    <w:rsid w:val="36D75467"/>
    <w:rsid w:val="36DA5A9D"/>
    <w:rsid w:val="36E03B81"/>
    <w:rsid w:val="36E126B2"/>
    <w:rsid w:val="36E432CF"/>
    <w:rsid w:val="36FA5C24"/>
    <w:rsid w:val="36FC3404"/>
    <w:rsid w:val="36FE3930"/>
    <w:rsid w:val="370B6BBD"/>
    <w:rsid w:val="37103543"/>
    <w:rsid w:val="371A4CCE"/>
    <w:rsid w:val="371C7817"/>
    <w:rsid w:val="371D2610"/>
    <w:rsid w:val="37244B71"/>
    <w:rsid w:val="373A038D"/>
    <w:rsid w:val="373B0DD4"/>
    <w:rsid w:val="37444456"/>
    <w:rsid w:val="374F6BD6"/>
    <w:rsid w:val="376D4330"/>
    <w:rsid w:val="3779232F"/>
    <w:rsid w:val="37843DF9"/>
    <w:rsid w:val="378E02F2"/>
    <w:rsid w:val="37981FA0"/>
    <w:rsid w:val="37A61E6C"/>
    <w:rsid w:val="37B46271"/>
    <w:rsid w:val="37B66BE9"/>
    <w:rsid w:val="37C3062E"/>
    <w:rsid w:val="37C52C6D"/>
    <w:rsid w:val="37D05380"/>
    <w:rsid w:val="37D71178"/>
    <w:rsid w:val="37DD26D9"/>
    <w:rsid w:val="37E261BB"/>
    <w:rsid w:val="37E369F7"/>
    <w:rsid w:val="37E52D87"/>
    <w:rsid w:val="37E956B8"/>
    <w:rsid w:val="37EC1388"/>
    <w:rsid w:val="37F16953"/>
    <w:rsid w:val="37F21C9F"/>
    <w:rsid w:val="37F3056F"/>
    <w:rsid w:val="37FD135B"/>
    <w:rsid w:val="38090F60"/>
    <w:rsid w:val="38233BE0"/>
    <w:rsid w:val="382A1B29"/>
    <w:rsid w:val="382D0AB9"/>
    <w:rsid w:val="382F0FB3"/>
    <w:rsid w:val="383315F7"/>
    <w:rsid w:val="383D5DF2"/>
    <w:rsid w:val="383D767B"/>
    <w:rsid w:val="383F74F8"/>
    <w:rsid w:val="38487D19"/>
    <w:rsid w:val="384E2E58"/>
    <w:rsid w:val="3851076E"/>
    <w:rsid w:val="38537DA2"/>
    <w:rsid w:val="38553124"/>
    <w:rsid w:val="38557066"/>
    <w:rsid w:val="38562292"/>
    <w:rsid w:val="38616AEB"/>
    <w:rsid w:val="38630259"/>
    <w:rsid w:val="38665C5E"/>
    <w:rsid w:val="3867704F"/>
    <w:rsid w:val="38683139"/>
    <w:rsid w:val="386A34F6"/>
    <w:rsid w:val="386C72A0"/>
    <w:rsid w:val="3872134D"/>
    <w:rsid w:val="387A70D9"/>
    <w:rsid w:val="388A00D1"/>
    <w:rsid w:val="388B382C"/>
    <w:rsid w:val="389C3A5F"/>
    <w:rsid w:val="38A17A1B"/>
    <w:rsid w:val="38A57578"/>
    <w:rsid w:val="38A6468E"/>
    <w:rsid w:val="38B05CB9"/>
    <w:rsid w:val="38B31DD0"/>
    <w:rsid w:val="38BA1F3F"/>
    <w:rsid w:val="38BC5DAE"/>
    <w:rsid w:val="38BD15BF"/>
    <w:rsid w:val="38C1453E"/>
    <w:rsid w:val="38C26BC5"/>
    <w:rsid w:val="38C31B56"/>
    <w:rsid w:val="38C67EE1"/>
    <w:rsid w:val="38C93DBD"/>
    <w:rsid w:val="38CC1313"/>
    <w:rsid w:val="38CC283F"/>
    <w:rsid w:val="38D754AF"/>
    <w:rsid w:val="38DA6338"/>
    <w:rsid w:val="38DB4C2A"/>
    <w:rsid w:val="38E42C1F"/>
    <w:rsid w:val="38E84D2E"/>
    <w:rsid w:val="38F12E40"/>
    <w:rsid w:val="38FA05FE"/>
    <w:rsid w:val="3900087B"/>
    <w:rsid w:val="3908788E"/>
    <w:rsid w:val="390C3A72"/>
    <w:rsid w:val="390F08FA"/>
    <w:rsid w:val="390F2EDB"/>
    <w:rsid w:val="39103812"/>
    <w:rsid w:val="39103E8A"/>
    <w:rsid w:val="39132F0F"/>
    <w:rsid w:val="39140253"/>
    <w:rsid w:val="391C19FF"/>
    <w:rsid w:val="391E4DC6"/>
    <w:rsid w:val="39234319"/>
    <w:rsid w:val="39234C5A"/>
    <w:rsid w:val="392422F3"/>
    <w:rsid w:val="39245314"/>
    <w:rsid w:val="393A3F4D"/>
    <w:rsid w:val="39424ECD"/>
    <w:rsid w:val="39491E1E"/>
    <w:rsid w:val="394D2426"/>
    <w:rsid w:val="394E38F4"/>
    <w:rsid w:val="39504F46"/>
    <w:rsid w:val="39521196"/>
    <w:rsid w:val="39535B3E"/>
    <w:rsid w:val="39567680"/>
    <w:rsid w:val="395954D0"/>
    <w:rsid w:val="397035AE"/>
    <w:rsid w:val="397113EA"/>
    <w:rsid w:val="39735BE3"/>
    <w:rsid w:val="3989360B"/>
    <w:rsid w:val="39953609"/>
    <w:rsid w:val="39957403"/>
    <w:rsid w:val="399B2ADB"/>
    <w:rsid w:val="399E2047"/>
    <w:rsid w:val="39A55B71"/>
    <w:rsid w:val="39C021F4"/>
    <w:rsid w:val="39C30A82"/>
    <w:rsid w:val="39C57800"/>
    <w:rsid w:val="39D25DF9"/>
    <w:rsid w:val="39D56468"/>
    <w:rsid w:val="39DE22CE"/>
    <w:rsid w:val="39DE68B6"/>
    <w:rsid w:val="39E31AC7"/>
    <w:rsid w:val="39EF3AE4"/>
    <w:rsid w:val="39F42954"/>
    <w:rsid w:val="39F46D3B"/>
    <w:rsid w:val="39FE0BC6"/>
    <w:rsid w:val="39FF69F2"/>
    <w:rsid w:val="3A0D3AEB"/>
    <w:rsid w:val="3A135B82"/>
    <w:rsid w:val="3A1A4296"/>
    <w:rsid w:val="3A2424CB"/>
    <w:rsid w:val="3A290338"/>
    <w:rsid w:val="3A3306A7"/>
    <w:rsid w:val="3A3A1D9A"/>
    <w:rsid w:val="3A3B08A4"/>
    <w:rsid w:val="3A3E110A"/>
    <w:rsid w:val="3A4037CF"/>
    <w:rsid w:val="3A496805"/>
    <w:rsid w:val="3A595E0E"/>
    <w:rsid w:val="3A5D48A3"/>
    <w:rsid w:val="3A612389"/>
    <w:rsid w:val="3A6A32E7"/>
    <w:rsid w:val="3A6F2F27"/>
    <w:rsid w:val="3A75135C"/>
    <w:rsid w:val="3A7C538A"/>
    <w:rsid w:val="3A82483A"/>
    <w:rsid w:val="3A8F7C91"/>
    <w:rsid w:val="3A950B7C"/>
    <w:rsid w:val="3AA069CF"/>
    <w:rsid w:val="3AA7293C"/>
    <w:rsid w:val="3AA92AFA"/>
    <w:rsid w:val="3AAF4827"/>
    <w:rsid w:val="3AB26CC5"/>
    <w:rsid w:val="3AB54018"/>
    <w:rsid w:val="3AB55C15"/>
    <w:rsid w:val="3ABD02F4"/>
    <w:rsid w:val="3ABF3981"/>
    <w:rsid w:val="3AC154CA"/>
    <w:rsid w:val="3AC505A2"/>
    <w:rsid w:val="3ACA18AD"/>
    <w:rsid w:val="3AD556A6"/>
    <w:rsid w:val="3AD93CF0"/>
    <w:rsid w:val="3AE112FF"/>
    <w:rsid w:val="3AEE367E"/>
    <w:rsid w:val="3AF73F8E"/>
    <w:rsid w:val="3AF83408"/>
    <w:rsid w:val="3AFA3AA5"/>
    <w:rsid w:val="3AFA6DC9"/>
    <w:rsid w:val="3AFD3322"/>
    <w:rsid w:val="3B002B9D"/>
    <w:rsid w:val="3B0C2497"/>
    <w:rsid w:val="3B0C4F93"/>
    <w:rsid w:val="3B1669C2"/>
    <w:rsid w:val="3B186FE9"/>
    <w:rsid w:val="3B1A392B"/>
    <w:rsid w:val="3B1C3234"/>
    <w:rsid w:val="3B2468B3"/>
    <w:rsid w:val="3B256536"/>
    <w:rsid w:val="3B3635AB"/>
    <w:rsid w:val="3B452C50"/>
    <w:rsid w:val="3B4C53B1"/>
    <w:rsid w:val="3B4E14F1"/>
    <w:rsid w:val="3B505A1C"/>
    <w:rsid w:val="3B5865B2"/>
    <w:rsid w:val="3B59301C"/>
    <w:rsid w:val="3B5A25D6"/>
    <w:rsid w:val="3B5B3975"/>
    <w:rsid w:val="3B5E09D7"/>
    <w:rsid w:val="3B651DF0"/>
    <w:rsid w:val="3B731D7A"/>
    <w:rsid w:val="3B7451C0"/>
    <w:rsid w:val="3B791E90"/>
    <w:rsid w:val="3B7B74E1"/>
    <w:rsid w:val="3B837671"/>
    <w:rsid w:val="3B880A4A"/>
    <w:rsid w:val="3B89300D"/>
    <w:rsid w:val="3B8A6EC2"/>
    <w:rsid w:val="3B8C5732"/>
    <w:rsid w:val="3B8E4AB8"/>
    <w:rsid w:val="3B9440A1"/>
    <w:rsid w:val="3B94652B"/>
    <w:rsid w:val="3BA24786"/>
    <w:rsid w:val="3BB82E25"/>
    <w:rsid w:val="3BB95194"/>
    <w:rsid w:val="3BBA1ACD"/>
    <w:rsid w:val="3BC26D55"/>
    <w:rsid w:val="3BC85F21"/>
    <w:rsid w:val="3BC93F63"/>
    <w:rsid w:val="3BD20A4B"/>
    <w:rsid w:val="3BD20BEC"/>
    <w:rsid w:val="3BE258F2"/>
    <w:rsid w:val="3BE932D3"/>
    <w:rsid w:val="3BF85EE4"/>
    <w:rsid w:val="3BFE0432"/>
    <w:rsid w:val="3C00317A"/>
    <w:rsid w:val="3C03300E"/>
    <w:rsid w:val="3C085888"/>
    <w:rsid w:val="3C0A656E"/>
    <w:rsid w:val="3C15066D"/>
    <w:rsid w:val="3C1A7707"/>
    <w:rsid w:val="3C205BC3"/>
    <w:rsid w:val="3C2201D1"/>
    <w:rsid w:val="3C28729F"/>
    <w:rsid w:val="3C2A741A"/>
    <w:rsid w:val="3C3710FF"/>
    <w:rsid w:val="3C411AB8"/>
    <w:rsid w:val="3C4353FE"/>
    <w:rsid w:val="3C4608AC"/>
    <w:rsid w:val="3C4E6265"/>
    <w:rsid w:val="3C54160F"/>
    <w:rsid w:val="3C577D4F"/>
    <w:rsid w:val="3C6127E8"/>
    <w:rsid w:val="3C624A28"/>
    <w:rsid w:val="3C773190"/>
    <w:rsid w:val="3C793E68"/>
    <w:rsid w:val="3C7B5ACE"/>
    <w:rsid w:val="3C7C7F0F"/>
    <w:rsid w:val="3C82043C"/>
    <w:rsid w:val="3C82216B"/>
    <w:rsid w:val="3C886F15"/>
    <w:rsid w:val="3C8B109E"/>
    <w:rsid w:val="3C8B67DD"/>
    <w:rsid w:val="3C8D7814"/>
    <w:rsid w:val="3C942A66"/>
    <w:rsid w:val="3C9A328E"/>
    <w:rsid w:val="3C9A4085"/>
    <w:rsid w:val="3C9B7D26"/>
    <w:rsid w:val="3CA3632E"/>
    <w:rsid w:val="3CA70778"/>
    <w:rsid w:val="3CB43F91"/>
    <w:rsid w:val="3CB77EFD"/>
    <w:rsid w:val="3CB80646"/>
    <w:rsid w:val="3CB95734"/>
    <w:rsid w:val="3CBC7F19"/>
    <w:rsid w:val="3CC20B2A"/>
    <w:rsid w:val="3CC354DD"/>
    <w:rsid w:val="3CCA0EB2"/>
    <w:rsid w:val="3CCF05E4"/>
    <w:rsid w:val="3CD479FE"/>
    <w:rsid w:val="3CE2143C"/>
    <w:rsid w:val="3CE4052E"/>
    <w:rsid w:val="3CF0656E"/>
    <w:rsid w:val="3CF32F6E"/>
    <w:rsid w:val="3CF83B2E"/>
    <w:rsid w:val="3CF957C1"/>
    <w:rsid w:val="3CFA4C9E"/>
    <w:rsid w:val="3CFB2368"/>
    <w:rsid w:val="3D016024"/>
    <w:rsid w:val="3D0A066C"/>
    <w:rsid w:val="3D103E71"/>
    <w:rsid w:val="3D142619"/>
    <w:rsid w:val="3D1850D7"/>
    <w:rsid w:val="3D200A5A"/>
    <w:rsid w:val="3D210EEF"/>
    <w:rsid w:val="3D224F2D"/>
    <w:rsid w:val="3D291937"/>
    <w:rsid w:val="3D294205"/>
    <w:rsid w:val="3D2B4034"/>
    <w:rsid w:val="3D363C80"/>
    <w:rsid w:val="3D3D6946"/>
    <w:rsid w:val="3D3E7332"/>
    <w:rsid w:val="3D412A08"/>
    <w:rsid w:val="3D4C6FC6"/>
    <w:rsid w:val="3D5428F6"/>
    <w:rsid w:val="3D5B5C86"/>
    <w:rsid w:val="3D5F0D8C"/>
    <w:rsid w:val="3D620236"/>
    <w:rsid w:val="3D685FA3"/>
    <w:rsid w:val="3D7E52BE"/>
    <w:rsid w:val="3D83315B"/>
    <w:rsid w:val="3D8812AE"/>
    <w:rsid w:val="3DA209BD"/>
    <w:rsid w:val="3DA66963"/>
    <w:rsid w:val="3DAA2A50"/>
    <w:rsid w:val="3DAE72B1"/>
    <w:rsid w:val="3DAF498D"/>
    <w:rsid w:val="3DB77267"/>
    <w:rsid w:val="3DBF046C"/>
    <w:rsid w:val="3DC13666"/>
    <w:rsid w:val="3DC86DB6"/>
    <w:rsid w:val="3DD37AE2"/>
    <w:rsid w:val="3DD6554A"/>
    <w:rsid w:val="3DDA4854"/>
    <w:rsid w:val="3DEF3562"/>
    <w:rsid w:val="3DF158A0"/>
    <w:rsid w:val="3DF20129"/>
    <w:rsid w:val="3DF33FCC"/>
    <w:rsid w:val="3DF67E14"/>
    <w:rsid w:val="3E03148D"/>
    <w:rsid w:val="3E0C5AC9"/>
    <w:rsid w:val="3E1019BB"/>
    <w:rsid w:val="3E1F38B2"/>
    <w:rsid w:val="3E2657D5"/>
    <w:rsid w:val="3E3647AA"/>
    <w:rsid w:val="3E4F243E"/>
    <w:rsid w:val="3E4F4E8E"/>
    <w:rsid w:val="3E5164BF"/>
    <w:rsid w:val="3E520CD7"/>
    <w:rsid w:val="3E527378"/>
    <w:rsid w:val="3E5B529D"/>
    <w:rsid w:val="3E7212ED"/>
    <w:rsid w:val="3E73685A"/>
    <w:rsid w:val="3E8B26FE"/>
    <w:rsid w:val="3E922536"/>
    <w:rsid w:val="3E9A4BB1"/>
    <w:rsid w:val="3E9C40D7"/>
    <w:rsid w:val="3EA3414C"/>
    <w:rsid w:val="3EA54914"/>
    <w:rsid w:val="3EB01AC7"/>
    <w:rsid w:val="3EB041C9"/>
    <w:rsid w:val="3EB1054C"/>
    <w:rsid w:val="3EB13C76"/>
    <w:rsid w:val="3EB14E3A"/>
    <w:rsid w:val="3EBD3F95"/>
    <w:rsid w:val="3EC25CA0"/>
    <w:rsid w:val="3EC7163A"/>
    <w:rsid w:val="3EC96566"/>
    <w:rsid w:val="3ECD16C8"/>
    <w:rsid w:val="3ED218A5"/>
    <w:rsid w:val="3EE27A1E"/>
    <w:rsid w:val="3EEE2BE8"/>
    <w:rsid w:val="3F023D3C"/>
    <w:rsid w:val="3F080204"/>
    <w:rsid w:val="3F0B2670"/>
    <w:rsid w:val="3F12278F"/>
    <w:rsid w:val="3F13251A"/>
    <w:rsid w:val="3F136010"/>
    <w:rsid w:val="3F1365F0"/>
    <w:rsid w:val="3F153FB9"/>
    <w:rsid w:val="3F161F42"/>
    <w:rsid w:val="3F1E3820"/>
    <w:rsid w:val="3F2C3DE7"/>
    <w:rsid w:val="3F2D0248"/>
    <w:rsid w:val="3F2F5872"/>
    <w:rsid w:val="3F411CE0"/>
    <w:rsid w:val="3F43603E"/>
    <w:rsid w:val="3F44276C"/>
    <w:rsid w:val="3F4A1C8B"/>
    <w:rsid w:val="3F4A6ABF"/>
    <w:rsid w:val="3F4C0C38"/>
    <w:rsid w:val="3F58403A"/>
    <w:rsid w:val="3F661102"/>
    <w:rsid w:val="3F666903"/>
    <w:rsid w:val="3F6D2629"/>
    <w:rsid w:val="3F720E02"/>
    <w:rsid w:val="3F722C41"/>
    <w:rsid w:val="3F7A6B03"/>
    <w:rsid w:val="3F892E15"/>
    <w:rsid w:val="3F8A5BAA"/>
    <w:rsid w:val="3F8B020A"/>
    <w:rsid w:val="3F92136C"/>
    <w:rsid w:val="3F9E1960"/>
    <w:rsid w:val="3F9E4CF2"/>
    <w:rsid w:val="3FA933A2"/>
    <w:rsid w:val="3FAD2022"/>
    <w:rsid w:val="3FAE3F57"/>
    <w:rsid w:val="3FAE4204"/>
    <w:rsid w:val="3FAF181F"/>
    <w:rsid w:val="3FB43FB9"/>
    <w:rsid w:val="3FB479A0"/>
    <w:rsid w:val="3FB77D6F"/>
    <w:rsid w:val="3FD404AB"/>
    <w:rsid w:val="3FD97438"/>
    <w:rsid w:val="3FDA067E"/>
    <w:rsid w:val="3FDE72C9"/>
    <w:rsid w:val="3FE635F3"/>
    <w:rsid w:val="3FEE0241"/>
    <w:rsid w:val="3FF141E9"/>
    <w:rsid w:val="3FF46EAC"/>
    <w:rsid w:val="3FF53BC5"/>
    <w:rsid w:val="3FF54E76"/>
    <w:rsid w:val="3FF85BCF"/>
    <w:rsid w:val="401F2835"/>
    <w:rsid w:val="40250F8B"/>
    <w:rsid w:val="40270AF7"/>
    <w:rsid w:val="40292CCE"/>
    <w:rsid w:val="40412C3B"/>
    <w:rsid w:val="404D6A5F"/>
    <w:rsid w:val="404E04A7"/>
    <w:rsid w:val="405668D4"/>
    <w:rsid w:val="4062348D"/>
    <w:rsid w:val="40653646"/>
    <w:rsid w:val="40681B0B"/>
    <w:rsid w:val="406E7CC6"/>
    <w:rsid w:val="406F602F"/>
    <w:rsid w:val="40712660"/>
    <w:rsid w:val="40797595"/>
    <w:rsid w:val="407E0656"/>
    <w:rsid w:val="40805F80"/>
    <w:rsid w:val="4084385D"/>
    <w:rsid w:val="40850AD3"/>
    <w:rsid w:val="408F6CEC"/>
    <w:rsid w:val="409232C7"/>
    <w:rsid w:val="40936F19"/>
    <w:rsid w:val="4094009F"/>
    <w:rsid w:val="4097140E"/>
    <w:rsid w:val="40A61EC4"/>
    <w:rsid w:val="40B25D80"/>
    <w:rsid w:val="40C55D36"/>
    <w:rsid w:val="40CF749B"/>
    <w:rsid w:val="40D03DBA"/>
    <w:rsid w:val="40D84655"/>
    <w:rsid w:val="40E727D9"/>
    <w:rsid w:val="40F435F1"/>
    <w:rsid w:val="40F75BC6"/>
    <w:rsid w:val="40FD51AA"/>
    <w:rsid w:val="4102170A"/>
    <w:rsid w:val="41083CBA"/>
    <w:rsid w:val="41094141"/>
    <w:rsid w:val="4109443A"/>
    <w:rsid w:val="41194DCA"/>
    <w:rsid w:val="411A643C"/>
    <w:rsid w:val="411E1620"/>
    <w:rsid w:val="411F2B4B"/>
    <w:rsid w:val="41213BE8"/>
    <w:rsid w:val="41227067"/>
    <w:rsid w:val="41294129"/>
    <w:rsid w:val="41303E98"/>
    <w:rsid w:val="41333E97"/>
    <w:rsid w:val="41386742"/>
    <w:rsid w:val="41392B23"/>
    <w:rsid w:val="413C0CAB"/>
    <w:rsid w:val="4144054F"/>
    <w:rsid w:val="414733AD"/>
    <w:rsid w:val="41480D53"/>
    <w:rsid w:val="414B35E7"/>
    <w:rsid w:val="41506F12"/>
    <w:rsid w:val="415E67A5"/>
    <w:rsid w:val="41651D3A"/>
    <w:rsid w:val="416858EB"/>
    <w:rsid w:val="41694A56"/>
    <w:rsid w:val="416A76F6"/>
    <w:rsid w:val="41706740"/>
    <w:rsid w:val="417325E3"/>
    <w:rsid w:val="417742AC"/>
    <w:rsid w:val="4179238C"/>
    <w:rsid w:val="418249C7"/>
    <w:rsid w:val="41837D60"/>
    <w:rsid w:val="419433DE"/>
    <w:rsid w:val="41963A7A"/>
    <w:rsid w:val="419F1BE4"/>
    <w:rsid w:val="419F4083"/>
    <w:rsid w:val="41AF3F94"/>
    <w:rsid w:val="41AF6CA0"/>
    <w:rsid w:val="41B20C20"/>
    <w:rsid w:val="41BC6779"/>
    <w:rsid w:val="41C213BA"/>
    <w:rsid w:val="41C4063B"/>
    <w:rsid w:val="41C82ECA"/>
    <w:rsid w:val="41CB7430"/>
    <w:rsid w:val="41CC40FF"/>
    <w:rsid w:val="41CD3BB9"/>
    <w:rsid w:val="41D34E7E"/>
    <w:rsid w:val="41D448DE"/>
    <w:rsid w:val="41DC6A82"/>
    <w:rsid w:val="41DE71D2"/>
    <w:rsid w:val="41E10958"/>
    <w:rsid w:val="41E33D30"/>
    <w:rsid w:val="41F1341F"/>
    <w:rsid w:val="41F54DD6"/>
    <w:rsid w:val="42067189"/>
    <w:rsid w:val="420A22A0"/>
    <w:rsid w:val="420B609C"/>
    <w:rsid w:val="42112A44"/>
    <w:rsid w:val="421C258C"/>
    <w:rsid w:val="422851E6"/>
    <w:rsid w:val="422870D4"/>
    <w:rsid w:val="422C6C39"/>
    <w:rsid w:val="422E76A1"/>
    <w:rsid w:val="42433416"/>
    <w:rsid w:val="42591948"/>
    <w:rsid w:val="425D181A"/>
    <w:rsid w:val="42661088"/>
    <w:rsid w:val="426806F4"/>
    <w:rsid w:val="42716473"/>
    <w:rsid w:val="42785B8C"/>
    <w:rsid w:val="427B1A08"/>
    <w:rsid w:val="427D2F21"/>
    <w:rsid w:val="4288614E"/>
    <w:rsid w:val="4288648A"/>
    <w:rsid w:val="428D045B"/>
    <w:rsid w:val="4292322F"/>
    <w:rsid w:val="429B2B21"/>
    <w:rsid w:val="429D17B5"/>
    <w:rsid w:val="42A62228"/>
    <w:rsid w:val="42B4050E"/>
    <w:rsid w:val="42BC7587"/>
    <w:rsid w:val="42C22E3B"/>
    <w:rsid w:val="42C36CD5"/>
    <w:rsid w:val="42C41FE4"/>
    <w:rsid w:val="42D77E08"/>
    <w:rsid w:val="42DD60FE"/>
    <w:rsid w:val="42DF3109"/>
    <w:rsid w:val="42E54ED7"/>
    <w:rsid w:val="42F009CC"/>
    <w:rsid w:val="42F05A7C"/>
    <w:rsid w:val="42FA34CA"/>
    <w:rsid w:val="43061E6A"/>
    <w:rsid w:val="4312661B"/>
    <w:rsid w:val="43131AD8"/>
    <w:rsid w:val="43300A36"/>
    <w:rsid w:val="433A791D"/>
    <w:rsid w:val="433D18C7"/>
    <w:rsid w:val="433F1262"/>
    <w:rsid w:val="43455BBB"/>
    <w:rsid w:val="434A3295"/>
    <w:rsid w:val="434A7154"/>
    <w:rsid w:val="43537F4B"/>
    <w:rsid w:val="435E03EB"/>
    <w:rsid w:val="43621F79"/>
    <w:rsid w:val="43676D85"/>
    <w:rsid w:val="43721FD6"/>
    <w:rsid w:val="4375205B"/>
    <w:rsid w:val="43815BC1"/>
    <w:rsid w:val="438666A4"/>
    <w:rsid w:val="43A04F14"/>
    <w:rsid w:val="43A21FD3"/>
    <w:rsid w:val="43B36449"/>
    <w:rsid w:val="43B52F2F"/>
    <w:rsid w:val="43B810FA"/>
    <w:rsid w:val="43C00DA4"/>
    <w:rsid w:val="43CB318B"/>
    <w:rsid w:val="43D40D25"/>
    <w:rsid w:val="43EB0169"/>
    <w:rsid w:val="43EF4A13"/>
    <w:rsid w:val="43F763EA"/>
    <w:rsid w:val="43F95F54"/>
    <w:rsid w:val="43FE1B4F"/>
    <w:rsid w:val="440756DA"/>
    <w:rsid w:val="440B2872"/>
    <w:rsid w:val="4418484A"/>
    <w:rsid w:val="441D117C"/>
    <w:rsid w:val="441E0811"/>
    <w:rsid w:val="44287D15"/>
    <w:rsid w:val="44291AFF"/>
    <w:rsid w:val="443315B5"/>
    <w:rsid w:val="44367F55"/>
    <w:rsid w:val="44534EE3"/>
    <w:rsid w:val="445B013B"/>
    <w:rsid w:val="44602AA9"/>
    <w:rsid w:val="44623A64"/>
    <w:rsid w:val="44663932"/>
    <w:rsid w:val="446D7208"/>
    <w:rsid w:val="447E4F37"/>
    <w:rsid w:val="447E71AC"/>
    <w:rsid w:val="44813040"/>
    <w:rsid w:val="44846F5D"/>
    <w:rsid w:val="44850C92"/>
    <w:rsid w:val="44853513"/>
    <w:rsid w:val="44860D83"/>
    <w:rsid w:val="44897EE1"/>
    <w:rsid w:val="448A00DF"/>
    <w:rsid w:val="448B57D9"/>
    <w:rsid w:val="44954BB9"/>
    <w:rsid w:val="44995D36"/>
    <w:rsid w:val="449B220F"/>
    <w:rsid w:val="449F7087"/>
    <w:rsid w:val="44A71F1F"/>
    <w:rsid w:val="44B157B6"/>
    <w:rsid w:val="44B216CC"/>
    <w:rsid w:val="44C570D6"/>
    <w:rsid w:val="44C57A9D"/>
    <w:rsid w:val="44D00359"/>
    <w:rsid w:val="44D1062D"/>
    <w:rsid w:val="44D456EB"/>
    <w:rsid w:val="44D56356"/>
    <w:rsid w:val="44D72E8E"/>
    <w:rsid w:val="44DB61C5"/>
    <w:rsid w:val="44E637E8"/>
    <w:rsid w:val="44EE114C"/>
    <w:rsid w:val="44F17AC1"/>
    <w:rsid w:val="44F50B70"/>
    <w:rsid w:val="44F510CB"/>
    <w:rsid w:val="44F90F58"/>
    <w:rsid w:val="44FB1427"/>
    <w:rsid w:val="44FC530F"/>
    <w:rsid w:val="44FD49B4"/>
    <w:rsid w:val="450A16FF"/>
    <w:rsid w:val="450B6DD7"/>
    <w:rsid w:val="450C25DC"/>
    <w:rsid w:val="45122E52"/>
    <w:rsid w:val="451362FD"/>
    <w:rsid w:val="451A5CDD"/>
    <w:rsid w:val="451D6C73"/>
    <w:rsid w:val="452B4795"/>
    <w:rsid w:val="452C76AE"/>
    <w:rsid w:val="45391754"/>
    <w:rsid w:val="45391C5E"/>
    <w:rsid w:val="4540282F"/>
    <w:rsid w:val="45404374"/>
    <w:rsid w:val="45451C5A"/>
    <w:rsid w:val="45461FBC"/>
    <w:rsid w:val="4555591D"/>
    <w:rsid w:val="45567D79"/>
    <w:rsid w:val="455A6B7E"/>
    <w:rsid w:val="455C139D"/>
    <w:rsid w:val="4563661C"/>
    <w:rsid w:val="45664A59"/>
    <w:rsid w:val="45721926"/>
    <w:rsid w:val="45760E04"/>
    <w:rsid w:val="45765F5F"/>
    <w:rsid w:val="45781C39"/>
    <w:rsid w:val="45793699"/>
    <w:rsid w:val="457D2DE9"/>
    <w:rsid w:val="45992930"/>
    <w:rsid w:val="459E128F"/>
    <w:rsid w:val="45A33B0B"/>
    <w:rsid w:val="45A87F33"/>
    <w:rsid w:val="45AC7703"/>
    <w:rsid w:val="45B557E9"/>
    <w:rsid w:val="45B633EC"/>
    <w:rsid w:val="45BD5D17"/>
    <w:rsid w:val="45C00B79"/>
    <w:rsid w:val="45C8771A"/>
    <w:rsid w:val="45CB47A1"/>
    <w:rsid w:val="45CC2615"/>
    <w:rsid w:val="45D53351"/>
    <w:rsid w:val="45DF41B2"/>
    <w:rsid w:val="45F0737D"/>
    <w:rsid w:val="45FD3EBA"/>
    <w:rsid w:val="46020FCD"/>
    <w:rsid w:val="46050266"/>
    <w:rsid w:val="46050BD4"/>
    <w:rsid w:val="461341EB"/>
    <w:rsid w:val="461D09DE"/>
    <w:rsid w:val="462733C7"/>
    <w:rsid w:val="46276F1A"/>
    <w:rsid w:val="462C2D98"/>
    <w:rsid w:val="46300C97"/>
    <w:rsid w:val="463C2476"/>
    <w:rsid w:val="463E40DC"/>
    <w:rsid w:val="464D46BF"/>
    <w:rsid w:val="464E2853"/>
    <w:rsid w:val="46514E54"/>
    <w:rsid w:val="466064E6"/>
    <w:rsid w:val="46614F86"/>
    <w:rsid w:val="46692341"/>
    <w:rsid w:val="46747CC0"/>
    <w:rsid w:val="467629F6"/>
    <w:rsid w:val="46785B8E"/>
    <w:rsid w:val="46786CCD"/>
    <w:rsid w:val="46816807"/>
    <w:rsid w:val="468C1E1A"/>
    <w:rsid w:val="46952EF6"/>
    <w:rsid w:val="469F30AC"/>
    <w:rsid w:val="46A03FA7"/>
    <w:rsid w:val="46A4258B"/>
    <w:rsid w:val="46A61F3C"/>
    <w:rsid w:val="46A66917"/>
    <w:rsid w:val="46AD7C79"/>
    <w:rsid w:val="46B975B3"/>
    <w:rsid w:val="46BD2833"/>
    <w:rsid w:val="46C3645D"/>
    <w:rsid w:val="46D6756B"/>
    <w:rsid w:val="46D76DB1"/>
    <w:rsid w:val="46DE1B1F"/>
    <w:rsid w:val="46DE3D4F"/>
    <w:rsid w:val="46E07084"/>
    <w:rsid w:val="46E3679D"/>
    <w:rsid w:val="46E578CE"/>
    <w:rsid w:val="46E86E2E"/>
    <w:rsid w:val="46EE16EC"/>
    <w:rsid w:val="46EE19DD"/>
    <w:rsid w:val="46EF01DD"/>
    <w:rsid w:val="46F30D3B"/>
    <w:rsid w:val="46F32BB7"/>
    <w:rsid w:val="46F530C2"/>
    <w:rsid w:val="46FB2AD2"/>
    <w:rsid w:val="47027441"/>
    <w:rsid w:val="47076519"/>
    <w:rsid w:val="47081552"/>
    <w:rsid w:val="470A6E9A"/>
    <w:rsid w:val="471640D1"/>
    <w:rsid w:val="47192863"/>
    <w:rsid w:val="471A1505"/>
    <w:rsid w:val="471C62B9"/>
    <w:rsid w:val="473123A3"/>
    <w:rsid w:val="47390859"/>
    <w:rsid w:val="47405EDE"/>
    <w:rsid w:val="47441A65"/>
    <w:rsid w:val="47491465"/>
    <w:rsid w:val="474A64BE"/>
    <w:rsid w:val="474D38BC"/>
    <w:rsid w:val="47533F0A"/>
    <w:rsid w:val="475444CC"/>
    <w:rsid w:val="476007AB"/>
    <w:rsid w:val="476055C2"/>
    <w:rsid w:val="476349C7"/>
    <w:rsid w:val="47673586"/>
    <w:rsid w:val="47692431"/>
    <w:rsid w:val="476E5E9C"/>
    <w:rsid w:val="477F25CC"/>
    <w:rsid w:val="47841526"/>
    <w:rsid w:val="478C68E9"/>
    <w:rsid w:val="478F4E9E"/>
    <w:rsid w:val="479C23CF"/>
    <w:rsid w:val="47A734B8"/>
    <w:rsid w:val="47AA428D"/>
    <w:rsid w:val="47AD44AD"/>
    <w:rsid w:val="47AE3E5F"/>
    <w:rsid w:val="47BD2AFD"/>
    <w:rsid w:val="47C64383"/>
    <w:rsid w:val="47C65442"/>
    <w:rsid w:val="47CA3977"/>
    <w:rsid w:val="47CE219D"/>
    <w:rsid w:val="47D4346A"/>
    <w:rsid w:val="47E007BE"/>
    <w:rsid w:val="47E706C8"/>
    <w:rsid w:val="47EB55C4"/>
    <w:rsid w:val="47F3693A"/>
    <w:rsid w:val="47F819D9"/>
    <w:rsid w:val="48072AAD"/>
    <w:rsid w:val="48084E26"/>
    <w:rsid w:val="48136E36"/>
    <w:rsid w:val="48194259"/>
    <w:rsid w:val="481F63D7"/>
    <w:rsid w:val="482043AB"/>
    <w:rsid w:val="482477FD"/>
    <w:rsid w:val="48260D22"/>
    <w:rsid w:val="48300ADD"/>
    <w:rsid w:val="4836448F"/>
    <w:rsid w:val="483F03DA"/>
    <w:rsid w:val="484074F7"/>
    <w:rsid w:val="48492C81"/>
    <w:rsid w:val="4858093C"/>
    <w:rsid w:val="485F5D0A"/>
    <w:rsid w:val="48621E6E"/>
    <w:rsid w:val="48643CCC"/>
    <w:rsid w:val="487853E3"/>
    <w:rsid w:val="488D1FCA"/>
    <w:rsid w:val="48934E08"/>
    <w:rsid w:val="489B4AC8"/>
    <w:rsid w:val="48A05411"/>
    <w:rsid w:val="48A217F1"/>
    <w:rsid w:val="48A77074"/>
    <w:rsid w:val="48AA5D88"/>
    <w:rsid w:val="48AD3A15"/>
    <w:rsid w:val="48B20A75"/>
    <w:rsid w:val="48BB32CA"/>
    <w:rsid w:val="48BD0E4E"/>
    <w:rsid w:val="48C801FD"/>
    <w:rsid w:val="48CB598C"/>
    <w:rsid w:val="48CF1C1A"/>
    <w:rsid w:val="48D801B3"/>
    <w:rsid w:val="48E43750"/>
    <w:rsid w:val="48E637E8"/>
    <w:rsid w:val="48EC5370"/>
    <w:rsid w:val="48F86CF9"/>
    <w:rsid w:val="48FE01EA"/>
    <w:rsid w:val="48FE34AA"/>
    <w:rsid w:val="49105D9B"/>
    <w:rsid w:val="491A1426"/>
    <w:rsid w:val="491A2FC0"/>
    <w:rsid w:val="492561FD"/>
    <w:rsid w:val="49312E4C"/>
    <w:rsid w:val="4931518F"/>
    <w:rsid w:val="49337132"/>
    <w:rsid w:val="49482465"/>
    <w:rsid w:val="49495815"/>
    <w:rsid w:val="494F7D0B"/>
    <w:rsid w:val="496332E8"/>
    <w:rsid w:val="49674BC9"/>
    <w:rsid w:val="49722044"/>
    <w:rsid w:val="49736F4E"/>
    <w:rsid w:val="497D55A1"/>
    <w:rsid w:val="498A095F"/>
    <w:rsid w:val="499004D9"/>
    <w:rsid w:val="49A7015D"/>
    <w:rsid w:val="49A94E13"/>
    <w:rsid w:val="49B108DF"/>
    <w:rsid w:val="49B461FE"/>
    <w:rsid w:val="49BD4B5D"/>
    <w:rsid w:val="49CD06E7"/>
    <w:rsid w:val="49D1559F"/>
    <w:rsid w:val="49DF4FBB"/>
    <w:rsid w:val="49E63903"/>
    <w:rsid w:val="49F103CA"/>
    <w:rsid w:val="49F2328C"/>
    <w:rsid w:val="49F85431"/>
    <w:rsid w:val="49FB71AD"/>
    <w:rsid w:val="49FD3AC3"/>
    <w:rsid w:val="4A042828"/>
    <w:rsid w:val="4A113C53"/>
    <w:rsid w:val="4A117BE9"/>
    <w:rsid w:val="4A1E0E70"/>
    <w:rsid w:val="4A1F20A8"/>
    <w:rsid w:val="4A222D48"/>
    <w:rsid w:val="4A227D12"/>
    <w:rsid w:val="4A24691C"/>
    <w:rsid w:val="4A294A72"/>
    <w:rsid w:val="4A2A45CD"/>
    <w:rsid w:val="4A2B7F50"/>
    <w:rsid w:val="4A334EE3"/>
    <w:rsid w:val="4A347333"/>
    <w:rsid w:val="4A357539"/>
    <w:rsid w:val="4A360C07"/>
    <w:rsid w:val="4A36444B"/>
    <w:rsid w:val="4A450EB7"/>
    <w:rsid w:val="4A5B6DC5"/>
    <w:rsid w:val="4A650664"/>
    <w:rsid w:val="4A6678FA"/>
    <w:rsid w:val="4A6A792D"/>
    <w:rsid w:val="4A6C3E8D"/>
    <w:rsid w:val="4A7625EF"/>
    <w:rsid w:val="4A762BBA"/>
    <w:rsid w:val="4A7D7D0C"/>
    <w:rsid w:val="4A8C27C3"/>
    <w:rsid w:val="4A8D04A3"/>
    <w:rsid w:val="4A901507"/>
    <w:rsid w:val="4AA25265"/>
    <w:rsid w:val="4AC31B50"/>
    <w:rsid w:val="4AC46E2F"/>
    <w:rsid w:val="4AC64A0A"/>
    <w:rsid w:val="4AC90C03"/>
    <w:rsid w:val="4ACA6CF5"/>
    <w:rsid w:val="4AD4423F"/>
    <w:rsid w:val="4ADD501A"/>
    <w:rsid w:val="4AE87BFB"/>
    <w:rsid w:val="4AEA6392"/>
    <w:rsid w:val="4AF0330D"/>
    <w:rsid w:val="4B03091B"/>
    <w:rsid w:val="4B065404"/>
    <w:rsid w:val="4B0D402B"/>
    <w:rsid w:val="4B0F1454"/>
    <w:rsid w:val="4B14271E"/>
    <w:rsid w:val="4B363F8C"/>
    <w:rsid w:val="4B384E1A"/>
    <w:rsid w:val="4B385E4C"/>
    <w:rsid w:val="4B3E344D"/>
    <w:rsid w:val="4B4F3D5F"/>
    <w:rsid w:val="4B536976"/>
    <w:rsid w:val="4B631836"/>
    <w:rsid w:val="4B6C2991"/>
    <w:rsid w:val="4B737E69"/>
    <w:rsid w:val="4B757CC4"/>
    <w:rsid w:val="4B76193C"/>
    <w:rsid w:val="4B785146"/>
    <w:rsid w:val="4B813CBE"/>
    <w:rsid w:val="4B977AC9"/>
    <w:rsid w:val="4BA57DE6"/>
    <w:rsid w:val="4BA84FE4"/>
    <w:rsid w:val="4BAE1201"/>
    <w:rsid w:val="4BB56469"/>
    <w:rsid w:val="4BBF3561"/>
    <w:rsid w:val="4BBF4D7C"/>
    <w:rsid w:val="4BCA42BD"/>
    <w:rsid w:val="4BDA642E"/>
    <w:rsid w:val="4BF87979"/>
    <w:rsid w:val="4BFA6898"/>
    <w:rsid w:val="4BFC303D"/>
    <w:rsid w:val="4BFD6717"/>
    <w:rsid w:val="4C0D045A"/>
    <w:rsid w:val="4C1400F3"/>
    <w:rsid w:val="4C1432FB"/>
    <w:rsid w:val="4C1E1719"/>
    <w:rsid w:val="4C1E3988"/>
    <w:rsid w:val="4C27117E"/>
    <w:rsid w:val="4C294E52"/>
    <w:rsid w:val="4C2A0976"/>
    <w:rsid w:val="4C49528A"/>
    <w:rsid w:val="4C4E16F5"/>
    <w:rsid w:val="4C5C6EDD"/>
    <w:rsid w:val="4C5D0CF9"/>
    <w:rsid w:val="4C69273F"/>
    <w:rsid w:val="4C713868"/>
    <w:rsid w:val="4C732F5E"/>
    <w:rsid w:val="4C7D159E"/>
    <w:rsid w:val="4C92465C"/>
    <w:rsid w:val="4C933478"/>
    <w:rsid w:val="4C955857"/>
    <w:rsid w:val="4C965F85"/>
    <w:rsid w:val="4C9A3849"/>
    <w:rsid w:val="4CA322F1"/>
    <w:rsid w:val="4CB53B29"/>
    <w:rsid w:val="4CBA74DA"/>
    <w:rsid w:val="4CC96872"/>
    <w:rsid w:val="4CD866D9"/>
    <w:rsid w:val="4CD916F0"/>
    <w:rsid w:val="4CDB7CFA"/>
    <w:rsid w:val="4CE15FF3"/>
    <w:rsid w:val="4CEB6FA1"/>
    <w:rsid w:val="4CF62D02"/>
    <w:rsid w:val="4CF71914"/>
    <w:rsid w:val="4CFA2F72"/>
    <w:rsid w:val="4D0A3177"/>
    <w:rsid w:val="4D0F48C4"/>
    <w:rsid w:val="4D181EFF"/>
    <w:rsid w:val="4D1C12F1"/>
    <w:rsid w:val="4D2B569B"/>
    <w:rsid w:val="4D2C7EEB"/>
    <w:rsid w:val="4D2D4B24"/>
    <w:rsid w:val="4D2F61DE"/>
    <w:rsid w:val="4D496F49"/>
    <w:rsid w:val="4D4B0D6F"/>
    <w:rsid w:val="4D554B17"/>
    <w:rsid w:val="4D575C85"/>
    <w:rsid w:val="4D592608"/>
    <w:rsid w:val="4D597EE0"/>
    <w:rsid w:val="4D5F04A8"/>
    <w:rsid w:val="4D6C438C"/>
    <w:rsid w:val="4D730873"/>
    <w:rsid w:val="4D737216"/>
    <w:rsid w:val="4D786349"/>
    <w:rsid w:val="4D932CCA"/>
    <w:rsid w:val="4D9448B9"/>
    <w:rsid w:val="4D9535C7"/>
    <w:rsid w:val="4D955FCC"/>
    <w:rsid w:val="4D9660D9"/>
    <w:rsid w:val="4D9A2320"/>
    <w:rsid w:val="4DAD465D"/>
    <w:rsid w:val="4DB13EFE"/>
    <w:rsid w:val="4DB36946"/>
    <w:rsid w:val="4DC034A1"/>
    <w:rsid w:val="4DCE0C9C"/>
    <w:rsid w:val="4DDA0452"/>
    <w:rsid w:val="4DDA674E"/>
    <w:rsid w:val="4DEF7B07"/>
    <w:rsid w:val="4DFA5D2E"/>
    <w:rsid w:val="4DFB5241"/>
    <w:rsid w:val="4E01603E"/>
    <w:rsid w:val="4E0A5145"/>
    <w:rsid w:val="4E0C3F5C"/>
    <w:rsid w:val="4E0D2463"/>
    <w:rsid w:val="4E0F7532"/>
    <w:rsid w:val="4E217D45"/>
    <w:rsid w:val="4E2423FB"/>
    <w:rsid w:val="4E2A0DA2"/>
    <w:rsid w:val="4E3118A2"/>
    <w:rsid w:val="4E326083"/>
    <w:rsid w:val="4E34529B"/>
    <w:rsid w:val="4E431A1C"/>
    <w:rsid w:val="4E4B1117"/>
    <w:rsid w:val="4E4C0581"/>
    <w:rsid w:val="4E4C4C04"/>
    <w:rsid w:val="4E4D15C5"/>
    <w:rsid w:val="4E5665B2"/>
    <w:rsid w:val="4E5767E1"/>
    <w:rsid w:val="4E5C19ED"/>
    <w:rsid w:val="4E690508"/>
    <w:rsid w:val="4E6E6ED6"/>
    <w:rsid w:val="4E7253CD"/>
    <w:rsid w:val="4E752B16"/>
    <w:rsid w:val="4E8B4E7F"/>
    <w:rsid w:val="4E914CCF"/>
    <w:rsid w:val="4E915B2A"/>
    <w:rsid w:val="4E923593"/>
    <w:rsid w:val="4E950BA1"/>
    <w:rsid w:val="4E9552D0"/>
    <w:rsid w:val="4E96777E"/>
    <w:rsid w:val="4E9E6D8C"/>
    <w:rsid w:val="4EA26ABF"/>
    <w:rsid w:val="4EA80992"/>
    <w:rsid w:val="4EA91CD2"/>
    <w:rsid w:val="4EAE7876"/>
    <w:rsid w:val="4EB929DF"/>
    <w:rsid w:val="4EC03DB9"/>
    <w:rsid w:val="4ED85A88"/>
    <w:rsid w:val="4EE63509"/>
    <w:rsid w:val="4EE74154"/>
    <w:rsid w:val="4EEA695E"/>
    <w:rsid w:val="4EEC6B85"/>
    <w:rsid w:val="4EF5262F"/>
    <w:rsid w:val="4F0A4781"/>
    <w:rsid w:val="4F0B5BAD"/>
    <w:rsid w:val="4F152818"/>
    <w:rsid w:val="4F1C7EF0"/>
    <w:rsid w:val="4F241536"/>
    <w:rsid w:val="4F2861BC"/>
    <w:rsid w:val="4F2C7DC8"/>
    <w:rsid w:val="4F4D187E"/>
    <w:rsid w:val="4F4D5F76"/>
    <w:rsid w:val="4F5F2E1B"/>
    <w:rsid w:val="4F5F6EE1"/>
    <w:rsid w:val="4F667E55"/>
    <w:rsid w:val="4F700EB6"/>
    <w:rsid w:val="4F7A53A2"/>
    <w:rsid w:val="4F8103E5"/>
    <w:rsid w:val="4F894EB8"/>
    <w:rsid w:val="4F8B3325"/>
    <w:rsid w:val="4F953B7B"/>
    <w:rsid w:val="4F9E716D"/>
    <w:rsid w:val="4FA519B3"/>
    <w:rsid w:val="4FA61710"/>
    <w:rsid w:val="4FA92BC7"/>
    <w:rsid w:val="4FC145DA"/>
    <w:rsid w:val="4FC457A9"/>
    <w:rsid w:val="4FCD2362"/>
    <w:rsid w:val="4FD67734"/>
    <w:rsid w:val="4FD830B6"/>
    <w:rsid w:val="4FD876AC"/>
    <w:rsid w:val="4FDF2D03"/>
    <w:rsid w:val="4FE3237D"/>
    <w:rsid w:val="4FE62190"/>
    <w:rsid w:val="4FE813DF"/>
    <w:rsid w:val="4FEC0D3F"/>
    <w:rsid w:val="4FED3160"/>
    <w:rsid w:val="4FF3099E"/>
    <w:rsid w:val="4FF602BE"/>
    <w:rsid w:val="4FF7129E"/>
    <w:rsid w:val="4FFD5EFF"/>
    <w:rsid w:val="50016317"/>
    <w:rsid w:val="50041757"/>
    <w:rsid w:val="50043685"/>
    <w:rsid w:val="50051B5E"/>
    <w:rsid w:val="501E5D33"/>
    <w:rsid w:val="50201442"/>
    <w:rsid w:val="50297503"/>
    <w:rsid w:val="502A1E70"/>
    <w:rsid w:val="503540C2"/>
    <w:rsid w:val="503B46AD"/>
    <w:rsid w:val="50434F83"/>
    <w:rsid w:val="504B2C3E"/>
    <w:rsid w:val="504C5F7E"/>
    <w:rsid w:val="504D275C"/>
    <w:rsid w:val="504D2CCD"/>
    <w:rsid w:val="50506DE6"/>
    <w:rsid w:val="505C5BA2"/>
    <w:rsid w:val="505F0F12"/>
    <w:rsid w:val="505F6E2D"/>
    <w:rsid w:val="506866AB"/>
    <w:rsid w:val="5069244F"/>
    <w:rsid w:val="506961B1"/>
    <w:rsid w:val="506C7BB3"/>
    <w:rsid w:val="50783260"/>
    <w:rsid w:val="50880DB8"/>
    <w:rsid w:val="509543FE"/>
    <w:rsid w:val="50967EE6"/>
    <w:rsid w:val="509A2BC2"/>
    <w:rsid w:val="50A905B2"/>
    <w:rsid w:val="50B0015B"/>
    <w:rsid w:val="50B2666C"/>
    <w:rsid w:val="50B37CA4"/>
    <w:rsid w:val="50B57E06"/>
    <w:rsid w:val="50BB2DDB"/>
    <w:rsid w:val="50BD024F"/>
    <w:rsid w:val="50C13D72"/>
    <w:rsid w:val="50C41328"/>
    <w:rsid w:val="50D10219"/>
    <w:rsid w:val="50DA3166"/>
    <w:rsid w:val="50DA3269"/>
    <w:rsid w:val="50DE0B85"/>
    <w:rsid w:val="50E01DC1"/>
    <w:rsid w:val="50E16BE3"/>
    <w:rsid w:val="50F07030"/>
    <w:rsid w:val="50F41B04"/>
    <w:rsid w:val="50F436C8"/>
    <w:rsid w:val="51026A07"/>
    <w:rsid w:val="510F1C3D"/>
    <w:rsid w:val="510F6214"/>
    <w:rsid w:val="51132039"/>
    <w:rsid w:val="5116587F"/>
    <w:rsid w:val="51187826"/>
    <w:rsid w:val="51280590"/>
    <w:rsid w:val="51315B0F"/>
    <w:rsid w:val="51365C91"/>
    <w:rsid w:val="51372FE5"/>
    <w:rsid w:val="51394E3F"/>
    <w:rsid w:val="513A0B65"/>
    <w:rsid w:val="5142016A"/>
    <w:rsid w:val="514A7B88"/>
    <w:rsid w:val="514C12B8"/>
    <w:rsid w:val="514C78C0"/>
    <w:rsid w:val="51536481"/>
    <w:rsid w:val="515552AA"/>
    <w:rsid w:val="515A43B1"/>
    <w:rsid w:val="51656088"/>
    <w:rsid w:val="516A60A2"/>
    <w:rsid w:val="51705D14"/>
    <w:rsid w:val="51722153"/>
    <w:rsid w:val="51793826"/>
    <w:rsid w:val="518274CB"/>
    <w:rsid w:val="51940769"/>
    <w:rsid w:val="519A5C79"/>
    <w:rsid w:val="51A5699E"/>
    <w:rsid w:val="51AA4D1F"/>
    <w:rsid w:val="51C7527F"/>
    <w:rsid w:val="51CF23D3"/>
    <w:rsid w:val="51D074EA"/>
    <w:rsid w:val="51DF1844"/>
    <w:rsid w:val="51E37040"/>
    <w:rsid w:val="51E82DF1"/>
    <w:rsid w:val="51EE14DA"/>
    <w:rsid w:val="51F6629E"/>
    <w:rsid w:val="52014BA7"/>
    <w:rsid w:val="52021F05"/>
    <w:rsid w:val="52022A4F"/>
    <w:rsid w:val="52045A95"/>
    <w:rsid w:val="520B4A8B"/>
    <w:rsid w:val="52112C10"/>
    <w:rsid w:val="521436D2"/>
    <w:rsid w:val="52194CE3"/>
    <w:rsid w:val="521C67BC"/>
    <w:rsid w:val="522179A9"/>
    <w:rsid w:val="52233220"/>
    <w:rsid w:val="522A5D95"/>
    <w:rsid w:val="522A64D2"/>
    <w:rsid w:val="523C386A"/>
    <w:rsid w:val="52477DD7"/>
    <w:rsid w:val="524A2225"/>
    <w:rsid w:val="524C1AD1"/>
    <w:rsid w:val="52541950"/>
    <w:rsid w:val="5258568F"/>
    <w:rsid w:val="52606C59"/>
    <w:rsid w:val="526202FC"/>
    <w:rsid w:val="52652E81"/>
    <w:rsid w:val="5271698F"/>
    <w:rsid w:val="5273545C"/>
    <w:rsid w:val="52753392"/>
    <w:rsid w:val="527725E7"/>
    <w:rsid w:val="527D5A39"/>
    <w:rsid w:val="52837FD3"/>
    <w:rsid w:val="528413E5"/>
    <w:rsid w:val="528F6C64"/>
    <w:rsid w:val="52915AF1"/>
    <w:rsid w:val="529A4A48"/>
    <w:rsid w:val="529E6965"/>
    <w:rsid w:val="52A00B02"/>
    <w:rsid w:val="52A15BED"/>
    <w:rsid w:val="52A73E7A"/>
    <w:rsid w:val="52AA38AE"/>
    <w:rsid w:val="52B21E57"/>
    <w:rsid w:val="52BD47EA"/>
    <w:rsid w:val="52CA397A"/>
    <w:rsid w:val="52CC095C"/>
    <w:rsid w:val="52CF7A97"/>
    <w:rsid w:val="52D30B75"/>
    <w:rsid w:val="52DB3440"/>
    <w:rsid w:val="52EC3000"/>
    <w:rsid w:val="52F366EE"/>
    <w:rsid w:val="52F402B7"/>
    <w:rsid w:val="52F95DBD"/>
    <w:rsid w:val="52FE161B"/>
    <w:rsid w:val="53026716"/>
    <w:rsid w:val="53084309"/>
    <w:rsid w:val="530A638A"/>
    <w:rsid w:val="531474F1"/>
    <w:rsid w:val="531C1071"/>
    <w:rsid w:val="531D610D"/>
    <w:rsid w:val="53200CCD"/>
    <w:rsid w:val="532053FA"/>
    <w:rsid w:val="53214E45"/>
    <w:rsid w:val="532F3B1A"/>
    <w:rsid w:val="53402D3D"/>
    <w:rsid w:val="53435358"/>
    <w:rsid w:val="53596B69"/>
    <w:rsid w:val="535A347D"/>
    <w:rsid w:val="535A3814"/>
    <w:rsid w:val="535D1384"/>
    <w:rsid w:val="535F448C"/>
    <w:rsid w:val="535F765E"/>
    <w:rsid w:val="53665399"/>
    <w:rsid w:val="5372386D"/>
    <w:rsid w:val="53730E73"/>
    <w:rsid w:val="53790CC5"/>
    <w:rsid w:val="538B6E18"/>
    <w:rsid w:val="5393457C"/>
    <w:rsid w:val="53A23027"/>
    <w:rsid w:val="53A238D5"/>
    <w:rsid w:val="53A57185"/>
    <w:rsid w:val="53A673B2"/>
    <w:rsid w:val="53AA0419"/>
    <w:rsid w:val="53AD7726"/>
    <w:rsid w:val="53AF14ED"/>
    <w:rsid w:val="53B20651"/>
    <w:rsid w:val="53B34C09"/>
    <w:rsid w:val="53B87A6C"/>
    <w:rsid w:val="53BE6AD2"/>
    <w:rsid w:val="53CA52EB"/>
    <w:rsid w:val="53D0566A"/>
    <w:rsid w:val="53D1048F"/>
    <w:rsid w:val="53DC256C"/>
    <w:rsid w:val="53E156E2"/>
    <w:rsid w:val="53E64FEA"/>
    <w:rsid w:val="53E81141"/>
    <w:rsid w:val="53F127DC"/>
    <w:rsid w:val="53F14250"/>
    <w:rsid w:val="53F329F2"/>
    <w:rsid w:val="540104B6"/>
    <w:rsid w:val="54053D8D"/>
    <w:rsid w:val="54063DC4"/>
    <w:rsid w:val="54065179"/>
    <w:rsid w:val="54115408"/>
    <w:rsid w:val="541418FE"/>
    <w:rsid w:val="54157948"/>
    <w:rsid w:val="5419355E"/>
    <w:rsid w:val="541E3B0C"/>
    <w:rsid w:val="54210DAB"/>
    <w:rsid w:val="54341A8C"/>
    <w:rsid w:val="54362787"/>
    <w:rsid w:val="543E20E3"/>
    <w:rsid w:val="54417D9F"/>
    <w:rsid w:val="54427183"/>
    <w:rsid w:val="545533E9"/>
    <w:rsid w:val="54592060"/>
    <w:rsid w:val="545B3419"/>
    <w:rsid w:val="545D7358"/>
    <w:rsid w:val="546A096A"/>
    <w:rsid w:val="547516C2"/>
    <w:rsid w:val="54765E5E"/>
    <w:rsid w:val="54823BE6"/>
    <w:rsid w:val="54850D2A"/>
    <w:rsid w:val="549668B7"/>
    <w:rsid w:val="549867E7"/>
    <w:rsid w:val="54A42193"/>
    <w:rsid w:val="54A474C1"/>
    <w:rsid w:val="54A740AD"/>
    <w:rsid w:val="54AB4151"/>
    <w:rsid w:val="54B378C5"/>
    <w:rsid w:val="54D1645C"/>
    <w:rsid w:val="54D36609"/>
    <w:rsid w:val="54DD605F"/>
    <w:rsid w:val="54DF52F8"/>
    <w:rsid w:val="54E25C4F"/>
    <w:rsid w:val="54E36F00"/>
    <w:rsid w:val="54E5265B"/>
    <w:rsid w:val="54F074E9"/>
    <w:rsid w:val="54FB75D3"/>
    <w:rsid w:val="550A46DF"/>
    <w:rsid w:val="550D043D"/>
    <w:rsid w:val="550E5938"/>
    <w:rsid w:val="550E760A"/>
    <w:rsid w:val="55165147"/>
    <w:rsid w:val="551951B8"/>
    <w:rsid w:val="551B4E45"/>
    <w:rsid w:val="551C14D8"/>
    <w:rsid w:val="552017EE"/>
    <w:rsid w:val="552375B5"/>
    <w:rsid w:val="55305626"/>
    <w:rsid w:val="55354AD8"/>
    <w:rsid w:val="55385031"/>
    <w:rsid w:val="553B3FB6"/>
    <w:rsid w:val="55567DCD"/>
    <w:rsid w:val="5557242E"/>
    <w:rsid w:val="555F5BF6"/>
    <w:rsid w:val="55671A8E"/>
    <w:rsid w:val="557F07F3"/>
    <w:rsid w:val="55845AD9"/>
    <w:rsid w:val="558850A4"/>
    <w:rsid w:val="558C285B"/>
    <w:rsid w:val="5598586C"/>
    <w:rsid w:val="559D3020"/>
    <w:rsid w:val="55A24037"/>
    <w:rsid w:val="55A63A0A"/>
    <w:rsid w:val="55AC0E22"/>
    <w:rsid w:val="55B34996"/>
    <w:rsid w:val="55B86F8F"/>
    <w:rsid w:val="55C52628"/>
    <w:rsid w:val="55C75DF0"/>
    <w:rsid w:val="55CA7DDA"/>
    <w:rsid w:val="55D62B39"/>
    <w:rsid w:val="55D95C3B"/>
    <w:rsid w:val="55DE49AF"/>
    <w:rsid w:val="55E6047F"/>
    <w:rsid w:val="55E6414E"/>
    <w:rsid w:val="55EB30FF"/>
    <w:rsid w:val="55ED5AD1"/>
    <w:rsid w:val="55F50390"/>
    <w:rsid w:val="55FA35BE"/>
    <w:rsid w:val="56013350"/>
    <w:rsid w:val="56047DFD"/>
    <w:rsid w:val="560642DC"/>
    <w:rsid w:val="56102313"/>
    <w:rsid w:val="561B7F6D"/>
    <w:rsid w:val="561C07B1"/>
    <w:rsid w:val="561E186F"/>
    <w:rsid w:val="561F04ED"/>
    <w:rsid w:val="56220D8B"/>
    <w:rsid w:val="562422E2"/>
    <w:rsid w:val="562631AE"/>
    <w:rsid w:val="562716F8"/>
    <w:rsid w:val="563479CB"/>
    <w:rsid w:val="5635150D"/>
    <w:rsid w:val="563F347A"/>
    <w:rsid w:val="56454091"/>
    <w:rsid w:val="564A62AC"/>
    <w:rsid w:val="566E646B"/>
    <w:rsid w:val="56704685"/>
    <w:rsid w:val="56770BAB"/>
    <w:rsid w:val="567C5764"/>
    <w:rsid w:val="567D6EFD"/>
    <w:rsid w:val="56895397"/>
    <w:rsid w:val="568B2E25"/>
    <w:rsid w:val="568D03DC"/>
    <w:rsid w:val="568F2493"/>
    <w:rsid w:val="56950CF7"/>
    <w:rsid w:val="56A31B7D"/>
    <w:rsid w:val="56A8580C"/>
    <w:rsid w:val="56A9256D"/>
    <w:rsid w:val="56AF075A"/>
    <w:rsid w:val="56B34203"/>
    <w:rsid w:val="56B60D7E"/>
    <w:rsid w:val="56D40C89"/>
    <w:rsid w:val="56DA47C5"/>
    <w:rsid w:val="56DC67AC"/>
    <w:rsid w:val="56E1733B"/>
    <w:rsid w:val="56E32A29"/>
    <w:rsid w:val="56E51616"/>
    <w:rsid w:val="56EA7C9F"/>
    <w:rsid w:val="56F658B0"/>
    <w:rsid w:val="56FA6625"/>
    <w:rsid w:val="56FF1198"/>
    <w:rsid w:val="570230DF"/>
    <w:rsid w:val="57036028"/>
    <w:rsid w:val="570723C7"/>
    <w:rsid w:val="570753D6"/>
    <w:rsid w:val="5713012B"/>
    <w:rsid w:val="57141D34"/>
    <w:rsid w:val="57191164"/>
    <w:rsid w:val="571F4752"/>
    <w:rsid w:val="572326F5"/>
    <w:rsid w:val="57252922"/>
    <w:rsid w:val="57253800"/>
    <w:rsid w:val="572F2EA4"/>
    <w:rsid w:val="57322358"/>
    <w:rsid w:val="573246AC"/>
    <w:rsid w:val="5736004B"/>
    <w:rsid w:val="573D41A4"/>
    <w:rsid w:val="57414155"/>
    <w:rsid w:val="5743693A"/>
    <w:rsid w:val="574A34DB"/>
    <w:rsid w:val="5763047A"/>
    <w:rsid w:val="57707DDF"/>
    <w:rsid w:val="578D6DF6"/>
    <w:rsid w:val="57903868"/>
    <w:rsid w:val="57985CF5"/>
    <w:rsid w:val="57A00C3A"/>
    <w:rsid w:val="57A35E67"/>
    <w:rsid w:val="57A91DD2"/>
    <w:rsid w:val="57A97B34"/>
    <w:rsid w:val="57B149F2"/>
    <w:rsid w:val="57B914C0"/>
    <w:rsid w:val="57C9748C"/>
    <w:rsid w:val="57D35157"/>
    <w:rsid w:val="57DB36EA"/>
    <w:rsid w:val="57E31582"/>
    <w:rsid w:val="57E62349"/>
    <w:rsid w:val="57E65309"/>
    <w:rsid w:val="57E75DE9"/>
    <w:rsid w:val="57EC7FBF"/>
    <w:rsid w:val="580C4C19"/>
    <w:rsid w:val="580F7103"/>
    <w:rsid w:val="5815740A"/>
    <w:rsid w:val="58220FC0"/>
    <w:rsid w:val="582D171A"/>
    <w:rsid w:val="583B1D5A"/>
    <w:rsid w:val="583F5848"/>
    <w:rsid w:val="5846451F"/>
    <w:rsid w:val="584A5A23"/>
    <w:rsid w:val="584B18B4"/>
    <w:rsid w:val="584B52A2"/>
    <w:rsid w:val="58526178"/>
    <w:rsid w:val="58560C64"/>
    <w:rsid w:val="5858695C"/>
    <w:rsid w:val="5860194B"/>
    <w:rsid w:val="58622D30"/>
    <w:rsid w:val="586379EF"/>
    <w:rsid w:val="58656819"/>
    <w:rsid w:val="586D38E6"/>
    <w:rsid w:val="587119D8"/>
    <w:rsid w:val="58846E92"/>
    <w:rsid w:val="58863668"/>
    <w:rsid w:val="58867299"/>
    <w:rsid w:val="5888170E"/>
    <w:rsid w:val="588D40A6"/>
    <w:rsid w:val="58966D50"/>
    <w:rsid w:val="58AC4D57"/>
    <w:rsid w:val="58B31125"/>
    <w:rsid w:val="58B43BB9"/>
    <w:rsid w:val="58BD28F7"/>
    <w:rsid w:val="58BF6F8A"/>
    <w:rsid w:val="58C4100E"/>
    <w:rsid w:val="58C73A07"/>
    <w:rsid w:val="58C85B51"/>
    <w:rsid w:val="58C9049F"/>
    <w:rsid w:val="58C91045"/>
    <w:rsid w:val="58CB12C2"/>
    <w:rsid w:val="58D11054"/>
    <w:rsid w:val="58DE24E6"/>
    <w:rsid w:val="58E05392"/>
    <w:rsid w:val="58E22AF0"/>
    <w:rsid w:val="58E55E24"/>
    <w:rsid w:val="58F421B0"/>
    <w:rsid w:val="58F4738C"/>
    <w:rsid w:val="58F62B4A"/>
    <w:rsid w:val="58FE6079"/>
    <w:rsid w:val="5912327A"/>
    <w:rsid w:val="591307E9"/>
    <w:rsid w:val="59154029"/>
    <w:rsid w:val="5917606C"/>
    <w:rsid w:val="591D4F68"/>
    <w:rsid w:val="5928575F"/>
    <w:rsid w:val="59354F9D"/>
    <w:rsid w:val="59447455"/>
    <w:rsid w:val="59485631"/>
    <w:rsid w:val="5948623B"/>
    <w:rsid w:val="594B5F00"/>
    <w:rsid w:val="594D2B4B"/>
    <w:rsid w:val="59500F20"/>
    <w:rsid w:val="595613E4"/>
    <w:rsid w:val="59641238"/>
    <w:rsid w:val="596915B6"/>
    <w:rsid w:val="596F1D0F"/>
    <w:rsid w:val="596F6EA2"/>
    <w:rsid w:val="59725151"/>
    <w:rsid w:val="597F00D0"/>
    <w:rsid w:val="598140A6"/>
    <w:rsid w:val="598246D9"/>
    <w:rsid w:val="59860E68"/>
    <w:rsid w:val="598678E1"/>
    <w:rsid w:val="5999775C"/>
    <w:rsid w:val="59A06C22"/>
    <w:rsid w:val="59A85888"/>
    <w:rsid w:val="59AD5B75"/>
    <w:rsid w:val="59AF245A"/>
    <w:rsid w:val="59B103E9"/>
    <w:rsid w:val="59B154EF"/>
    <w:rsid w:val="59B341F9"/>
    <w:rsid w:val="59B6006C"/>
    <w:rsid w:val="59B83276"/>
    <w:rsid w:val="59BC4DA3"/>
    <w:rsid w:val="59C90861"/>
    <w:rsid w:val="59D32A4B"/>
    <w:rsid w:val="59D663D3"/>
    <w:rsid w:val="59E22462"/>
    <w:rsid w:val="59EE0D48"/>
    <w:rsid w:val="59F009FC"/>
    <w:rsid w:val="59F41BAD"/>
    <w:rsid w:val="59FD3B0C"/>
    <w:rsid w:val="5A010BAC"/>
    <w:rsid w:val="5A02025E"/>
    <w:rsid w:val="5A052B0F"/>
    <w:rsid w:val="5A0A4376"/>
    <w:rsid w:val="5A17551B"/>
    <w:rsid w:val="5A18176B"/>
    <w:rsid w:val="5A196C3A"/>
    <w:rsid w:val="5A1A3FE5"/>
    <w:rsid w:val="5A1B75F4"/>
    <w:rsid w:val="5A27509D"/>
    <w:rsid w:val="5A281731"/>
    <w:rsid w:val="5A2C6F4F"/>
    <w:rsid w:val="5A33506A"/>
    <w:rsid w:val="5A3411BF"/>
    <w:rsid w:val="5A350F42"/>
    <w:rsid w:val="5A447649"/>
    <w:rsid w:val="5A483794"/>
    <w:rsid w:val="5A4E3DB2"/>
    <w:rsid w:val="5A5A5D18"/>
    <w:rsid w:val="5A5D1F26"/>
    <w:rsid w:val="5A5D4D4F"/>
    <w:rsid w:val="5A6130E8"/>
    <w:rsid w:val="5A6541FD"/>
    <w:rsid w:val="5A6547A3"/>
    <w:rsid w:val="5A73747C"/>
    <w:rsid w:val="5A784ABF"/>
    <w:rsid w:val="5A786ABC"/>
    <w:rsid w:val="5A7A1AD8"/>
    <w:rsid w:val="5A7A341E"/>
    <w:rsid w:val="5A7F6B37"/>
    <w:rsid w:val="5A823E2E"/>
    <w:rsid w:val="5A844F42"/>
    <w:rsid w:val="5A8F7A1D"/>
    <w:rsid w:val="5A93584F"/>
    <w:rsid w:val="5A963D92"/>
    <w:rsid w:val="5A9A71AE"/>
    <w:rsid w:val="5A9B2E21"/>
    <w:rsid w:val="5A9C5F6A"/>
    <w:rsid w:val="5AA15776"/>
    <w:rsid w:val="5AA41B7C"/>
    <w:rsid w:val="5AA75648"/>
    <w:rsid w:val="5AAA1DFA"/>
    <w:rsid w:val="5AB319D3"/>
    <w:rsid w:val="5AE3587C"/>
    <w:rsid w:val="5AE46875"/>
    <w:rsid w:val="5AF87D2A"/>
    <w:rsid w:val="5AFE1EE4"/>
    <w:rsid w:val="5AFE3A6A"/>
    <w:rsid w:val="5B0A4B14"/>
    <w:rsid w:val="5B0D1AC5"/>
    <w:rsid w:val="5B0E533D"/>
    <w:rsid w:val="5B1325F0"/>
    <w:rsid w:val="5B1474D3"/>
    <w:rsid w:val="5B172E21"/>
    <w:rsid w:val="5B1C76EE"/>
    <w:rsid w:val="5B2D7FCA"/>
    <w:rsid w:val="5B31244E"/>
    <w:rsid w:val="5B396751"/>
    <w:rsid w:val="5B3B613A"/>
    <w:rsid w:val="5B3E09BA"/>
    <w:rsid w:val="5B432391"/>
    <w:rsid w:val="5B4355CC"/>
    <w:rsid w:val="5B5100D8"/>
    <w:rsid w:val="5B5C077C"/>
    <w:rsid w:val="5B6707C9"/>
    <w:rsid w:val="5B6B0B41"/>
    <w:rsid w:val="5B740FB5"/>
    <w:rsid w:val="5B7863A9"/>
    <w:rsid w:val="5B8918DE"/>
    <w:rsid w:val="5B8A542D"/>
    <w:rsid w:val="5B990415"/>
    <w:rsid w:val="5BBC2AA8"/>
    <w:rsid w:val="5BBE26DB"/>
    <w:rsid w:val="5BC23D02"/>
    <w:rsid w:val="5BC32CC0"/>
    <w:rsid w:val="5BC35EA3"/>
    <w:rsid w:val="5BC85B9D"/>
    <w:rsid w:val="5BCE1391"/>
    <w:rsid w:val="5BD501A7"/>
    <w:rsid w:val="5BE7263B"/>
    <w:rsid w:val="5BE75F7E"/>
    <w:rsid w:val="5BEB03CE"/>
    <w:rsid w:val="5BF17C07"/>
    <w:rsid w:val="5BF41E74"/>
    <w:rsid w:val="5BF4310E"/>
    <w:rsid w:val="5BF52194"/>
    <w:rsid w:val="5BFD6A3B"/>
    <w:rsid w:val="5C0C2F01"/>
    <w:rsid w:val="5C137293"/>
    <w:rsid w:val="5C3D3B22"/>
    <w:rsid w:val="5C465B9B"/>
    <w:rsid w:val="5C49380A"/>
    <w:rsid w:val="5C4C4925"/>
    <w:rsid w:val="5C4D2F94"/>
    <w:rsid w:val="5C580926"/>
    <w:rsid w:val="5C645F2C"/>
    <w:rsid w:val="5C6717DB"/>
    <w:rsid w:val="5C695C61"/>
    <w:rsid w:val="5C6E6DDA"/>
    <w:rsid w:val="5C702CBC"/>
    <w:rsid w:val="5C7C6F80"/>
    <w:rsid w:val="5C8E0952"/>
    <w:rsid w:val="5C9111C0"/>
    <w:rsid w:val="5C955CAC"/>
    <w:rsid w:val="5C990294"/>
    <w:rsid w:val="5CA174E1"/>
    <w:rsid w:val="5CA5402D"/>
    <w:rsid w:val="5CAD5632"/>
    <w:rsid w:val="5CB160AD"/>
    <w:rsid w:val="5CBB3EBE"/>
    <w:rsid w:val="5CC20876"/>
    <w:rsid w:val="5CC249E6"/>
    <w:rsid w:val="5CC94199"/>
    <w:rsid w:val="5CC96CEA"/>
    <w:rsid w:val="5CCC7DB2"/>
    <w:rsid w:val="5CD23897"/>
    <w:rsid w:val="5CD52965"/>
    <w:rsid w:val="5CD52A0F"/>
    <w:rsid w:val="5CDF4634"/>
    <w:rsid w:val="5CE0516A"/>
    <w:rsid w:val="5CF641A9"/>
    <w:rsid w:val="5CF80A79"/>
    <w:rsid w:val="5CFC0CF6"/>
    <w:rsid w:val="5CFC266D"/>
    <w:rsid w:val="5D0E4B7E"/>
    <w:rsid w:val="5D113773"/>
    <w:rsid w:val="5D1165A1"/>
    <w:rsid w:val="5D1872CC"/>
    <w:rsid w:val="5D1906A7"/>
    <w:rsid w:val="5D1E7B25"/>
    <w:rsid w:val="5D2128FE"/>
    <w:rsid w:val="5D2B7728"/>
    <w:rsid w:val="5D2D1FFE"/>
    <w:rsid w:val="5D351D6F"/>
    <w:rsid w:val="5D3B3EAD"/>
    <w:rsid w:val="5D417B9B"/>
    <w:rsid w:val="5D4A6D72"/>
    <w:rsid w:val="5D554CDE"/>
    <w:rsid w:val="5D5719FB"/>
    <w:rsid w:val="5D6A348E"/>
    <w:rsid w:val="5D72314E"/>
    <w:rsid w:val="5D8655E1"/>
    <w:rsid w:val="5D87635A"/>
    <w:rsid w:val="5D8A016B"/>
    <w:rsid w:val="5D8A4F57"/>
    <w:rsid w:val="5D94359D"/>
    <w:rsid w:val="5D9A1B41"/>
    <w:rsid w:val="5DA60F2E"/>
    <w:rsid w:val="5DAC3DCD"/>
    <w:rsid w:val="5DB50A35"/>
    <w:rsid w:val="5DB96A51"/>
    <w:rsid w:val="5DC135ED"/>
    <w:rsid w:val="5DD400EC"/>
    <w:rsid w:val="5DDA15FC"/>
    <w:rsid w:val="5DDB648A"/>
    <w:rsid w:val="5DE90932"/>
    <w:rsid w:val="5DF01CEA"/>
    <w:rsid w:val="5DF42758"/>
    <w:rsid w:val="5DF96357"/>
    <w:rsid w:val="5DFE1641"/>
    <w:rsid w:val="5E116BA5"/>
    <w:rsid w:val="5E172EAC"/>
    <w:rsid w:val="5E184354"/>
    <w:rsid w:val="5E2142A9"/>
    <w:rsid w:val="5E2670BD"/>
    <w:rsid w:val="5E280E52"/>
    <w:rsid w:val="5E350EBE"/>
    <w:rsid w:val="5E370582"/>
    <w:rsid w:val="5E3A0814"/>
    <w:rsid w:val="5E3B0532"/>
    <w:rsid w:val="5E3C47F5"/>
    <w:rsid w:val="5E426D39"/>
    <w:rsid w:val="5E444268"/>
    <w:rsid w:val="5E4E2914"/>
    <w:rsid w:val="5E506658"/>
    <w:rsid w:val="5E551BAC"/>
    <w:rsid w:val="5E6145BD"/>
    <w:rsid w:val="5E666973"/>
    <w:rsid w:val="5E7623C1"/>
    <w:rsid w:val="5E7E5E18"/>
    <w:rsid w:val="5E85034B"/>
    <w:rsid w:val="5E886B60"/>
    <w:rsid w:val="5E890733"/>
    <w:rsid w:val="5E8B30B5"/>
    <w:rsid w:val="5E8D71A4"/>
    <w:rsid w:val="5E8E0FE5"/>
    <w:rsid w:val="5E9B7BB3"/>
    <w:rsid w:val="5EA90E0E"/>
    <w:rsid w:val="5EAA6AB9"/>
    <w:rsid w:val="5EAB60F6"/>
    <w:rsid w:val="5EB17EA8"/>
    <w:rsid w:val="5EB45CB2"/>
    <w:rsid w:val="5EC57D0B"/>
    <w:rsid w:val="5EED7A7C"/>
    <w:rsid w:val="5F071ACC"/>
    <w:rsid w:val="5F082A29"/>
    <w:rsid w:val="5F0F36D9"/>
    <w:rsid w:val="5F127C4E"/>
    <w:rsid w:val="5F181808"/>
    <w:rsid w:val="5F213CE7"/>
    <w:rsid w:val="5F28570A"/>
    <w:rsid w:val="5F296076"/>
    <w:rsid w:val="5F2F65D0"/>
    <w:rsid w:val="5F302FAE"/>
    <w:rsid w:val="5F304FE3"/>
    <w:rsid w:val="5F3A218A"/>
    <w:rsid w:val="5F415A76"/>
    <w:rsid w:val="5F4400A2"/>
    <w:rsid w:val="5F461712"/>
    <w:rsid w:val="5F4D7C68"/>
    <w:rsid w:val="5F573159"/>
    <w:rsid w:val="5F5D1782"/>
    <w:rsid w:val="5F605B48"/>
    <w:rsid w:val="5F623F07"/>
    <w:rsid w:val="5F672A4A"/>
    <w:rsid w:val="5F710C7A"/>
    <w:rsid w:val="5F733E17"/>
    <w:rsid w:val="5F793833"/>
    <w:rsid w:val="5F7F638B"/>
    <w:rsid w:val="5F8B1C40"/>
    <w:rsid w:val="5F9575C6"/>
    <w:rsid w:val="5F9E3844"/>
    <w:rsid w:val="5FB07339"/>
    <w:rsid w:val="5FB34247"/>
    <w:rsid w:val="5FC150C9"/>
    <w:rsid w:val="5FC30830"/>
    <w:rsid w:val="5FC862D2"/>
    <w:rsid w:val="5FD47BA3"/>
    <w:rsid w:val="5FE6563C"/>
    <w:rsid w:val="5FE73C59"/>
    <w:rsid w:val="5FE81719"/>
    <w:rsid w:val="5FEB3BD6"/>
    <w:rsid w:val="5FEE4999"/>
    <w:rsid w:val="5FF37571"/>
    <w:rsid w:val="5FFB2B8F"/>
    <w:rsid w:val="5FFD6304"/>
    <w:rsid w:val="5FFF0B55"/>
    <w:rsid w:val="60063DFF"/>
    <w:rsid w:val="600A1B47"/>
    <w:rsid w:val="601232F4"/>
    <w:rsid w:val="60236723"/>
    <w:rsid w:val="60415279"/>
    <w:rsid w:val="604C3503"/>
    <w:rsid w:val="60663A70"/>
    <w:rsid w:val="6066574E"/>
    <w:rsid w:val="60701200"/>
    <w:rsid w:val="607D04D6"/>
    <w:rsid w:val="607E4295"/>
    <w:rsid w:val="60816108"/>
    <w:rsid w:val="60864F85"/>
    <w:rsid w:val="609F324B"/>
    <w:rsid w:val="60A00017"/>
    <w:rsid w:val="60A03E23"/>
    <w:rsid w:val="60A32699"/>
    <w:rsid w:val="60A86A90"/>
    <w:rsid w:val="60A94011"/>
    <w:rsid w:val="60BD23F1"/>
    <w:rsid w:val="60BD6529"/>
    <w:rsid w:val="60BF6F04"/>
    <w:rsid w:val="60CC3577"/>
    <w:rsid w:val="60D11531"/>
    <w:rsid w:val="60D33E3C"/>
    <w:rsid w:val="60D63C76"/>
    <w:rsid w:val="60E601DF"/>
    <w:rsid w:val="60E70F83"/>
    <w:rsid w:val="60E778A1"/>
    <w:rsid w:val="60EE05DE"/>
    <w:rsid w:val="60F041BA"/>
    <w:rsid w:val="60F138F2"/>
    <w:rsid w:val="60F34EEC"/>
    <w:rsid w:val="60F42C05"/>
    <w:rsid w:val="60F62397"/>
    <w:rsid w:val="60FD3BFB"/>
    <w:rsid w:val="61030094"/>
    <w:rsid w:val="610367E0"/>
    <w:rsid w:val="610A4609"/>
    <w:rsid w:val="610B46C5"/>
    <w:rsid w:val="610C575E"/>
    <w:rsid w:val="611563E1"/>
    <w:rsid w:val="611B2D32"/>
    <w:rsid w:val="61256438"/>
    <w:rsid w:val="6130771F"/>
    <w:rsid w:val="613531E9"/>
    <w:rsid w:val="61407309"/>
    <w:rsid w:val="61415830"/>
    <w:rsid w:val="6141796E"/>
    <w:rsid w:val="61443020"/>
    <w:rsid w:val="61466637"/>
    <w:rsid w:val="614A556E"/>
    <w:rsid w:val="61515D4D"/>
    <w:rsid w:val="61524664"/>
    <w:rsid w:val="615F37BC"/>
    <w:rsid w:val="61624DFB"/>
    <w:rsid w:val="61683C83"/>
    <w:rsid w:val="616A18E7"/>
    <w:rsid w:val="61754DFA"/>
    <w:rsid w:val="6179622B"/>
    <w:rsid w:val="617D693A"/>
    <w:rsid w:val="61845DD0"/>
    <w:rsid w:val="618652C3"/>
    <w:rsid w:val="61881DE7"/>
    <w:rsid w:val="618C0BAB"/>
    <w:rsid w:val="61950155"/>
    <w:rsid w:val="61A0687C"/>
    <w:rsid w:val="61A1288D"/>
    <w:rsid w:val="61A13EED"/>
    <w:rsid w:val="61A44C5A"/>
    <w:rsid w:val="61A500D6"/>
    <w:rsid w:val="61A83417"/>
    <w:rsid w:val="61AC4431"/>
    <w:rsid w:val="61B05A5B"/>
    <w:rsid w:val="61B22F38"/>
    <w:rsid w:val="61C17FB6"/>
    <w:rsid w:val="61CD59DA"/>
    <w:rsid w:val="61E36B34"/>
    <w:rsid w:val="61E40B82"/>
    <w:rsid w:val="61E82C9C"/>
    <w:rsid w:val="61EA01E1"/>
    <w:rsid w:val="61EB4E3B"/>
    <w:rsid w:val="61F356A4"/>
    <w:rsid w:val="61F44E34"/>
    <w:rsid w:val="61F701A8"/>
    <w:rsid w:val="61FD35EE"/>
    <w:rsid w:val="6203232F"/>
    <w:rsid w:val="621201CD"/>
    <w:rsid w:val="621A6570"/>
    <w:rsid w:val="621F4279"/>
    <w:rsid w:val="6235022E"/>
    <w:rsid w:val="62373300"/>
    <w:rsid w:val="623842BA"/>
    <w:rsid w:val="62393803"/>
    <w:rsid w:val="623F543D"/>
    <w:rsid w:val="62516CFA"/>
    <w:rsid w:val="62542A19"/>
    <w:rsid w:val="62624BFB"/>
    <w:rsid w:val="62660929"/>
    <w:rsid w:val="626E32BA"/>
    <w:rsid w:val="626F00F4"/>
    <w:rsid w:val="627B45CD"/>
    <w:rsid w:val="6282046B"/>
    <w:rsid w:val="628539DD"/>
    <w:rsid w:val="6289239B"/>
    <w:rsid w:val="6291542D"/>
    <w:rsid w:val="62960764"/>
    <w:rsid w:val="62971645"/>
    <w:rsid w:val="629D3C20"/>
    <w:rsid w:val="629F72A5"/>
    <w:rsid w:val="62A0014E"/>
    <w:rsid w:val="62A45CF6"/>
    <w:rsid w:val="62B63B28"/>
    <w:rsid w:val="62B75BF3"/>
    <w:rsid w:val="62B86118"/>
    <w:rsid w:val="62BB2736"/>
    <w:rsid w:val="62C014B3"/>
    <w:rsid w:val="62C62ECA"/>
    <w:rsid w:val="62C81513"/>
    <w:rsid w:val="62C8554D"/>
    <w:rsid w:val="62D0345F"/>
    <w:rsid w:val="62E4057A"/>
    <w:rsid w:val="62FC6FD5"/>
    <w:rsid w:val="630F41A3"/>
    <w:rsid w:val="63170721"/>
    <w:rsid w:val="63195368"/>
    <w:rsid w:val="631E4683"/>
    <w:rsid w:val="632A5294"/>
    <w:rsid w:val="6332364B"/>
    <w:rsid w:val="63331639"/>
    <w:rsid w:val="6344206D"/>
    <w:rsid w:val="63443608"/>
    <w:rsid w:val="634F1331"/>
    <w:rsid w:val="635057AE"/>
    <w:rsid w:val="635A071D"/>
    <w:rsid w:val="635B39F8"/>
    <w:rsid w:val="635C4EA9"/>
    <w:rsid w:val="63667CA7"/>
    <w:rsid w:val="63701AE4"/>
    <w:rsid w:val="63791255"/>
    <w:rsid w:val="637950D4"/>
    <w:rsid w:val="63891F0D"/>
    <w:rsid w:val="638F2201"/>
    <w:rsid w:val="639240A4"/>
    <w:rsid w:val="63991E44"/>
    <w:rsid w:val="639C3A9E"/>
    <w:rsid w:val="639F56A1"/>
    <w:rsid w:val="63B6494B"/>
    <w:rsid w:val="63B71735"/>
    <w:rsid w:val="63B86A47"/>
    <w:rsid w:val="63BA737C"/>
    <w:rsid w:val="63C55F12"/>
    <w:rsid w:val="63D71394"/>
    <w:rsid w:val="63DA08AB"/>
    <w:rsid w:val="63E308FF"/>
    <w:rsid w:val="63E46D37"/>
    <w:rsid w:val="63E547EE"/>
    <w:rsid w:val="63ED00C3"/>
    <w:rsid w:val="63EF367B"/>
    <w:rsid w:val="63F4587F"/>
    <w:rsid w:val="6408099E"/>
    <w:rsid w:val="64094CA5"/>
    <w:rsid w:val="64237518"/>
    <w:rsid w:val="64254E67"/>
    <w:rsid w:val="64262CB3"/>
    <w:rsid w:val="642B31BE"/>
    <w:rsid w:val="642B473A"/>
    <w:rsid w:val="643C07CB"/>
    <w:rsid w:val="644177C8"/>
    <w:rsid w:val="64436184"/>
    <w:rsid w:val="644775D1"/>
    <w:rsid w:val="64572B69"/>
    <w:rsid w:val="6457491D"/>
    <w:rsid w:val="64597A63"/>
    <w:rsid w:val="645A1458"/>
    <w:rsid w:val="645D27DD"/>
    <w:rsid w:val="645F3F73"/>
    <w:rsid w:val="64675A2E"/>
    <w:rsid w:val="646B3D54"/>
    <w:rsid w:val="64711567"/>
    <w:rsid w:val="647429CB"/>
    <w:rsid w:val="64743AE6"/>
    <w:rsid w:val="647C1B08"/>
    <w:rsid w:val="648265D6"/>
    <w:rsid w:val="64874278"/>
    <w:rsid w:val="648F2C02"/>
    <w:rsid w:val="64940B19"/>
    <w:rsid w:val="649D7EEB"/>
    <w:rsid w:val="649E1558"/>
    <w:rsid w:val="64A578DB"/>
    <w:rsid w:val="64AA4BB2"/>
    <w:rsid w:val="64C03E93"/>
    <w:rsid w:val="64C80CCD"/>
    <w:rsid w:val="64CB5C3A"/>
    <w:rsid w:val="64D44EF1"/>
    <w:rsid w:val="64DD3E19"/>
    <w:rsid w:val="64E0389C"/>
    <w:rsid w:val="64EC7A70"/>
    <w:rsid w:val="64EF70CD"/>
    <w:rsid w:val="64F330FF"/>
    <w:rsid w:val="64F61375"/>
    <w:rsid w:val="64F72CEF"/>
    <w:rsid w:val="64F73F05"/>
    <w:rsid w:val="650602BF"/>
    <w:rsid w:val="650B43EB"/>
    <w:rsid w:val="65154FE2"/>
    <w:rsid w:val="6518564C"/>
    <w:rsid w:val="651E602E"/>
    <w:rsid w:val="651F5B5A"/>
    <w:rsid w:val="652D6AE0"/>
    <w:rsid w:val="653801C7"/>
    <w:rsid w:val="653A3B59"/>
    <w:rsid w:val="65413D42"/>
    <w:rsid w:val="65417BCD"/>
    <w:rsid w:val="65417DE0"/>
    <w:rsid w:val="654A7B31"/>
    <w:rsid w:val="654B5CE5"/>
    <w:rsid w:val="654D0CA7"/>
    <w:rsid w:val="654D34AB"/>
    <w:rsid w:val="65501C23"/>
    <w:rsid w:val="65561782"/>
    <w:rsid w:val="655D69EF"/>
    <w:rsid w:val="656053F1"/>
    <w:rsid w:val="6560737E"/>
    <w:rsid w:val="6562731A"/>
    <w:rsid w:val="656923D1"/>
    <w:rsid w:val="656E7312"/>
    <w:rsid w:val="658767EB"/>
    <w:rsid w:val="659A1BE7"/>
    <w:rsid w:val="659B0B40"/>
    <w:rsid w:val="659C0A99"/>
    <w:rsid w:val="659F1519"/>
    <w:rsid w:val="65A01A09"/>
    <w:rsid w:val="65B240BA"/>
    <w:rsid w:val="65B43820"/>
    <w:rsid w:val="65B54971"/>
    <w:rsid w:val="65C25325"/>
    <w:rsid w:val="65C33ED9"/>
    <w:rsid w:val="65C40364"/>
    <w:rsid w:val="65C6095E"/>
    <w:rsid w:val="65C92188"/>
    <w:rsid w:val="65CC1790"/>
    <w:rsid w:val="65D17F3E"/>
    <w:rsid w:val="65DA081F"/>
    <w:rsid w:val="65ED7E93"/>
    <w:rsid w:val="65EF1E6A"/>
    <w:rsid w:val="65F11122"/>
    <w:rsid w:val="65F32A4D"/>
    <w:rsid w:val="65FA338D"/>
    <w:rsid w:val="65FF4E84"/>
    <w:rsid w:val="66120500"/>
    <w:rsid w:val="661E247E"/>
    <w:rsid w:val="66355CAD"/>
    <w:rsid w:val="663921C2"/>
    <w:rsid w:val="663B4259"/>
    <w:rsid w:val="66453975"/>
    <w:rsid w:val="66546144"/>
    <w:rsid w:val="665B5BF0"/>
    <w:rsid w:val="666F14A7"/>
    <w:rsid w:val="66842DB8"/>
    <w:rsid w:val="66872BD2"/>
    <w:rsid w:val="668E389F"/>
    <w:rsid w:val="66995564"/>
    <w:rsid w:val="66A002B9"/>
    <w:rsid w:val="66A70FDF"/>
    <w:rsid w:val="66A86609"/>
    <w:rsid w:val="66B15E4C"/>
    <w:rsid w:val="66BD2317"/>
    <w:rsid w:val="66BE21A5"/>
    <w:rsid w:val="66C8211F"/>
    <w:rsid w:val="66CD1ED3"/>
    <w:rsid w:val="66DA0919"/>
    <w:rsid w:val="66DA356A"/>
    <w:rsid w:val="66DF402C"/>
    <w:rsid w:val="66EE7E3A"/>
    <w:rsid w:val="66F12BB1"/>
    <w:rsid w:val="66F43BE4"/>
    <w:rsid w:val="66FD6343"/>
    <w:rsid w:val="6707763D"/>
    <w:rsid w:val="673C5419"/>
    <w:rsid w:val="673C624E"/>
    <w:rsid w:val="67434EBF"/>
    <w:rsid w:val="6744475B"/>
    <w:rsid w:val="674A53A1"/>
    <w:rsid w:val="674E0EF4"/>
    <w:rsid w:val="675317B0"/>
    <w:rsid w:val="676207A9"/>
    <w:rsid w:val="67795B4B"/>
    <w:rsid w:val="677D78BE"/>
    <w:rsid w:val="67800F19"/>
    <w:rsid w:val="678365F6"/>
    <w:rsid w:val="67856B76"/>
    <w:rsid w:val="67874CB6"/>
    <w:rsid w:val="678E55BA"/>
    <w:rsid w:val="679F2489"/>
    <w:rsid w:val="67A32A0D"/>
    <w:rsid w:val="67A36C57"/>
    <w:rsid w:val="67AB66D1"/>
    <w:rsid w:val="67AC76F2"/>
    <w:rsid w:val="67B07D43"/>
    <w:rsid w:val="67B4432C"/>
    <w:rsid w:val="67B53801"/>
    <w:rsid w:val="67B57EF5"/>
    <w:rsid w:val="67B867FC"/>
    <w:rsid w:val="67BB471E"/>
    <w:rsid w:val="67BB7ECB"/>
    <w:rsid w:val="67CD11CA"/>
    <w:rsid w:val="67D82ECB"/>
    <w:rsid w:val="67E12E09"/>
    <w:rsid w:val="67EE17FB"/>
    <w:rsid w:val="67EF159D"/>
    <w:rsid w:val="67F453FE"/>
    <w:rsid w:val="67F51A16"/>
    <w:rsid w:val="67F9658A"/>
    <w:rsid w:val="67FE7386"/>
    <w:rsid w:val="680E437C"/>
    <w:rsid w:val="68154B7F"/>
    <w:rsid w:val="681B63E7"/>
    <w:rsid w:val="683A615D"/>
    <w:rsid w:val="683F6487"/>
    <w:rsid w:val="68527392"/>
    <w:rsid w:val="6859460A"/>
    <w:rsid w:val="68731F99"/>
    <w:rsid w:val="68752CF0"/>
    <w:rsid w:val="68770BAF"/>
    <w:rsid w:val="687B7CBA"/>
    <w:rsid w:val="68805629"/>
    <w:rsid w:val="68963AE2"/>
    <w:rsid w:val="689A36DE"/>
    <w:rsid w:val="689D7972"/>
    <w:rsid w:val="689F6FA0"/>
    <w:rsid w:val="68A67C66"/>
    <w:rsid w:val="68AF230C"/>
    <w:rsid w:val="68BA103A"/>
    <w:rsid w:val="68BE1E2D"/>
    <w:rsid w:val="68C149FF"/>
    <w:rsid w:val="68CD2BE2"/>
    <w:rsid w:val="68D52BCB"/>
    <w:rsid w:val="68D554B2"/>
    <w:rsid w:val="68DA3E99"/>
    <w:rsid w:val="68DD4062"/>
    <w:rsid w:val="68E1051C"/>
    <w:rsid w:val="68E730F7"/>
    <w:rsid w:val="68F22EBC"/>
    <w:rsid w:val="68F33E74"/>
    <w:rsid w:val="69023694"/>
    <w:rsid w:val="69025A67"/>
    <w:rsid w:val="69100FD1"/>
    <w:rsid w:val="69190524"/>
    <w:rsid w:val="691D51D1"/>
    <w:rsid w:val="691E5E18"/>
    <w:rsid w:val="69456A22"/>
    <w:rsid w:val="694F730E"/>
    <w:rsid w:val="695317F6"/>
    <w:rsid w:val="69555973"/>
    <w:rsid w:val="695B1E42"/>
    <w:rsid w:val="695B5D6F"/>
    <w:rsid w:val="69690B96"/>
    <w:rsid w:val="69692C29"/>
    <w:rsid w:val="69760E9A"/>
    <w:rsid w:val="69794131"/>
    <w:rsid w:val="69841735"/>
    <w:rsid w:val="698534E2"/>
    <w:rsid w:val="69853FB1"/>
    <w:rsid w:val="69877FE8"/>
    <w:rsid w:val="698C6987"/>
    <w:rsid w:val="69934604"/>
    <w:rsid w:val="69935006"/>
    <w:rsid w:val="69986B9C"/>
    <w:rsid w:val="69995885"/>
    <w:rsid w:val="69AC6BFD"/>
    <w:rsid w:val="69AC7C29"/>
    <w:rsid w:val="69B3027D"/>
    <w:rsid w:val="69B652B1"/>
    <w:rsid w:val="69CF25FD"/>
    <w:rsid w:val="69DD501C"/>
    <w:rsid w:val="69DF2770"/>
    <w:rsid w:val="69EA233D"/>
    <w:rsid w:val="6A043293"/>
    <w:rsid w:val="6A0C3536"/>
    <w:rsid w:val="6A0D365F"/>
    <w:rsid w:val="6A1205F4"/>
    <w:rsid w:val="6A172783"/>
    <w:rsid w:val="6A2342F6"/>
    <w:rsid w:val="6A2D53DE"/>
    <w:rsid w:val="6A3B1264"/>
    <w:rsid w:val="6A405BCA"/>
    <w:rsid w:val="6A420324"/>
    <w:rsid w:val="6A466A71"/>
    <w:rsid w:val="6A5635C7"/>
    <w:rsid w:val="6A5D49F4"/>
    <w:rsid w:val="6A606DB8"/>
    <w:rsid w:val="6A62360C"/>
    <w:rsid w:val="6A6322B0"/>
    <w:rsid w:val="6A675D63"/>
    <w:rsid w:val="6A6952FA"/>
    <w:rsid w:val="6A733117"/>
    <w:rsid w:val="6A755EE0"/>
    <w:rsid w:val="6A771A6B"/>
    <w:rsid w:val="6A8059D8"/>
    <w:rsid w:val="6A84017F"/>
    <w:rsid w:val="6A8527D2"/>
    <w:rsid w:val="6A8B556D"/>
    <w:rsid w:val="6A8C5C3E"/>
    <w:rsid w:val="6A953E6E"/>
    <w:rsid w:val="6A964CB5"/>
    <w:rsid w:val="6A993F7F"/>
    <w:rsid w:val="6A9E3E91"/>
    <w:rsid w:val="6AA51B7A"/>
    <w:rsid w:val="6AAB4411"/>
    <w:rsid w:val="6AB416C6"/>
    <w:rsid w:val="6ABD5B11"/>
    <w:rsid w:val="6AC04920"/>
    <w:rsid w:val="6ACD2100"/>
    <w:rsid w:val="6ACD356F"/>
    <w:rsid w:val="6AD0724A"/>
    <w:rsid w:val="6AD553E0"/>
    <w:rsid w:val="6AF10616"/>
    <w:rsid w:val="6AF113CF"/>
    <w:rsid w:val="6AF21921"/>
    <w:rsid w:val="6AF3594C"/>
    <w:rsid w:val="6AFA5E41"/>
    <w:rsid w:val="6AFD4BEC"/>
    <w:rsid w:val="6B08548B"/>
    <w:rsid w:val="6B09086D"/>
    <w:rsid w:val="6B0C4FAB"/>
    <w:rsid w:val="6B0D49C2"/>
    <w:rsid w:val="6B145CAA"/>
    <w:rsid w:val="6B193204"/>
    <w:rsid w:val="6B266127"/>
    <w:rsid w:val="6B2C135C"/>
    <w:rsid w:val="6B391ECD"/>
    <w:rsid w:val="6B4052B9"/>
    <w:rsid w:val="6B4A13AC"/>
    <w:rsid w:val="6B4D7DBF"/>
    <w:rsid w:val="6B5037A8"/>
    <w:rsid w:val="6B512DDD"/>
    <w:rsid w:val="6B573E92"/>
    <w:rsid w:val="6B5B2130"/>
    <w:rsid w:val="6B6C3D4F"/>
    <w:rsid w:val="6B79206E"/>
    <w:rsid w:val="6B8B6CE1"/>
    <w:rsid w:val="6B8C3C7C"/>
    <w:rsid w:val="6B8D0120"/>
    <w:rsid w:val="6B8E5F5A"/>
    <w:rsid w:val="6B9C3120"/>
    <w:rsid w:val="6BAA5378"/>
    <w:rsid w:val="6BAB5E14"/>
    <w:rsid w:val="6BAD25B2"/>
    <w:rsid w:val="6BAD44A8"/>
    <w:rsid w:val="6BCA0EBD"/>
    <w:rsid w:val="6BD07595"/>
    <w:rsid w:val="6BD31D76"/>
    <w:rsid w:val="6BDB5B3E"/>
    <w:rsid w:val="6BDC158B"/>
    <w:rsid w:val="6BE31A21"/>
    <w:rsid w:val="6BED1497"/>
    <w:rsid w:val="6BED2B65"/>
    <w:rsid w:val="6BF211A4"/>
    <w:rsid w:val="6BF53844"/>
    <w:rsid w:val="6BF8193D"/>
    <w:rsid w:val="6BF86EE9"/>
    <w:rsid w:val="6C05299A"/>
    <w:rsid w:val="6C170C69"/>
    <w:rsid w:val="6C1E0875"/>
    <w:rsid w:val="6C27372D"/>
    <w:rsid w:val="6C282096"/>
    <w:rsid w:val="6C2F421E"/>
    <w:rsid w:val="6C453D7B"/>
    <w:rsid w:val="6C477E21"/>
    <w:rsid w:val="6C50750A"/>
    <w:rsid w:val="6C5451B4"/>
    <w:rsid w:val="6C573759"/>
    <w:rsid w:val="6C5D6B4E"/>
    <w:rsid w:val="6C6055E9"/>
    <w:rsid w:val="6C6076E3"/>
    <w:rsid w:val="6C646455"/>
    <w:rsid w:val="6C683BF9"/>
    <w:rsid w:val="6C6D69FF"/>
    <w:rsid w:val="6C711ADC"/>
    <w:rsid w:val="6C771E2B"/>
    <w:rsid w:val="6C780136"/>
    <w:rsid w:val="6C8E0FFA"/>
    <w:rsid w:val="6C9552B3"/>
    <w:rsid w:val="6C962F20"/>
    <w:rsid w:val="6C9E22BE"/>
    <w:rsid w:val="6CA00A3A"/>
    <w:rsid w:val="6CD65955"/>
    <w:rsid w:val="6CD71E36"/>
    <w:rsid w:val="6CDF5E4C"/>
    <w:rsid w:val="6CEC2BB0"/>
    <w:rsid w:val="6CEF67FA"/>
    <w:rsid w:val="6CF64EF0"/>
    <w:rsid w:val="6CF9204B"/>
    <w:rsid w:val="6D040C67"/>
    <w:rsid w:val="6D1141F1"/>
    <w:rsid w:val="6D1E109C"/>
    <w:rsid w:val="6D2047CC"/>
    <w:rsid w:val="6D204993"/>
    <w:rsid w:val="6D2710D8"/>
    <w:rsid w:val="6D31216F"/>
    <w:rsid w:val="6D366587"/>
    <w:rsid w:val="6D39762F"/>
    <w:rsid w:val="6D3F2E03"/>
    <w:rsid w:val="6D5865DB"/>
    <w:rsid w:val="6D5B6D7D"/>
    <w:rsid w:val="6D5F3CB3"/>
    <w:rsid w:val="6D654BCF"/>
    <w:rsid w:val="6D685E09"/>
    <w:rsid w:val="6D8A27EA"/>
    <w:rsid w:val="6D8B5D4C"/>
    <w:rsid w:val="6D962DC5"/>
    <w:rsid w:val="6D9813EC"/>
    <w:rsid w:val="6D9B53B6"/>
    <w:rsid w:val="6D9D6131"/>
    <w:rsid w:val="6DBF75AB"/>
    <w:rsid w:val="6DC17A5C"/>
    <w:rsid w:val="6DE1416E"/>
    <w:rsid w:val="6DE6678E"/>
    <w:rsid w:val="6DEE400E"/>
    <w:rsid w:val="6DF228B3"/>
    <w:rsid w:val="6DF23F84"/>
    <w:rsid w:val="6DF3415B"/>
    <w:rsid w:val="6DF737BF"/>
    <w:rsid w:val="6E005C35"/>
    <w:rsid w:val="6E007267"/>
    <w:rsid w:val="6E171B19"/>
    <w:rsid w:val="6E2223D4"/>
    <w:rsid w:val="6E241BB5"/>
    <w:rsid w:val="6E246FDD"/>
    <w:rsid w:val="6E2C6F33"/>
    <w:rsid w:val="6E3258C2"/>
    <w:rsid w:val="6E40122D"/>
    <w:rsid w:val="6E435E76"/>
    <w:rsid w:val="6E464B5F"/>
    <w:rsid w:val="6E4C0AB8"/>
    <w:rsid w:val="6E4C18B7"/>
    <w:rsid w:val="6E5E25FE"/>
    <w:rsid w:val="6E662785"/>
    <w:rsid w:val="6E685299"/>
    <w:rsid w:val="6E6A73E1"/>
    <w:rsid w:val="6E6B3653"/>
    <w:rsid w:val="6E6E0FFF"/>
    <w:rsid w:val="6E7E5D05"/>
    <w:rsid w:val="6E812A44"/>
    <w:rsid w:val="6E815762"/>
    <w:rsid w:val="6E8C67DE"/>
    <w:rsid w:val="6E9D5B01"/>
    <w:rsid w:val="6EA86FB9"/>
    <w:rsid w:val="6EC11446"/>
    <w:rsid w:val="6EC42838"/>
    <w:rsid w:val="6ED107C8"/>
    <w:rsid w:val="6ED168FF"/>
    <w:rsid w:val="6ED7162D"/>
    <w:rsid w:val="6EDB7784"/>
    <w:rsid w:val="6EDF4B1D"/>
    <w:rsid w:val="6EEC6C4F"/>
    <w:rsid w:val="6EF00254"/>
    <w:rsid w:val="6EF65FAD"/>
    <w:rsid w:val="6EFE2B52"/>
    <w:rsid w:val="6F037409"/>
    <w:rsid w:val="6F0729E5"/>
    <w:rsid w:val="6F0E0EF4"/>
    <w:rsid w:val="6F0F495C"/>
    <w:rsid w:val="6F1644B0"/>
    <w:rsid w:val="6F1E46C6"/>
    <w:rsid w:val="6F200E3F"/>
    <w:rsid w:val="6F202220"/>
    <w:rsid w:val="6F2B0C7A"/>
    <w:rsid w:val="6F341CBE"/>
    <w:rsid w:val="6F3933FC"/>
    <w:rsid w:val="6F4102CF"/>
    <w:rsid w:val="6F520EB6"/>
    <w:rsid w:val="6F722478"/>
    <w:rsid w:val="6F7B05C0"/>
    <w:rsid w:val="6F7E1C30"/>
    <w:rsid w:val="6F87660F"/>
    <w:rsid w:val="6F907558"/>
    <w:rsid w:val="6F9250D4"/>
    <w:rsid w:val="6F992C38"/>
    <w:rsid w:val="6F9D668D"/>
    <w:rsid w:val="6FA34967"/>
    <w:rsid w:val="6FA3519E"/>
    <w:rsid w:val="6FA72053"/>
    <w:rsid w:val="6FA91104"/>
    <w:rsid w:val="6FAB7060"/>
    <w:rsid w:val="6FAD0EC6"/>
    <w:rsid w:val="6FBB418E"/>
    <w:rsid w:val="6FCA0284"/>
    <w:rsid w:val="6FCC4D0E"/>
    <w:rsid w:val="6FDA1493"/>
    <w:rsid w:val="6FDC1316"/>
    <w:rsid w:val="6FE0744B"/>
    <w:rsid w:val="6FE77D71"/>
    <w:rsid w:val="700A279C"/>
    <w:rsid w:val="700A289A"/>
    <w:rsid w:val="70114A5F"/>
    <w:rsid w:val="70186C7B"/>
    <w:rsid w:val="702A4E22"/>
    <w:rsid w:val="702E338D"/>
    <w:rsid w:val="703B0E8A"/>
    <w:rsid w:val="703B7C50"/>
    <w:rsid w:val="70472125"/>
    <w:rsid w:val="7049749B"/>
    <w:rsid w:val="704B7905"/>
    <w:rsid w:val="70555E14"/>
    <w:rsid w:val="705B2D30"/>
    <w:rsid w:val="705F307E"/>
    <w:rsid w:val="705F333A"/>
    <w:rsid w:val="706B2486"/>
    <w:rsid w:val="70783E84"/>
    <w:rsid w:val="70795DF6"/>
    <w:rsid w:val="707A5D2F"/>
    <w:rsid w:val="70964422"/>
    <w:rsid w:val="70A14A64"/>
    <w:rsid w:val="70AF6CE9"/>
    <w:rsid w:val="70C06B9F"/>
    <w:rsid w:val="70CC7348"/>
    <w:rsid w:val="70D13BA0"/>
    <w:rsid w:val="70D44648"/>
    <w:rsid w:val="70DF3DEB"/>
    <w:rsid w:val="70F02FDD"/>
    <w:rsid w:val="70F72510"/>
    <w:rsid w:val="71041721"/>
    <w:rsid w:val="711C1F43"/>
    <w:rsid w:val="71205B58"/>
    <w:rsid w:val="71225AB6"/>
    <w:rsid w:val="712B05F9"/>
    <w:rsid w:val="712F5856"/>
    <w:rsid w:val="713033D0"/>
    <w:rsid w:val="71310096"/>
    <w:rsid w:val="71367E84"/>
    <w:rsid w:val="7137184D"/>
    <w:rsid w:val="713A67B3"/>
    <w:rsid w:val="7141659B"/>
    <w:rsid w:val="71461837"/>
    <w:rsid w:val="7147509B"/>
    <w:rsid w:val="714A356A"/>
    <w:rsid w:val="714C4666"/>
    <w:rsid w:val="716D4D24"/>
    <w:rsid w:val="717031CE"/>
    <w:rsid w:val="71766546"/>
    <w:rsid w:val="717764EC"/>
    <w:rsid w:val="717943F5"/>
    <w:rsid w:val="717A2BA1"/>
    <w:rsid w:val="718E70D3"/>
    <w:rsid w:val="719D7468"/>
    <w:rsid w:val="71AA1A3E"/>
    <w:rsid w:val="71AA6403"/>
    <w:rsid w:val="71B16C44"/>
    <w:rsid w:val="71BD4685"/>
    <w:rsid w:val="71BE6DFB"/>
    <w:rsid w:val="71C47B9F"/>
    <w:rsid w:val="71C534D2"/>
    <w:rsid w:val="71C64D4D"/>
    <w:rsid w:val="71D72F17"/>
    <w:rsid w:val="71D83CA5"/>
    <w:rsid w:val="71DC1718"/>
    <w:rsid w:val="71DF5B7E"/>
    <w:rsid w:val="71EB282D"/>
    <w:rsid w:val="71F54AE0"/>
    <w:rsid w:val="71FA5D07"/>
    <w:rsid w:val="720158A7"/>
    <w:rsid w:val="720431A7"/>
    <w:rsid w:val="72084942"/>
    <w:rsid w:val="720B4718"/>
    <w:rsid w:val="722A7D71"/>
    <w:rsid w:val="723100EB"/>
    <w:rsid w:val="72364C69"/>
    <w:rsid w:val="723B2B91"/>
    <w:rsid w:val="72402A39"/>
    <w:rsid w:val="7243143C"/>
    <w:rsid w:val="72517987"/>
    <w:rsid w:val="7254791B"/>
    <w:rsid w:val="72551613"/>
    <w:rsid w:val="725D5B96"/>
    <w:rsid w:val="726325AF"/>
    <w:rsid w:val="7269458C"/>
    <w:rsid w:val="726B76F8"/>
    <w:rsid w:val="7272039C"/>
    <w:rsid w:val="72771182"/>
    <w:rsid w:val="72897A74"/>
    <w:rsid w:val="728D5535"/>
    <w:rsid w:val="7298444E"/>
    <w:rsid w:val="729F1F2D"/>
    <w:rsid w:val="72B31D60"/>
    <w:rsid w:val="72C00C08"/>
    <w:rsid w:val="72C32F1F"/>
    <w:rsid w:val="72C55A19"/>
    <w:rsid w:val="72CB4C94"/>
    <w:rsid w:val="72DA39DB"/>
    <w:rsid w:val="72E97BD6"/>
    <w:rsid w:val="72EF358D"/>
    <w:rsid w:val="72F00080"/>
    <w:rsid w:val="72F40BED"/>
    <w:rsid w:val="72FA777C"/>
    <w:rsid w:val="72FC3995"/>
    <w:rsid w:val="731267CC"/>
    <w:rsid w:val="731B1CFE"/>
    <w:rsid w:val="733417FE"/>
    <w:rsid w:val="733535A0"/>
    <w:rsid w:val="73396C18"/>
    <w:rsid w:val="734049AA"/>
    <w:rsid w:val="73424394"/>
    <w:rsid w:val="734B2DDD"/>
    <w:rsid w:val="73582F7A"/>
    <w:rsid w:val="735F142D"/>
    <w:rsid w:val="73614A6B"/>
    <w:rsid w:val="737140B0"/>
    <w:rsid w:val="73773E99"/>
    <w:rsid w:val="73790128"/>
    <w:rsid w:val="737B0312"/>
    <w:rsid w:val="737E4127"/>
    <w:rsid w:val="73854C6C"/>
    <w:rsid w:val="738C6771"/>
    <w:rsid w:val="73994803"/>
    <w:rsid w:val="73B05172"/>
    <w:rsid w:val="73B2046C"/>
    <w:rsid w:val="73BF0C9C"/>
    <w:rsid w:val="73C509BC"/>
    <w:rsid w:val="73CD6575"/>
    <w:rsid w:val="73CF44A5"/>
    <w:rsid w:val="73D0280C"/>
    <w:rsid w:val="73D82C3C"/>
    <w:rsid w:val="73DE2643"/>
    <w:rsid w:val="73DF46DE"/>
    <w:rsid w:val="73E65D61"/>
    <w:rsid w:val="73EC11A2"/>
    <w:rsid w:val="73ED5BE9"/>
    <w:rsid w:val="73F570D8"/>
    <w:rsid w:val="73F809EA"/>
    <w:rsid w:val="73FD1AFC"/>
    <w:rsid w:val="73FD7489"/>
    <w:rsid w:val="74054BEE"/>
    <w:rsid w:val="740560EA"/>
    <w:rsid w:val="74056B42"/>
    <w:rsid w:val="740630C3"/>
    <w:rsid w:val="7409473C"/>
    <w:rsid w:val="741661E7"/>
    <w:rsid w:val="741825DF"/>
    <w:rsid w:val="741B7290"/>
    <w:rsid w:val="741C66D7"/>
    <w:rsid w:val="74256453"/>
    <w:rsid w:val="74410FE0"/>
    <w:rsid w:val="74415F16"/>
    <w:rsid w:val="74482FCD"/>
    <w:rsid w:val="744A091C"/>
    <w:rsid w:val="744B1E8E"/>
    <w:rsid w:val="74624E03"/>
    <w:rsid w:val="74657BF7"/>
    <w:rsid w:val="74781B09"/>
    <w:rsid w:val="74836B36"/>
    <w:rsid w:val="7485045B"/>
    <w:rsid w:val="74853218"/>
    <w:rsid w:val="7489688F"/>
    <w:rsid w:val="74A14393"/>
    <w:rsid w:val="74A63B78"/>
    <w:rsid w:val="74AC5E58"/>
    <w:rsid w:val="74AE320C"/>
    <w:rsid w:val="74C93C97"/>
    <w:rsid w:val="74CA18A2"/>
    <w:rsid w:val="74E07425"/>
    <w:rsid w:val="74E3569C"/>
    <w:rsid w:val="74E863D4"/>
    <w:rsid w:val="74EF4D46"/>
    <w:rsid w:val="74F63296"/>
    <w:rsid w:val="74FC3839"/>
    <w:rsid w:val="750B59B7"/>
    <w:rsid w:val="75157675"/>
    <w:rsid w:val="751732C5"/>
    <w:rsid w:val="7522661E"/>
    <w:rsid w:val="75233611"/>
    <w:rsid w:val="7526215A"/>
    <w:rsid w:val="754B473A"/>
    <w:rsid w:val="754C18DC"/>
    <w:rsid w:val="75557790"/>
    <w:rsid w:val="7563558E"/>
    <w:rsid w:val="7578680F"/>
    <w:rsid w:val="758C7F0A"/>
    <w:rsid w:val="75951408"/>
    <w:rsid w:val="759931D9"/>
    <w:rsid w:val="759D251D"/>
    <w:rsid w:val="75A10102"/>
    <w:rsid w:val="75A46BE9"/>
    <w:rsid w:val="75AC62F8"/>
    <w:rsid w:val="75C067AB"/>
    <w:rsid w:val="75C4082A"/>
    <w:rsid w:val="75C77160"/>
    <w:rsid w:val="75CD2CE4"/>
    <w:rsid w:val="75CF5A6D"/>
    <w:rsid w:val="75D55086"/>
    <w:rsid w:val="75DE5D07"/>
    <w:rsid w:val="75EC4FA4"/>
    <w:rsid w:val="75F1030D"/>
    <w:rsid w:val="75FC2A02"/>
    <w:rsid w:val="76107D1F"/>
    <w:rsid w:val="761B1B02"/>
    <w:rsid w:val="7621586B"/>
    <w:rsid w:val="76275680"/>
    <w:rsid w:val="76407584"/>
    <w:rsid w:val="76420A9F"/>
    <w:rsid w:val="76460752"/>
    <w:rsid w:val="76497B53"/>
    <w:rsid w:val="76566161"/>
    <w:rsid w:val="7657634B"/>
    <w:rsid w:val="765E3D2D"/>
    <w:rsid w:val="765F4EDC"/>
    <w:rsid w:val="76624EAE"/>
    <w:rsid w:val="76630162"/>
    <w:rsid w:val="767C6AAC"/>
    <w:rsid w:val="768E66A6"/>
    <w:rsid w:val="7690234D"/>
    <w:rsid w:val="76AD4693"/>
    <w:rsid w:val="76B161B7"/>
    <w:rsid w:val="76B174C4"/>
    <w:rsid w:val="76B32D2C"/>
    <w:rsid w:val="76B37636"/>
    <w:rsid w:val="76B5093C"/>
    <w:rsid w:val="76B525F5"/>
    <w:rsid w:val="76BE1E79"/>
    <w:rsid w:val="76C47E08"/>
    <w:rsid w:val="76CC5988"/>
    <w:rsid w:val="76CE039A"/>
    <w:rsid w:val="76D81A08"/>
    <w:rsid w:val="76DD351E"/>
    <w:rsid w:val="76DE0141"/>
    <w:rsid w:val="76E11D78"/>
    <w:rsid w:val="76E148B0"/>
    <w:rsid w:val="76E15D37"/>
    <w:rsid w:val="76E17E2E"/>
    <w:rsid w:val="76E843CB"/>
    <w:rsid w:val="76E92569"/>
    <w:rsid w:val="76F261D8"/>
    <w:rsid w:val="76F355A0"/>
    <w:rsid w:val="77086025"/>
    <w:rsid w:val="770B759D"/>
    <w:rsid w:val="77183B98"/>
    <w:rsid w:val="771A2F81"/>
    <w:rsid w:val="77200EDF"/>
    <w:rsid w:val="77234096"/>
    <w:rsid w:val="772B210D"/>
    <w:rsid w:val="77371ACB"/>
    <w:rsid w:val="77385348"/>
    <w:rsid w:val="77395E4B"/>
    <w:rsid w:val="77426E7C"/>
    <w:rsid w:val="774A64C4"/>
    <w:rsid w:val="774E24D6"/>
    <w:rsid w:val="77500471"/>
    <w:rsid w:val="77510092"/>
    <w:rsid w:val="77563F8A"/>
    <w:rsid w:val="775F37F5"/>
    <w:rsid w:val="776D4A30"/>
    <w:rsid w:val="777005A8"/>
    <w:rsid w:val="77726B37"/>
    <w:rsid w:val="77743BE2"/>
    <w:rsid w:val="778B5FAD"/>
    <w:rsid w:val="779C0093"/>
    <w:rsid w:val="779C6E17"/>
    <w:rsid w:val="779C7BF8"/>
    <w:rsid w:val="779E3B4F"/>
    <w:rsid w:val="77A33CC4"/>
    <w:rsid w:val="77A47D6F"/>
    <w:rsid w:val="77AA0E39"/>
    <w:rsid w:val="77B12D2C"/>
    <w:rsid w:val="77B42380"/>
    <w:rsid w:val="77B4772C"/>
    <w:rsid w:val="77B65BA5"/>
    <w:rsid w:val="77BB08F1"/>
    <w:rsid w:val="77C037EA"/>
    <w:rsid w:val="77C87CA3"/>
    <w:rsid w:val="77CE53B2"/>
    <w:rsid w:val="77D52F39"/>
    <w:rsid w:val="77D70418"/>
    <w:rsid w:val="77E42137"/>
    <w:rsid w:val="77EA4458"/>
    <w:rsid w:val="77F73C96"/>
    <w:rsid w:val="77FF6F5A"/>
    <w:rsid w:val="780156DA"/>
    <w:rsid w:val="78034528"/>
    <w:rsid w:val="78135070"/>
    <w:rsid w:val="78136816"/>
    <w:rsid w:val="781655C9"/>
    <w:rsid w:val="7821767D"/>
    <w:rsid w:val="782F2090"/>
    <w:rsid w:val="78360FF5"/>
    <w:rsid w:val="78400592"/>
    <w:rsid w:val="784A396E"/>
    <w:rsid w:val="784C3862"/>
    <w:rsid w:val="785241E4"/>
    <w:rsid w:val="785A4719"/>
    <w:rsid w:val="785A6F85"/>
    <w:rsid w:val="785C18C1"/>
    <w:rsid w:val="78734995"/>
    <w:rsid w:val="78815DDC"/>
    <w:rsid w:val="788C29D5"/>
    <w:rsid w:val="788E06EC"/>
    <w:rsid w:val="78907379"/>
    <w:rsid w:val="789363CB"/>
    <w:rsid w:val="7897689C"/>
    <w:rsid w:val="789E6904"/>
    <w:rsid w:val="789F47EA"/>
    <w:rsid w:val="78A212A6"/>
    <w:rsid w:val="78A3686E"/>
    <w:rsid w:val="78AB5247"/>
    <w:rsid w:val="78AF3131"/>
    <w:rsid w:val="78B070B9"/>
    <w:rsid w:val="78B334D3"/>
    <w:rsid w:val="78B566FD"/>
    <w:rsid w:val="78B70DC3"/>
    <w:rsid w:val="78BB69BF"/>
    <w:rsid w:val="78C11EFA"/>
    <w:rsid w:val="78C22CAC"/>
    <w:rsid w:val="78C6157A"/>
    <w:rsid w:val="78C70075"/>
    <w:rsid w:val="78C728CE"/>
    <w:rsid w:val="78CB43BF"/>
    <w:rsid w:val="78CF5838"/>
    <w:rsid w:val="78D76D23"/>
    <w:rsid w:val="78ED0AB4"/>
    <w:rsid w:val="79031042"/>
    <w:rsid w:val="79071330"/>
    <w:rsid w:val="790F0960"/>
    <w:rsid w:val="791229C5"/>
    <w:rsid w:val="79217F17"/>
    <w:rsid w:val="79237617"/>
    <w:rsid w:val="793356DB"/>
    <w:rsid w:val="793772CE"/>
    <w:rsid w:val="794371D6"/>
    <w:rsid w:val="79441DF1"/>
    <w:rsid w:val="79494A81"/>
    <w:rsid w:val="7953502B"/>
    <w:rsid w:val="79596609"/>
    <w:rsid w:val="795A26F3"/>
    <w:rsid w:val="795C4D8E"/>
    <w:rsid w:val="79661248"/>
    <w:rsid w:val="796C66A3"/>
    <w:rsid w:val="797217F7"/>
    <w:rsid w:val="797F5296"/>
    <w:rsid w:val="79817CB5"/>
    <w:rsid w:val="798746C4"/>
    <w:rsid w:val="798B3305"/>
    <w:rsid w:val="799F407B"/>
    <w:rsid w:val="79A344D3"/>
    <w:rsid w:val="79C048B2"/>
    <w:rsid w:val="79C45F88"/>
    <w:rsid w:val="79C606D3"/>
    <w:rsid w:val="79C722DE"/>
    <w:rsid w:val="79C7606B"/>
    <w:rsid w:val="79C7747A"/>
    <w:rsid w:val="79E10FDE"/>
    <w:rsid w:val="79E2299F"/>
    <w:rsid w:val="79E22E0B"/>
    <w:rsid w:val="79F07130"/>
    <w:rsid w:val="7A011425"/>
    <w:rsid w:val="7A0848F5"/>
    <w:rsid w:val="7A090472"/>
    <w:rsid w:val="7A0F459A"/>
    <w:rsid w:val="7A11399D"/>
    <w:rsid w:val="7A17279A"/>
    <w:rsid w:val="7A1D51AA"/>
    <w:rsid w:val="7A1F07D9"/>
    <w:rsid w:val="7A307348"/>
    <w:rsid w:val="7A337E4D"/>
    <w:rsid w:val="7A3408ED"/>
    <w:rsid w:val="7A356238"/>
    <w:rsid w:val="7A48224C"/>
    <w:rsid w:val="7A4857AA"/>
    <w:rsid w:val="7A4A6379"/>
    <w:rsid w:val="7A5E4C0C"/>
    <w:rsid w:val="7A615863"/>
    <w:rsid w:val="7A736997"/>
    <w:rsid w:val="7A795439"/>
    <w:rsid w:val="7A796410"/>
    <w:rsid w:val="7A7B0FDA"/>
    <w:rsid w:val="7A854531"/>
    <w:rsid w:val="7A8F5A40"/>
    <w:rsid w:val="7A911233"/>
    <w:rsid w:val="7A922050"/>
    <w:rsid w:val="7A933E82"/>
    <w:rsid w:val="7AA26CFF"/>
    <w:rsid w:val="7AAC67D4"/>
    <w:rsid w:val="7AB53CBE"/>
    <w:rsid w:val="7AB801CE"/>
    <w:rsid w:val="7AB96430"/>
    <w:rsid w:val="7ABF4635"/>
    <w:rsid w:val="7AC649C5"/>
    <w:rsid w:val="7ACC27A2"/>
    <w:rsid w:val="7ACC5B29"/>
    <w:rsid w:val="7ACD101D"/>
    <w:rsid w:val="7AD7381C"/>
    <w:rsid w:val="7AE44B5A"/>
    <w:rsid w:val="7AEB6171"/>
    <w:rsid w:val="7AED21FE"/>
    <w:rsid w:val="7AEE562E"/>
    <w:rsid w:val="7B075C4A"/>
    <w:rsid w:val="7B122091"/>
    <w:rsid w:val="7B205640"/>
    <w:rsid w:val="7B271ACC"/>
    <w:rsid w:val="7B28186A"/>
    <w:rsid w:val="7B327420"/>
    <w:rsid w:val="7B350A7D"/>
    <w:rsid w:val="7B4C428A"/>
    <w:rsid w:val="7B546E75"/>
    <w:rsid w:val="7B5D42B5"/>
    <w:rsid w:val="7B5E060E"/>
    <w:rsid w:val="7B6321FB"/>
    <w:rsid w:val="7B705A2F"/>
    <w:rsid w:val="7B8227A2"/>
    <w:rsid w:val="7B862503"/>
    <w:rsid w:val="7B9506C6"/>
    <w:rsid w:val="7B9A6F06"/>
    <w:rsid w:val="7B9B4BA1"/>
    <w:rsid w:val="7BA37898"/>
    <w:rsid w:val="7BA97827"/>
    <w:rsid w:val="7BCE62FC"/>
    <w:rsid w:val="7BD4745A"/>
    <w:rsid w:val="7BD85E62"/>
    <w:rsid w:val="7BEA4BE1"/>
    <w:rsid w:val="7BEB23B5"/>
    <w:rsid w:val="7BED2A59"/>
    <w:rsid w:val="7BEF13BC"/>
    <w:rsid w:val="7BF77925"/>
    <w:rsid w:val="7BF97CF0"/>
    <w:rsid w:val="7BFE1C9A"/>
    <w:rsid w:val="7C027FC8"/>
    <w:rsid w:val="7C041FC7"/>
    <w:rsid w:val="7C05330D"/>
    <w:rsid w:val="7C074CF6"/>
    <w:rsid w:val="7C096E18"/>
    <w:rsid w:val="7C0C2E06"/>
    <w:rsid w:val="7C167366"/>
    <w:rsid w:val="7C171CF9"/>
    <w:rsid w:val="7C1966E4"/>
    <w:rsid w:val="7C1D34C6"/>
    <w:rsid w:val="7C230886"/>
    <w:rsid w:val="7C2369D2"/>
    <w:rsid w:val="7C237FC2"/>
    <w:rsid w:val="7C303202"/>
    <w:rsid w:val="7C4C5980"/>
    <w:rsid w:val="7C4F65DF"/>
    <w:rsid w:val="7C515172"/>
    <w:rsid w:val="7C545AC7"/>
    <w:rsid w:val="7C582BBE"/>
    <w:rsid w:val="7C5937E1"/>
    <w:rsid w:val="7C5A6D03"/>
    <w:rsid w:val="7C5F613E"/>
    <w:rsid w:val="7C601B7A"/>
    <w:rsid w:val="7C6327C1"/>
    <w:rsid w:val="7C637369"/>
    <w:rsid w:val="7C6B2731"/>
    <w:rsid w:val="7C6D5683"/>
    <w:rsid w:val="7C700C54"/>
    <w:rsid w:val="7C807077"/>
    <w:rsid w:val="7C814F50"/>
    <w:rsid w:val="7C8377FC"/>
    <w:rsid w:val="7C8633F3"/>
    <w:rsid w:val="7C8809A1"/>
    <w:rsid w:val="7C8D35F1"/>
    <w:rsid w:val="7C932D68"/>
    <w:rsid w:val="7CA725DE"/>
    <w:rsid w:val="7CA836B5"/>
    <w:rsid w:val="7CAA29BE"/>
    <w:rsid w:val="7CAC0BC6"/>
    <w:rsid w:val="7CB74726"/>
    <w:rsid w:val="7CB97A94"/>
    <w:rsid w:val="7CBA3AEC"/>
    <w:rsid w:val="7CC46FB9"/>
    <w:rsid w:val="7CC65AB8"/>
    <w:rsid w:val="7CC70A9C"/>
    <w:rsid w:val="7CC916C3"/>
    <w:rsid w:val="7CCF4F2A"/>
    <w:rsid w:val="7CD555B1"/>
    <w:rsid w:val="7CE76CA6"/>
    <w:rsid w:val="7CEC40AE"/>
    <w:rsid w:val="7CF61804"/>
    <w:rsid w:val="7D004073"/>
    <w:rsid w:val="7D023DA3"/>
    <w:rsid w:val="7D0A38B7"/>
    <w:rsid w:val="7D0E138E"/>
    <w:rsid w:val="7D282FC3"/>
    <w:rsid w:val="7D306185"/>
    <w:rsid w:val="7D3301EF"/>
    <w:rsid w:val="7D402701"/>
    <w:rsid w:val="7D407FDC"/>
    <w:rsid w:val="7D4B4DFE"/>
    <w:rsid w:val="7D4E4256"/>
    <w:rsid w:val="7D4E7E5C"/>
    <w:rsid w:val="7D575335"/>
    <w:rsid w:val="7D58272B"/>
    <w:rsid w:val="7D620B8A"/>
    <w:rsid w:val="7D644BB9"/>
    <w:rsid w:val="7D65427D"/>
    <w:rsid w:val="7D681A57"/>
    <w:rsid w:val="7D6E1078"/>
    <w:rsid w:val="7D767753"/>
    <w:rsid w:val="7D7B4CE3"/>
    <w:rsid w:val="7D8052F4"/>
    <w:rsid w:val="7D85788A"/>
    <w:rsid w:val="7D882D6F"/>
    <w:rsid w:val="7D8F27FA"/>
    <w:rsid w:val="7D9876CB"/>
    <w:rsid w:val="7D9905A4"/>
    <w:rsid w:val="7DA62108"/>
    <w:rsid w:val="7DA77870"/>
    <w:rsid w:val="7DA862C6"/>
    <w:rsid w:val="7DAD2009"/>
    <w:rsid w:val="7DAE0334"/>
    <w:rsid w:val="7DB76331"/>
    <w:rsid w:val="7DB937A1"/>
    <w:rsid w:val="7DBC51AE"/>
    <w:rsid w:val="7DCC70D5"/>
    <w:rsid w:val="7DDF103D"/>
    <w:rsid w:val="7DE05644"/>
    <w:rsid w:val="7DEE4F29"/>
    <w:rsid w:val="7DEF62A0"/>
    <w:rsid w:val="7DF02678"/>
    <w:rsid w:val="7E023AD6"/>
    <w:rsid w:val="7E025ACF"/>
    <w:rsid w:val="7E0879FD"/>
    <w:rsid w:val="7E0D7696"/>
    <w:rsid w:val="7E0E456C"/>
    <w:rsid w:val="7E0E6DCD"/>
    <w:rsid w:val="7E0F48BB"/>
    <w:rsid w:val="7E1033DC"/>
    <w:rsid w:val="7E142C1A"/>
    <w:rsid w:val="7E2353BC"/>
    <w:rsid w:val="7E2424ED"/>
    <w:rsid w:val="7E323687"/>
    <w:rsid w:val="7E352B6C"/>
    <w:rsid w:val="7E4107B0"/>
    <w:rsid w:val="7E430F47"/>
    <w:rsid w:val="7E444E2C"/>
    <w:rsid w:val="7E45635D"/>
    <w:rsid w:val="7E517C52"/>
    <w:rsid w:val="7E55374B"/>
    <w:rsid w:val="7E5F2743"/>
    <w:rsid w:val="7E606711"/>
    <w:rsid w:val="7E627AA2"/>
    <w:rsid w:val="7E6947CD"/>
    <w:rsid w:val="7E7178F7"/>
    <w:rsid w:val="7E7860BC"/>
    <w:rsid w:val="7E821A0C"/>
    <w:rsid w:val="7E836EA8"/>
    <w:rsid w:val="7E980AF4"/>
    <w:rsid w:val="7E9A12EA"/>
    <w:rsid w:val="7E9F0584"/>
    <w:rsid w:val="7EA17D25"/>
    <w:rsid w:val="7EAF6CBB"/>
    <w:rsid w:val="7EB61631"/>
    <w:rsid w:val="7EBF430D"/>
    <w:rsid w:val="7EC42501"/>
    <w:rsid w:val="7EC539A1"/>
    <w:rsid w:val="7EC904A4"/>
    <w:rsid w:val="7ECA6995"/>
    <w:rsid w:val="7ED148EC"/>
    <w:rsid w:val="7EDA6062"/>
    <w:rsid w:val="7EDC75D2"/>
    <w:rsid w:val="7EE36BEA"/>
    <w:rsid w:val="7EEA1CAF"/>
    <w:rsid w:val="7EF439EE"/>
    <w:rsid w:val="7EF60904"/>
    <w:rsid w:val="7EFA2E85"/>
    <w:rsid w:val="7F1511C1"/>
    <w:rsid w:val="7F1D027F"/>
    <w:rsid w:val="7F1D72CA"/>
    <w:rsid w:val="7F1D76A1"/>
    <w:rsid w:val="7F206C9C"/>
    <w:rsid w:val="7F23099D"/>
    <w:rsid w:val="7F2D6A17"/>
    <w:rsid w:val="7F325AED"/>
    <w:rsid w:val="7F48617D"/>
    <w:rsid w:val="7F541897"/>
    <w:rsid w:val="7F557022"/>
    <w:rsid w:val="7F5670C5"/>
    <w:rsid w:val="7F6075F8"/>
    <w:rsid w:val="7F612CF9"/>
    <w:rsid w:val="7F673D47"/>
    <w:rsid w:val="7F674DB2"/>
    <w:rsid w:val="7F793D65"/>
    <w:rsid w:val="7F7C62BC"/>
    <w:rsid w:val="7F7F03BF"/>
    <w:rsid w:val="7F9977A8"/>
    <w:rsid w:val="7F9C55A2"/>
    <w:rsid w:val="7F9E7758"/>
    <w:rsid w:val="7FA22DEB"/>
    <w:rsid w:val="7FA60A82"/>
    <w:rsid w:val="7FB30445"/>
    <w:rsid w:val="7FB75E1A"/>
    <w:rsid w:val="7FB81199"/>
    <w:rsid w:val="7FB92698"/>
    <w:rsid w:val="7FBA1360"/>
    <w:rsid w:val="7FC6640B"/>
    <w:rsid w:val="7FCC33D5"/>
    <w:rsid w:val="7FCC73DB"/>
    <w:rsid w:val="7FCE0DDA"/>
    <w:rsid w:val="7FCE527B"/>
    <w:rsid w:val="7FD94BDD"/>
    <w:rsid w:val="7FDB410B"/>
    <w:rsid w:val="7FE05BAC"/>
    <w:rsid w:val="7FF40ECB"/>
    <w:rsid w:val="7FF414BC"/>
    <w:rsid w:val="7FF53E7F"/>
    <w:rsid w:val="7FFA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annotation text"/>
    <w:basedOn w:val="1"/>
    <w:qFormat/>
    <w:uiPriority w:val="0"/>
  </w:style>
  <w:style w:type="paragraph" w:styleId="5">
    <w:name w:val="Body Text"/>
    <w:basedOn w:val="1"/>
    <w:next w:val="6"/>
    <w:qFormat/>
    <w:uiPriority w:val="0"/>
    <w:pPr>
      <w:spacing w:after="120"/>
    </w:pPr>
    <w:rPr>
      <w:kern w:val="0"/>
      <w:sz w:val="20"/>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Body Text Indent"/>
    <w:basedOn w:val="1"/>
    <w:next w:val="8"/>
    <w:qFormat/>
    <w:uiPriority w:val="0"/>
    <w:pPr>
      <w:ind w:left="420" w:leftChars="200"/>
    </w:pPr>
  </w:style>
  <w:style w:type="paragraph" w:styleId="8">
    <w:name w:val="envelope return"/>
    <w:basedOn w:val="1"/>
    <w:qFormat/>
    <w:uiPriority w:val="99"/>
    <w:pPr>
      <w:snapToGrid w:val="0"/>
    </w:pPr>
    <w:rPr>
      <w:rFonts w:ascii="Arial" w:hAnsi="Arial" w:cs="Arial"/>
    </w:rPr>
  </w:style>
  <w:style w:type="paragraph" w:styleId="9">
    <w:name w:val="Plain Text"/>
    <w:basedOn w:val="1"/>
    <w:qFormat/>
    <w:uiPriority w:val="0"/>
    <w:rPr>
      <w:rFonts w:ascii="宋体" w:hAnsi="Courier New"/>
      <w:kern w:val="0"/>
      <w:sz w:val="20"/>
      <w:szCs w:val="21"/>
    </w:rPr>
  </w:style>
  <w:style w:type="paragraph" w:styleId="10">
    <w:name w:val="Balloon Text"/>
    <w:basedOn w:val="1"/>
    <w:link w:val="36"/>
    <w:qFormat/>
    <w:uiPriority w:val="0"/>
    <w:rPr>
      <w:sz w:val="18"/>
      <w:szCs w:val="18"/>
    </w:rPr>
  </w:style>
  <w:style w:type="paragraph" w:styleId="11">
    <w:name w:val="footer"/>
    <w:basedOn w:val="1"/>
    <w:qFormat/>
    <w:uiPriority w:val="0"/>
    <w:pPr>
      <w:tabs>
        <w:tab w:val="center" w:pos="4153"/>
        <w:tab w:val="right" w:pos="8306"/>
      </w:tabs>
      <w:snapToGrid w:val="0"/>
      <w:jc w:val="left"/>
    </w:pPr>
    <w:rPr>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14">
    <w:name w:val="Body Text Indent 3"/>
    <w:basedOn w:val="1"/>
    <w:qFormat/>
    <w:uiPriority w:val="0"/>
    <w:pPr>
      <w:ind w:firstLine="426"/>
    </w:p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Body Text First Indent 2"/>
    <w:basedOn w:val="7"/>
    <w:qFormat/>
    <w:uiPriority w:val="0"/>
    <w:pPr>
      <w:ind w:left="200" w:leftChars="0" w:firstLine="200"/>
    </w:pPr>
    <w:rPr>
      <w:rFonts w:ascii="宋体" w:hAnsi="宋体"/>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basedOn w:val="19"/>
    <w:qFormat/>
    <w:uiPriority w:val="0"/>
    <w:rPr>
      <w:sz w:val="21"/>
      <w:szCs w:val="21"/>
    </w:rPr>
  </w:style>
  <w:style w:type="paragraph" w:customStyle="1" w:styleId="24">
    <w:name w:val="Default2"/>
    <w:qFormat/>
    <w:uiPriority w:val="0"/>
    <w:pPr>
      <w:widowControl w:val="0"/>
      <w:autoSpaceDE w:val="0"/>
      <w:autoSpaceDN w:val="0"/>
      <w:adjustRightInd w:val="0"/>
      <w:spacing w:line="360" w:lineRule="auto"/>
      <w:ind w:firstLine="883" w:firstLineChars="200"/>
    </w:pPr>
    <w:rPr>
      <w:rFonts w:ascii="宋体" w:hAnsi="宋体" w:eastAsia="宋体" w:cs="宋体"/>
      <w:color w:val="000000"/>
      <w:sz w:val="28"/>
      <w:szCs w:val="24"/>
      <w:lang w:val="en-US" w:eastAsia="zh-CN" w:bidi="ar-SA"/>
    </w:rPr>
  </w:style>
  <w:style w:type="paragraph" w:customStyle="1" w:styleId="25">
    <w:name w:val="列出段落1"/>
    <w:basedOn w:val="1"/>
    <w:qFormat/>
    <w:uiPriority w:val="34"/>
    <w:pPr>
      <w:ind w:firstLine="420" w:firstLineChars="200"/>
    </w:pPr>
  </w:style>
  <w:style w:type="paragraph" w:customStyle="1" w:styleId="26">
    <w:name w:val="样式4"/>
    <w:basedOn w:val="1"/>
    <w:qFormat/>
    <w:uiPriority w:val="0"/>
    <w:pPr>
      <w:numPr>
        <w:ilvl w:val="3"/>
        <w:numId w:val="1"/>
      </w:numPr>
    </w:pPr>
  </w:style>
  <w:style w:type="paragraph" w:customStyle="1" w:styleId="2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9">
    <w:name w:val="列出段落11"/>
    <w:basedOn w:val="1"/>
    <w:qFormat/>
    <w:uiPriority w:val="99"/>
    <w:pPr>
      <w:ind w:firstLine="420" w:firstLineChars="200"/>
    </w:pPr>
  </w:style>
  <w:style w:type="paragraph" w:customStyle="1" w:styleId="30">
    <w:name w:val="样式 小四 段前: 5 磅 段后: 5 磅 首行缩进:  2 字符"/>
    <w:basedOn w:val="1"/>
    <w:qFormat/>
    <w:uiPriority w:val="0"/>
    <w:pPr>
      <w:spacing w:line="400" w:lineRule="exact"/>
    </w:pPr>
    <w:rPr>
      <w:rFonts w:ascii="宋体" w:hAnsi="宋体"/>
      <w:sz w:val="24"/>
    </w:rPr>
  </w:style>
  <w:style w:type="character" w:customStyle="1" w:styleId="31">
    <w:name w:val="font21"/>
    <w:basedOn w:val="19"/>
    <w:qFormat/>
    <w:uiPriority w:val="0"/>
    <w:rPr>
      <w:rFonts w:hint="default" w:ascii="Times New Roman" w:hAnsi="Times New Roman" w:cs="Times New Roman"/>
      <w:color w:val="000000"/>
      <w:sz w:val="24"/>
      <w:szCs w:val="24"/>
      <w:u w:val="none"/>
    </w:rPr>
  </w:style>
  <w:style w:type="character" w:customStyle="1" w:styleId="32">
    <w:name w:val="font11"/>
    <w:basedOn w:val="19"/>
    <w:qFormat/>
    <w:uiPriority w:val="0"/>
    <w:rPr>
      <w:rFonts w:hint="eastAsia" w:ascii="宋体" w:hAnsi="宋体" w:eastAsia="宋体" w:cs="宋体"/>
      <w:color w:val="000000"/>
      <w:sz w:val="24"/>
      <w:szCs w:val="24"/>
      <w:u w:val="none"/>
    </w:rPr>
  </w:style>
  <w:style w:type="character" w:customStyle="1" w:styleId="33">
    <w:name w:val="font01"/>
    <w:basedOn w:val="19"/>
    <w:qFormat/>
    <w:uiPriority w:val="0"/>
    <w:rPr>
      <w:rFonts w:ascii="Arial" w:hAnsi="Arial" w:cs="Arial"/>
      <w:color w:val="000000"/>
      <w:sz w:val="24"/>
      <w:szCs w:val="24"/>
      <w:u w:val="none"/>
    </w:rPr>
  </w:style>
  <w:style w:type="paragraph" w:styleId="34">
    <w:name w:val="List Paragraph"/>
    <w:basedOn w:val="1"/>
    <w:qFormat/>
    <w:uiPriority w:val="1"/>
    <w:pPr>
      <w:ind w:left="673" w:firstLine="420"/>
    </w:pPr>
  </w:style>
  <w:style w:type="paragraph" w:customStyle="1" w:styleId="3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批注框文本 字符"/>
    <w:basedOn w:val="19"/>
    <w:link w:val="10"/>
    <w:qFormat/>
    <w:uiPriority w:val="0"/>
    <w:rPr>
      <w:kern w:val="2"/>
      <w:sz w:val="18"/>
      <w:szCs w:val="18"/>
    </w:rPr>
  </w:style>
  <w:style w:type="character" w:customStyle="1" w:styleId="3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8">
    <w:name w:val="Table Paragraph"/>
    <w:basedOn w:val="1"/>
    <w:qFormat/>
    <w:uiPriority w:val="1"/>
  </w:style>
  <w:style w:type="table" w:customStyle="1" w:styleId="39">
    <w:name w:val="Table Normal"/>
    <w:semiHidden/>
    <w:unhideWhenUsed/>
    <w:qFormat/>
    <w:uiPriority w:val="2"/>
    <w:tblPr>
      <w:tblCellMar>
        <w:top w:w="0" w:type="dxa"/>
        <w:left w:w="0" w:type="dxa"/>
        <w:bottom w:w="0" w:type="dxa"/>
        <w:right w:w="0" w:type="dxa"/>
      </w:tblCellMar>
    </w:tblPr>
  </w:style>
  <w:style w:type="paragraph" w:customStyle="1" w:styleId="40">
    <w:name w:val="L"/>
    <w:basedOn w:val="1"/>
    <w:qFormat/>
    <w:uiPriority w:val="0"/>
    <w:pPr>
      <w:tabs>
        <w:tab w:val="left" w:pos="1290"/>
      </w:tabs>
      <w:spacing w:line="360" w:lineRule="auto"/>
    </w:pPr>
    <w:rPr>
      <w:b/>
      <w:sz w:val="24"/>
    </w:rPr>
  </w:style>
  <w:style w:type="paragraph" w:customStyle="1" w:styleId="41">
    <w:name w:val="正文_2"/>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26C1F2-C301-4801-967E-BC0190C1B0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7851</Words>
  <Characters>44757</Characters>
  <Lines>372</Lines>
  <Paragraphs>105</Paragraphs>
  <TotalTime>31</TotalTime>
  <ScaleCrop>false</ScaleCrop>
  <LinksUpToDate>false</LinksUpToDate>
  <CharactersWithSpaces>52503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宝诚代理</cp:lastModifiedBy>
  <cp:lastPrinted>2019-10-16T03:40:00Z</cp:lastPrinted>
  <dcterms:modified xsi:type="dcterms:W3CDTF">2021-03-04T02:35:56Z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