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color w:val="auto"/>
          <w:sz w:val="72"/>
          <w:szCs w:val="72"/>
        </w:rPr>
      </w:pPr>
      <w:r>
        <w:rPr>
          <w:rFonts w:hint="eastAsia" w:ascii="黑体" w:hAnsi="黑体" w:eastAsia="黑体"/>
          <w:color w:val="auto"/>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-239395</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6"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hint="eastAsia" w:ascii="宋体" w:hAnsi="宋体" w:cs="华文中宋"/>
          <w:b/>
          <w:bCs/>
          <w:color w:val="auto"/>
          <w:sz w:val="72"/>
          <w:szCs w:val="72"/>
          <w:lang w:eastAsia="zh-CN"/>
        </w:rPr>
      </w:pPr>
      <w:r>
        <w:rPr>
          <w:rFonts w:hint="eastAsia" w:ascii="宋体" w:hAnsi="宋体" w:cs="华文中宋"/>
          <w:b/>
          <w:bCs/>
          <w:color w:val="auto"/>
          <w:sz w:val="72"/>
          <w:szCs w:val="72"/>
          <w:lang w:eastAsia="zh-CN"/>
        </w:rPr>
        <w:t>货物类</w:t>
      </w: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公开招标文件</w:t>
      </w:r>
    </w:p>
    <w:p>
      <w:pPr>
        <w:spacing w:line="360" w:lineRule="auto"/>
        <w:jc w:val="center"/>
        <w:rPr>
          <w:rFonts w:ascii="宋体" w:hAnsi="宋体"/>
          <w:b/>
          <w:bCs/>
          <w:color w:val="auto"/>
          <w:sz w:val="28"/>
          <w:szCs w:val="28"/>
        </w:rPr>
      </w:pPr>
    </w:p>
    <w:p>
      <w:pPr>
        <w:spacing w:line="48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8"/>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项目编号：</w:t>
      </w:r>
      <w:r>
        <w:rPr>
          <w:rFonts w:hint="eastAsia" w:ascii="宋体" w:hAnsi="宋体"/>
          <w:b/>
          <w:color w:val="auto"/>
          <w:sz w:val="32"/>
          <w:lang w:eastAsia="zh-CN"/>
        </w:rPr>
        <w:t>GZBC20HG12010</w:t>
      </w:r>
    </w:p>
    <w:p>
      <w:pPr>
        <w:pStyle w:val="8"/>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项目名称：</w:t>
      </w:r>
      <w:r>
        <w:rPr>
          <w:rFonts w:hint="eastAsia" w:ascii="宋体" w:hAnsi="宋体"/>
          <w:b/>
          <w:color w:val="auto"/>
          <w:sz w:val="32"/>
          <w:lang w:eastAsia="zh-CN"/>
        </w:rPr>
        <w:t>2021年市桥街环卫车辆易损件采购项目</w:t>
      </w:r>
    </w:p>
    <w:p>
      <w:pPr>
        <w:pStyle w:val="8"/>
        <w:spacing w:line="360" w:lineRule="auto"/>
        <w:rPr>
          <w:rFonts w:ascii="宋体" w:hAnsi="宋体"/>
          <w:b/>
          <w:color w:val="auto"/>
          <w:sz w:val="32"/>
        </w:rPr>
      </w:pPr>
    </w:p>
    <w:p>
      <w:pPr>
        <w:spacing w:line="360" w:lineRule="auto"/>
        <w:rPr>
          <w:rFonts w:ascii="宋体" w:hAnsi="宋体"/>
          <w:color w:val="auto"/>
          <w:sz w:val="30"/>
        </w:rPr>
      </w:pPr>
    </w:p>
    <w:p>
      <w:pPr>
        <w:snapToGrid w:val="0"/>
        <w:spacing w:line="360" w:lineRule="auto"/>
        <w:jc w:val="center"/>
        <w:rPr>
          <w:rFonts w:ascii="宋体" w:hAnsi="宋体" w:cs="华文中宋"/>
          <w:color w:val="auto"/>
          <w:sz w:val="30"/>
          <w:szCs w:val="30"/>
        </w:rPr>
      </w:pPr>
      <w:r>
        <w:rPr>
          <w:rFonts w:hint="eastAsia" w:ascii="宋体" w:hAnsi="宋体" w:cs="华文中宋"/>
          <w:color w:val="auto"/>
          <w:sz w:val="30"/>
          <w:szCs w:val="30"/>
        </w:rPr>
        <w:t>广州宝诚招标代理咨询有限公司</w:t>
      </w:r>
    </w:p>
    <w:p>
      <w:pPr>
        <w:jc w:val="center"/>
        <w:rPr>
          <w:rFonts w:ascii="宋体" w:hAnsi="宋体" w:cs="华文中宋"/>
          <w:color w:val="auto"/>
          <w:sz w:val="30"/>
          <w:szCs w:val="30"/>
        </w:rPr>
      </w:pPr>
      <w:r>
        <w:rPr>
          <w:rFonts w:hint="eastAsia" w:ascii="宋体" w:hAnsi="宋体" w:cs="华文中宋"/>
          <w:color w:val="auto"/>
          <w:sz w:val="30"/>
          <w:szCs w:val="30"/>
        </w:rPr>
        <w:t>发布日期：202</w:t>
      </w:r>
      <w:r>
        <w:rPr>
          <w:rFonts w:hint="eastAsia" w:ascii="宋体" w:hAnsi="宋体" w:cs="华文中宋"/>
          <w:color w:val="auto"/>
          <w:sz w:val="30"/>
          <w:szCs w:val="30"/>
          <w:lang w:val="en-US" w:eastAsia="zh-CN"/>
        </w:rPr>
        <w:t>0</w:t>
      </w:r>
      <w:r>
        <w:rPr>
          <w:rFonts w:ascii="宋体" w:hAnsi="宋体" w:cs="华文中宋"/>
          <w:color w:val="auto"/>
          <w:sz w:val="30"/>
          <w:szCs w:val="30"/>
        </w:rPr>
        <w:t>年</w:t>
      </w:r>
      <w:r>
        <w:rPr>
          <w:rFonts w:hint="eastAsia" w:ascii="宋体" w:hAnsi="宋体" w:cs="华文中宋"/>
          <w:color w:val="auto"/>
          <w:sz w:val="30"/>
          <w:szCs w:val="30"/>
          <w:lang w:val="en-US" w:eastAsia="zh-CN"/>
        </w:rPr>
        <w:t>12</w:t>
      </w:r>
      <w:r>
        <w:rPr>
          <w:rFonts w:ascii="宋体" w:hAnsi="宋体" w:cs="华文中宋"/>
          <w:color w:val="auto"/>
          <w:sz w:val="30"/>
          <w:szCs w:val="30"/>
        </w:rPr>
        <w:t>月</w:t>
      </w:r>
      <w:r>
        <w:rPr>
          <w:rFonts w:hint="eastAsia" w:ascii="宋体" w:hAnsi="宋体" w:cs="华文中宋"/>
          <w:color w:val="auto"/>
          <w:sz w:val="30"/>
          <w:szCs w:val="30"/>
          <w:lang w:val="en-US" w:eastAsia="zh-CN"/>
        </w:rPr>
        <w:t>31</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br w:type="page"/>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t>温馨提示！！！</w:t>
      </w:r>
    </w:p>
    <w:p>
      <w:pPr>
        <w:tabs>
          <w:tab w:val="left" w:pos="0"/>
        </w:tabs>
        <w:adjustRightInd w:val="0"/>
        <w:snapToGrid w:val="0"/>
        <w:spacing w:line="360" w:lineRule="auto"/>
        <w:jc w:val="center"/>
        <w:rPr>
          <w:rFonts w:ascii="宋体" w:hAnsi="宋体"/>
          <w:b/>
          <w:color w:val="auto"/>
          <w:szCs w:val="21"/>
        </w:rPr>
      </w:pPr>
      <w:r>
        <w:rPr>
          <w:rFonts w:hint="eastAsia" w:ascii="宋体" w:hAnsi="宋体"/>
          <w:b/>
          <w:color w:val="auto"/>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如无另行说明，提交投标文件时间为投标截止时间</w:t>
      </w:r>
      <w:r>
        <w:rPr>
          <w:rFonts w:hint="eastAsia" w:ascii="宋体" w:hAnsi="宋体"/>
          <w:b/>
          <w:color w:val="auto"/>
          <w:szCs w:val="21"/>
          <w:u w:val="single"/>
        </w:rPr>
        <w:t>前30分钟</w:t>
      </w:r>
      <w:r>
        <w:rPr>
          <w:rFonts w:hint="eastAsia" w:ascii="宋体" w:hAnsi="宋体"/>
          <w:color w:val="auto"/>
          <w:szCs w:val="21"/>
        </w:rPr>
        <w:t>内。</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为避免因迟到而失去投标资格，请</w:t>
      </w:r>
      <w:r>
        <w:rPr>
          <w:rFonts w:hint="eastAsia" w:ascii="宋体" w:hAnsi="宋体"/>
          <w:b/>
          <w:color w:val="auto"/>
          <w:szCs w:val="21"/>
          <w:u w:val="single"/>
        </w:rPr>
        <w:t>适当提前到达</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投标文件应按顺序</w:t>
      </w:r>
      <w:r>
        <w:rPr>
          <w:rFonts w:hint="eastAsia" w:ascii="宋体" w:hAnsi="宋体"/>
          <w:b/>
          <w:color w:val="auto"/>
          <w:szCs w:val="21"/>
          <w:u w:val="single"/>
        </w:rPr>
        <w:t>编制页码</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请仔细检查投标文件是否已按招标文件要求</w:t>
      </w:r>
      <w:r>
        <w:rPr>
          <w:rFonts w:hint="eastAsia" w:ascii="宋体" w:hAnsi="宋体"/>
          <w:b/>
          <w:color w:val="auto"/>
          <w:szCs w:val="21"/>
          <w:u w:val="single"/>
        </w:rPr>
        <w:t>盖公章、签名、签署日期</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rPr>
      </w:pPr>
      <w:r>
        <w:rPr>
          <w:rFonts w:hint="eastAsia" w:ascii="宋体" w:hAnsi="宋体"/>
          <w:color w:val="auto"/>
          <w:szCs w:val="21"/>
        </w:rPr>
        <w:t>请正确填写《开标一览表（报价表）》。多包组项目请仔细检查包组号，包组号与包组采购内</w:t>
      </w:r>
      <w:r>
        <w:rPr>
          <w:rFonts w:hint="eastAsia" w:ascii="宋体" w:hAnsi="宋体"/>
          <w:color w:val="auto"/>
        </w:rPr>
        <w:t>容必须对应。</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color w:val="auto"/>
          <w:szCs w:val="21"/>
        </w:rPr>
      </w:pPr>
      <w:r>
        <w:rPr>
          <w:rFonts w:hint="eastAsia" w:ascii="宋体" w:hAnsi="宋体"/>
          <w:color w:val="auto"/>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color w:val="auto"/>
          <w:szCs w:val="21"/>
        </w:rPr>
      </w:pPr>
      <w:r>
        <w:rPr>
          <w:rFonts w:hint="eastAsia" w:ascii="宋体" w:hAnsi="宋体"/>
          <w:b/>
          <w:color w:val="auto"/>
          <w:szCs w:val="21"/>
        </w:rPr>
        <w:t>九、招标代理服务费发票类型开具须知：</w:t>
      </w:r>
      <w:r>
        <w:rPr>
          <w:rFonts w:hint="eastAsia" w:ascii="宋体" w:hAnsi="宋体"/>
          <w:color w:val="auto"/>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color w:val="auto"/>
          <w:sz w:val="44"/>
          <w:szCs w:val="44"/>
        </w:rPr>
      </w:pP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br w:type="page"/>
      </w: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14"/>
        <w:tabs>
          <w:tab w:val="right" w:leader="dot" w:pos="9746"/>
          <w:tab w:val="clear" w:pos="9060"/>
        </w:tabs>
        <w:rPr>
          <w:color w:val="auto"/>
        </w:rPr>
      </w:pPr>
      <w:r>
        <w:rPr>
          <w:b w:val="0"/>
          <w:color w:val="auto"/>
          <w:sz w:val="32"/>
          <w:szCs w:val="32"/>
        </w:rPr>
        <w:fldChar w:fldCharType="begin"/>
      </w:r>
      <w:r>
        <w:rPr>
          <w:rStyle w:val="20"/>
          <w:b w:val="0"/>
          <w:color w:val="auto"/>
          <w:sz w:val="32"/>
          <w:szCs w:val="32"/>
        </w:rPr>
        <w:instrText xml:space="preserve"> TOC \o "1-1" \h \z \u </w:instrText>
      </w:r>
      <w:r>
        <w:rPr>
          <w:b w:val="0"/>
          <w:color w:val="auto"/>
          <w:sz w:val="32"/>
          <w:szCs w:val="32"/>
        </w:rPr>
        <w:fldChar w:fldCharType="separate"/>
      </w:r>
      <w:r>
        <w:rPr>
          <w:color w:val="auto"/>
        </w:rPr>
        <w:fldChar w:fldCharType="begin"/>
      </w:r>
      <w:r>
        <w:rPr>
          <w:color w:val="auto"/>
        </w:rPr>
        <w:instrText xml:space="preserve"> HYPERLINK \l "_Toc6220" </w:instrText>
      </w:r>
      <w:r>
        <w:rPr>
          <w:color w:val="auto"/>
        </w:rPr>
        <w:fldChar w:fldCharType="separate"/>
      </w:r>
      <w:r>
        <w:rPr>
          <w:rFonts w:hint="eastAsia"/>
          <w:bCs/>
          <w:color w:val="auto"/>
        </w:rPr>
        <w:t>第一章  投标邀请函</w:t>
      </w:r>
      <w:r>
        <w:rPr>
          <w:color w:val="auto"/>
        </w:rPr>
        <w:tab/>
      </w:r>
      <w:r>
        <w:rPr>
          <w:color w:val="auto"/>
        </w:rPr>
        <w:fldChar w:fldCharType="begin"/>
      </w:r>
      <w:r>
        <w:rPr>
          <w:color w:val="auto"/>
        </w:rPr>
        <w:instrText xml:space="preserve"> PAGEREF _Toc6220 </w:instrText>
      </w:r>
      <w:r>
        <w:rPr>
          <w:color w:val="auto"/>
        </w:rPr>
        <w:fldChar w:fldCharType="separate"/>
      </w:r>
      <w:r>
        <w:rPr>
          <w:color w:val="auto"/>
        </w:rPr>
        <w:t>4</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"_Toc20713" </w:instrText>
      </w:r>
      <w:r>
        <w:rPr>
          <w:color w:val="auto"/>
        </w:rPr>
        <w:fldChar w:fldCharType="separate"/>
      </w:r>
      <w:r>
        <w:rPr>
          <w:bCs/>
          <w:color w:val="auto"/>
        </w:rPr>
        <w:t>第</w:t>
      </w:r>
      <w:r>
        <w:rPr>
          <w:rFonts w:hint="eastAsia"/>
          <w:bCs/>
          <w:color w:val="auto"/>
        </w:rPr>
        <w:t>二</w:t>
      </w:r>
      <w:r>
        <w:rPr>
          <w:bCs/>
          <w:color w:val="auto"/>
        </w:rPr>
        <w:t>章  投标资料表</w:t>
      </w:r>
      <w:r>
        <w:rPr>
          <w:color w:val="auto"/>
        </w:rPr>
        <w:tab/>
      </w:r>
      <w:r>
        <w:rPr>
          <w:color w:val="auto"/>
        </w:rPr>
        <w:fldChar w:fldCharType="begin"/>
      </w:r>
      <w:r>
        <w:rPr>
          <w:color w:val="auto"/>
        </w:rPr>
        <w:instrText xml:space="preserve"> PAGEREF _Toc20713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"_Toc8409" </w:instrText>
      </w:r>
      <w:r>
        <w:rPr>
          <w:color w:val="auto"/>
        </w:rPr>
        <w:fldChar w:fldCharType="separate"/>
      </w:r>
      <w:r>
        <w:rPr>
          <w:rFonts w:hint="eastAsia"/>
          <w:bCs/>
          <w:color w:val="auto"/>
        </w:rPr>
        <w:t>第三章  评分体系与标准</w:t>
      </w:r>
      <w:r>
        <w:rPr>
          <w:color w:val="auto"/>
        </w:rPr>
        <w:tab/>
      </w:r>
      <w:r>
        <w:rPr>
          <w:color w:val="auto"/>
        </w:rPr>
        <w:fldChar w:fldCharType="begin"/>
      </w:r>
      <w:r>
        <w:rPr>
          <w:color w:val="auto"/>
        </w:rPr>
        <w:instrText xml:space="preserve"> PAGEREF _Toc8409 </w:instrText>
      </w:r>
      <w:r>
        <w:rPr>
          <w:color w:val="auto"/>
        </w:rPr>
        <w:fldChar w:fldCharType="separate"/>
      </w:r>
      <w:r>
        <w:rPr>
          <w:color w:val="auto"/>
        </w:rPr>
        <w:t>9</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"_Toc20368" </w:instrText>
      </w:r>
      <w:r>
        <w:rPr>
          <w:color w:val="auto"/>
        </w:rPr>
        <w:fldChar w:fldCharType="separate"/>
      </w:r>
      <w:r>
        <w:rPr>
          <w:rFonts w:hint="eastAsia"/>
          <w:bCs/>
          <w:color w:val="auto"/>
        </w:rPr>
        <w:t>第四章  用户需求书</w:t>
      </w:r>
      <w:r>
        <w:rPr>
          <w:color w:val="auto"/>
        </w:rPr>
        <w:tab/>
      </w:r>
      <w:r>
        <w:rPr>
          <w:color w:val="auto"/>
        </w:rPr>
        <w:fldChar w:fldCharType="begin"/>
      </w:r>
      <w:r>
        <w:rPr>
          <w:color w:val="auto"/>
        </w:rPr>
        <w:instrText xml:space="preserve"> PAGEREF _Toc20368 </w:instrText>
      </w:r>
      <w:r>
        <w:rPr>
          <w:color w:val="auto"/>
        </w:rPr>
        <w:fldChar w:fldCharType="separate"/>
      </w:r>
      <w:r>
        <w:rPr>
          <w:color w:val="auto"/>
        </w:rPr>
        <w:t>20</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"_Toc7494" </w:instrText>
      </w:r>
      <w:r>
        <w:rPr>
          <w:color w:val="auto"/>
        </w:rPr>
        <w:fldChar w:fldCharType="separate"/>
      </w:r>
      <w:r>
        <w:rPr>
          <w:rFonts w:hint="eastAsia"/>
          <w:bCs/>
          <w:color w:val="auto"/>
        </w:rPr>
        <w:t>第五章  合同通用条款</w:t>
      </w:r>
      <w:r>
        <w:rPr>
          <w:color w:val="auto"/>
        </w:rPr>
        <w:tab/>
      </w:r>
      <w:r>
        <w:rPr>
          <w:color w:val="auto"/>
        </w:rPr>
        <w:fldChar w:fldCharType="begin"/>
      </w:r>
      <w:r>
        <w:rPr>
          <w:color w:val="auto"/>
        </w:rPr>
        <w:instrText xml:space="preserve"> PAGEREF _Toc7494 </w:instrText>
      </w:r>
      <w:r>
        <w:rPr>
          <w:color w:val="auto"/>
        </w:rPr>
        <w:fldChar w:fldCharType="separate"/>
      </w:r>
      <w:r>
        <w:rPr>
          <w:color w:val="auto"/>
        </w:rPr>
        <w:t>48</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"_Toc13439" </w:instrText>
      </w:r>
      <w:r>
        <w:rPr>
          <w:color w:val="auto"/>
        </w:rPr>
        <w:fldChar w:fldCharType="separate"/>
      </w:r>
      <w:r>
        <w:rPr>
          <w:rFonts w:hint="eastAsia"/>
          <w:bCs/>
          <w:color w:val="auto"/>
        </w:rPr>
        <w:t>第六章  投标文件格式</w:t>
      </w:r>
      <w:r>
        <w:rPr>
          <w:color w:val="auto"/>
        </w:rPr>
        <w:tab/>
      </w:r>
      <w:r>
        <w:rPr>
          <w:color w:val="auto"/>
        </w:rPr>
        <w:fldChar w:fldCharType="begin"/>
      </w:r>
      <w:r>
        <w:rPr>
          <w:color w:val="auto"/>
        </w:rPr>
        <w:instrText xml:space="preserve"> PAGEREF _Toc13439 </w:instrText>
      </w:r>
      <w:r>
        <w:rPr>
          <w:color w:val="auto"/>
        </w:rPr>
        <w:fldChar w:fldCharType="separate"/>
      </w:r>
      <w:r>
        <w:rPr>
          <w:color w:val="auto"/>
        </w:rPr>
        <w:t>52</w:t>
      </w:r>
      <w:r>
        <w:rPr>
          <w:color w:val="auto"/>
        </w:rPr>
        <w:fldChar w:fldCharType="end"/>
      </w:r>
      <w:r>
        <w:rPr>
          <w:color w:val="auto"/>
        </w:rPr>
        <w:fldChar w:fldCharType="end"/>
      </w:r>
    </w:p>
    <w:p>
      <w:pPr>
        <w:ind w:left="2940" w:leftChars="1400"/>
        <w:jc w:val="left"/>
        <w:rPr>
          <w:rFonts w:cs="Calibri"/>
          <w:color w:val="auto"/>
          <w:sz w:val="32"/>
          <w:szCs w:val="32"/>
          <w:shd w:val="clear" w:color="FFFFFF" w:fill="D9D9D9"/>
        </w:rPr>
      </w:pPr>
      <w:r>
        <w:rPr>
          <w:rFonts w:cs="Calibri"/>
          <w:color w:val="auto"/>
          <w:szCs w:val="32"/>
        </w:rPr>
        <w:fldChar w:fldCharType="end"/>
      </w:r>
    </w:p>
    <w:p>
      <w:pPr>
        <w:rPr>
          <w:rFonts w:cs="Calibri"/>
          <w:color w:val="auto"/>
          <w:sz w:val="32"/>
          <w:szCs w:val="32"/>
        </w:rPr>
      </w:pPr>
      <w:r>
        <w:rPr>
          <w:rFonts w:cs="Calibri"/>
          <w:color w:val="auto"/>
          <w:sz w:val="32"/>
          <w:szCs w:val="32"/>
        </w:rPr>
        <w:br w:type="page"/>
      </w:r>
      <w:bookmarkStart w:id="106" w:name="_GoBack"/>
      <w:bookmarkEnd w:id="106"/>
    </w:p>
    <w:p>
      <w:pPr>
        <w:pStyle w:val="14"/>
        <w:rPr>
          <w:color w:val="auto"/>
          <w:sz w:val="24"/>
        </w:rPr>
      </w:pPr>
      <w:bookmarkStart w:id="0" w:name="_Toc463018928"/>
      <w:bookmarkStart w:id="1" w:name="_Toc480529433"/>
      <w:r>
        <w:rPr>
          <w:rFonts w:hint="eastAsia"/>
          <w:color w:val="auto"/>
        </w:rPr>
        <w:t>（专用条款）</w:t>
      </w:r>
      <w:bookmarkEnd w:id="0"/>
      <w:bookmarkEnd w:id="1"/>
    </w:p>
    <w:p>
      <w:pPr>
        <w:adjustRightInd w:val="0"/>
        <w:snapToGrid w:val="0"/>
        <w:spacing w:beforeLines="50" w:afterLines="50"/>
        <w:jc w:val="center"/>
        <w:outlineLvl w:val="0"/>
        <w:rPr>
          <w:rFonts w:ascii="宋体" w:hAnsi="宋体"/>
          <w:b/>
          <w:bCs/>
          <w:color w:val="auto"/>
          <w:sz w:val="30"/>
          <w:szCs w:val="30"/>
        </w:rPr>
      </w:pPr>
      <w:bookmarkStart w:id="2" w:name="_Toc463018929"/>
      <w:bookmarkStart w:id="3" w:name="_Toc480529434"/>
      <w:bookmarkStart w:id="4" w:name="_Toc6220"/>
      <w:r>
        <w:rPr>
          <w:rFonts w:hint="eastAsia" w:ascii="宋体" w:hAnsi="宋体"/>
          <w:b/>
          <w:bCs/>
          <w:color w:val="auto"/>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color w:val="auto"/>
          <w:szCs w:val="20"/>
        </w:rPr>
      </w:pPr>
      <w:r>
        <w:rPr>
          <w:rFonts w:hint="eastAsia" w:ascii="宋体" w:hAnsi="宋体"/>
          <w:bCs/>
          <w:color w:val="auto"/>
          <w:szCs w:val="20"/>
        </w:rPr>
        <w:t>广州宝诚招标代理咨询有限公司（</w:t>
      </w:r>
      <w:r>
        <w:rPr>
          <w:rFonts w:ascii="宋体" w:hAnsi="宋体"/>
          <w:bCs/>
          <w:color w:val="auto"/>
          <w:szCs w:val="20"/>
        </w:rPr>
        <w:t>以下简称</w:t>
      </w:r>
      <w:r>
        <w:rPr>
          <w:rFonts w:hint="eastAsia" w:ascii="宋体" w:hAnsi="宋体"/>
          <w:bCs/>
          <w:color w:val="auto"/>
          <w:szCs w:val="20"/>
        </w:rPr>
        <w:t>‘</w:t>
      </w:r>
      <w:r>
        <w:rPr>
          <w:rFonts w:ascii="宋体" w:hAnsi="宋体"/>
          <w:bCs/>
          <w:color w:val="auto"/>
          <w:szCs w:val="20"/>
        </w:rPr>
        <w:t>采购代理机构</w:t>
      </w:r>
      <w:r>
        <w:rPr>
          <w:rFonts w:hint="eastAsia" w:ascii="宋体" w:hAnsi="宋体"/>
          <w:bCs/>
          <w:color w:val="auto"/>
          <w:szCs w:val="20"/>
        </w:rPr>
        <w:t>’）受</w:t>
      </w:r>
      <w:r>
        <w:rPr>
          <w:rFonts w:hint="eastAsia" w:ascii="宋体" w:hAnsi="宋体"/>
          <w:color w:val="auto"/>
          <w:szCs w:val="21"/>
          <w:lang w:eastAsia="zh-CN"/>
        </w:rPr>
        <w:t>广州市番禺区市桥街农业技术服务中心</w:t>
      </w:r>
      <w:r>
        <w:rPr>
          <w:rFonts w:hint="eastAsia" w:ascii="宋体" w:hAnsi="宋体"/>
          <w:bCs/>
          <w:color w:val="auto"/>
          <w:szCs w:val="20"/>
        </w:rPr>
        <w:t>（以下简称‘采购人’）的委托</w:t>
      </w:r>
      <w:r>
        <w:rPr>
          <w:rFonts w:hint="eastAsia" w:ascii="宋体" w:hAnsi="宋体"/>
          <w:bCs/>
          <w:color w:val="auto"/>
          <w:szCs w:val="21"/>
        </w:rPr>
        <w:t>，对</w:t>
      </w:r>
      <w:r>
        <w:rPr>
          <w:rFonts w:hint="eastAsia" w:ascii="宋体" w:hAnsi="宋体"/>
          <w:color w:val="auto"/>
          <w:szCs w:val="21"/>
          <w:lang w:eastAsia="zh-CN"/>
        </w:rPr>
        <w:t>2021年市桥街环卫车辆易损件采购项目</w:t>
      </w:r>
      <w:r>
        <w:rPr>
          <w:rFonts w:hint="eastAsia" w:ascii="宋体" w:hAnsi="宋体"/>
          <w:bCs/>
          <w:color w:val="auto"/>
          <w:szCs w:val="21"/>
        </w:rPr>
        <w:t>进行公开招标采购，</w:t>
      </w:r>
      <w:r>
        <w:rPr>
          <w:rFonts w:hint="eastAsia" w:ascii="宋体" w:hAnsi="宋体"/>
          <w:color w:val="auto"/>
          <w:szCs w:val="21"/>
        </w:rPr>
        <w:t>欢迎</w:t>
      </w:r>
      <w:r>
        <w:rPr>
          <w:rFonts w:hint="eastAsia" w:ascii="宋体" w:hAnsi="宋体"/>
          <w:color w:val="auto"/>
        </w:rPr>
        <w:t>符合条件的</w:t>
      </w:r>
      <w:r>
        <w:rPr>
          <w:rFonts w:hint="eastAsia" w:ascii="宋体" w:hAnsi="宋体"/>
          <w:bCs/>
          <w:color w:val="auto"/>
          <w:szCs w:val="21"/>
        </w:rPr>
        <w:t>供应商</w:t>
      </w:r>
      <w:r>
        <w:rPr>
          <w:rFonts w:hint="eastAsia" w:ascii="宋体" w:hAnsi="宋体"/>
          <w:color w:val="auto"/>
        </w:rPr>
        <w:t>投标。</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采购项目编号：</w:t>
      </w:r>
      <w:r>
        <w:rPr>
          <w:rFonts w:hint="eastAsia" w:ascii="宋体" w:hAnsi="宋体"/>
          <w:color w:val="auto"/>
          <w:lang w:eastAsia="zh-CN"/>
        </w:rPr>
        <w:t>GZBC20HG12010</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采购项目名称：</w:t>
      </w:r>
      <w:r>
        <w:rPr>
          <w:rFonts w:hint="eastAsia" w:ascii="宋体" w:hAnsi="宋体"/>
          <w:color w:val="auto"/>
          <w:lang w:eastAsia="zh-CN"/>
        </w:rPr>
        <w:t>2021年市桥街环卫车辆易损件采购项目</w:t>
      </w:r>
    </w:p>
    <w:p>
      <w:pPr>
        <w:numPr>
          <w:ilvl w:val="0"/>
          <w:numId w:val="3"/>
        </w:numPr>
        <w:adjustRightInd w:val="0"/>
        <w:snapToGrid w:val="0"/>
        <w:spacing w:line="360" w:lineRule="auto"/>
        <w:rPr>
          <w:rFonts w:ascii="宋体" w:hAnsi="宋体"/>
          <w:bCs/>
          <w:color w:val="auto"/>
          <w:szCs w:val="20"/>
        </w:rPr>
      </w:pPr>
      <w:r>
        <w:rPr>
          <w:rFonts w:hint="eastAsia" w:ascii="宋体" w:hAnsi="宋体" w:cs="宋体"/>
          <w:color w:val="auto"/>
          <w:szCs w:val="21"/>
        </w:rPr>
        <w:t xml:space="preserve">采购项目预算金额：人民币 </w:t>
      </w:r>
      <w:r>
        <w:rPr>
          <w:rFonts w:hint="eastAsia" w:ascii="宋体" w:hAnsi="宋体" w:cs="宋体"/>
          <w:color w:val="auto"/>
          <w:szCs w:val="21"/>
          <w:lang w:eastAsia="zh-CN"/>
        </w:rPr>
        <w:t>383万元</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采购数量：1项</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服务详细技术要求：详见招标文件中的“用户需求书”</w:t>
      </w:r>
      <w:r>
        <w:rPr>
          <w:rFonts w:hint="eastAsia" w:ascii="宋体" w:hAnsi="宋体"/>
          <w:bCs/>
          <w:color w:val="auto"/>
          <w:szCs w:val="21"/>
        </w:rPr>
        <w:t>。</w:t>
      </w:r>
    </w:p>
    <w:tbl>
      <w:tblPr>
        <w:tblStyle w:val="22"/>
        <w:tblpPr w:leftFromText="180" w:rightFromText="180" w:vertAnchor="text" w:horzAnchor="page" w:tblpX="1195" w:tblpY="95"/>
        <w:tblOverlap w:val="never"/>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7"/>
        <w:gridCol w:w="3678"/>
        <w:gridCol w:w="1965"/>
        <w:gridCol w:w="2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54" w:hRule="atLeast"/>
        </w:trPr>
        <w:tc>
          <w:tcPr>
            <w:tcW w:w="1737" w:type="dxa"/>
            <w:vAlign w:val="center"/>
          </w:tcPr>
          <w:p>
            <w:pPr>
              <w:jc w:val="center"/>
              <w:rPr>
                <w:rFonts w:ascii="宋体" w:hAnsi="宋体"/>
                <w:b/>
                <w:color w:val="auto"/>
                <w:szCs w:val="21"/>
              </w:rPr>
            </w:pPr>
            <w:r>
              <w:rPr>
                <w:rFonts w:hint="eastAsia" w:ascii="宋体" w:hAnsi="宋体"/>
                <w:b/>
                <w:color w:val="auto"/>
                <w:szCs w:val="21"/>
              </w:rPr>
              <w:t>包组号</w:t>
            </w:r>
          </w:p>
        </w:tc>
        <w:tc>
          <w:tcPr>
            <w:tcW w:w="3678" w:type="dxa"/>
            <w:vAlign w:val="center"/>
          </w:tcPr>
          <w:p>
            <w:pPr>
              <w:jc w:val="center"/>
              <w:rPr>
                <w:rFonts w:ascii="宋体" w:hAnsi="宋体"/>
                <w:b/>
                <w:color w:val="auto"/>
                <w:szCs w:val="21"/>
              </w:rPr>
            </w:pPr>
            <w:r>
              <w:rPr>
                <w:rFonts w:hint="eastAsia" w:ascii="宋体" w:hAnsi="宋体"/>
                <w:b/>
                <w:color w:val="auto"/>
                <w:szCs w:val="21"/>
              </w:rPr>
              <w:t>项目内容</w:t>
            </w:r>
          </w:p>
        </w:tc>
        <w:tc>
          <w:tcPr>
            <w:tcW w:w="1965" w:type="dxa"/>
            <w:vAlign w:val="center"/>
          </w:tcPr>
          <w:p>
            <w:pPr>
              <w:jc w:val="center"/>
              <w:rPr>
                <w:rFonts w:ascii="宋体" w:hAnsi="宋体"/>
                <w:b/>
                <w:color w:val="auto"/>
                <w:szCs w:val="21"/>
              </w:rPr>
            </w:pPr>
            <w:r>
              <w:rPr>
                <w:rFonts w:hint="eastAsia" w:ascii="宋体" w:hAnsi="宋体"/>
                <w:b/>
                <w:color w:val="auto"/>
                <w:szCs w:val="21"/>
              </w:rPr>
              <w:t>数量</w:t>
            </w:r>
          </w:p>
        </w:tc>
        <w:tc>
          <w:tcPr>
            <w:tcW w:w="2582" w:type="dxa"/>
            <w:vAlign w:val="center"/>
          </w:tcPr>
          <w:p>
            <w:pPr>
              <w:jc w:val="center"/>
              <w:rPr>
                <w:rFonts w:ascii="宋体" w:hAnsi="宋体"/>
                <w:b/>
                <w:color w:val="auto"/>
                <w:szCs w:val="21"/>
              </w:rPr>
            </w:pPr>
            <w:r>
              <w:rPr>
                <w:rFonts w:hint="eastAsia" w:ascii="宋体" w:hAnsi="宋体"/>
                <w:b/>
                <w:color w:val="auto"/>
                <w:szCs w:val="21"/>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02" w:hRule="atLeast"/>
        </w:trPr>
        <w:tc>
          <w:tcPr>
            <w:tcW w:w="1737" w:type="dxa"/>
            <w:vAlign w:val="center"/>
          </w:tcPr>
          <w:p>
            <w:pPr>
              <w:spacing w:line="380" w:lineRule="exact"/>
              <w:jc w:val="center"/>
              <w:rPr>
                <w:rFonts w:ascii="宋体" w:hAnsi="宋体"/>
                <w:color w:val="auto"/>
                <w:szCs w:val="21"/>
              </w:rPr>
            </w:pPr>
            <w:r>
              <w:rPr>
                <w:rFonts w:hint="eastAsia" w:ascii="宋体" w:hAnsi="宋体"/>
                <w:color w:val="auto"/>
                <w:szCs w:val="21"/>
              </w:rPr>
              <w:t>包组一</w:t>
            </w:r>
          </w:p>
        </w:tc>
        <w:tc>
          <w:tcPr>
            <w:tcW w:w="367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环卫车辆易损件和用品类</w:t>
            </w:r>
          </w:p>
        </w:tc>
        <w:tc>
          <w:tcPr>
            <w:tcW w:w="1965"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582"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w:t>
            </w:r>
            <w:r>
              <w:rPr>
                <w:rFonts w:ascii="宋体" w:hAnsi="宋体"/>
                <w:color w:val="auto"/>
                <w:szCs w:val="21"/>
              </w:rPr>
              <w:t>293</w:t>
            </w: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trPr>
        <w:tc>
          <w:tcPr>
            <w:tcW w:w="1737" w:type="dxa"/>
            <w:vAlign w:val="center"/>
          </w:tcPr>
          <w:p>
            <w:pPr>
              <w:spacing w:line="380" w:lineRule="exact"/>
              <w:jc w:val="center"/>
              <w:rPr>
                <w:rFonts w:ascii="宋体" w:hAnsi="宋体"/>
                <w:color w:val="auto"/>
                <w:szCs w:val="21"/>
              </w:rPr>
            </w:pPr>
            <w:r>
              <w:rPr>
                <w:rFonts w:hint="eastAsia" w:ascii="宋体" w:hAnsi="宋体"/>
                <w:color w:val="auto"/>
                <w:szCs w:val="21"/>
              </w:rPr>
              <w:t>包组二</w:t>
            </w:r>
          </w:p>
        </w:tc>
        <w:tc>
          <w:tcPr>
            <w:tcW w:w="367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轮胎</w:t>
            </w:r>
          </w:p>
        </w:tc>
        <w:tc>
          <w:tcPr>
            <w:tcW w:w="1965"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582"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人民币5</w:t>
            </w:r>
            <w:r>
              <w:rPr>
                <w:rFonts w:ascii="宋体" w:hAnsi="宋体"/>
                <w:color w:val="auto"/>
                <w:szCs w:val="21"/>
              </w:rPr>
              <w:t>0</w:t>
            </w:r>
            <w:r>
              <w:rPr>
                <w:rFonts w:hint="eastAsia" w:ascii="宋体" w:hAnsi="宋体"/>
                <w:color w:val="auto"/>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trPr>
        <w:tc>
          <w:tcPr>
            <w:tcW w:w="1737" w:type="dxa"/>
            <w:vAlign w:val="center"/>
          </w:tcPr>
          <w:p>
            <w:pPr>
              <w:spacing w:line="380" w:lineRule="exact"/>
              <w:jc w:val="center"/>
              <w:rPr>
                <w:rFonts w:ascii="宋体" w:hAnsi="宋体"/>
                <w:color w:val="auto"/>
                <w:szCs w:val="21"/>
              </w:rPr>
            </w:pPr>
            <w:r>
              <w:rPr>
                <w:rFonts w:hint="eastAsia" w:ascii="宋体" w:hAnsi="宋体"/>
                <w:color w:val="auto"/>
                <w:szCs w:val="21"/>
              </w:rPr>
              <w:t>包组三</w:t>
            </w:r>
          </w:p>
        </w:tc>
        <w:tc>
          <w:tcPr>
            <w:tcW w:w="367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润滑油</w:t>
            </w:r>
          </w:p>
        </w:tc>
        <w:tc>
          <w:tcPr>
            <w:tcW w:w="1965"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582"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w:t>
            </w:r>
            <w:r>
              <w:rPr>
                <w:rFonts w:ascii="宋体" w:hAnsi="宋体"/>
                <w:color w:val="auto"/>
                <w:szCs w:val="21"/>
              </w:rPr>
              <w:t>40</w:t>
            </w:r>
            <w:r>
              <w:rPr>
                <w:rFonts w:hint="eastAsia" w:ascii="宋体" w:hAnsi="宋体"/>
                <w:color w:val="auto"/>
                <w:szCs w:val="21"/>
              </w:rPr>
              <w:t xml:space="preserve"> 万元</w:t>
            </w:r>
          </w:p>
        </w:tc>
      </w:tr>
    </w:tbl>
    <w:p>
      <w:pPr>
        <w:pStyle w:val="2"/>
        <w:ind w:left="0" w:leftChars="0" w:firstLine="0" w:firstLineChars="0"/>
        <w:rPr>
          <w:color w:val="auto"/>
        </w:rPr>
      </w:pP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等等。</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color w:val="auto"/>
          <w:szCs w:val="20"/>
        </w:rPr>
      </w:pPr>
      <w:r>
        <w:rPr>
          <w:rFonts w:hint="eastAsia" w:ascii="宋体" w:hAnsi="宋体"/>
          <w:bCs/>
          <w:color w:val="auto"/>
          <w:szCs w:val="20"/>
        </w:rPr>
        <w:t>供应商资格：</w:t>
      </w:r>
      <w:r>
        <w:rPr>
          <w:rFonts w:hint="eastAsia" w:ascii="宋体" w:hAnsi="宋体"/>
          <w:bCs/>
          <w:color w:val="auto"/>
          <w:szCs w:val="20"/>
        </w:rPr>
        <w:tab/>
      </w:r>
    </w:p>
    <w:p>
      <w:pPr>
        <w:numPr>
          <w:ilvl w:val="0"/>
          <w:numId w:val="5"/>
        </w:numPr>
        <w:adjustRightInd w:val="0"/>
        <w:snapToGrid w:val="0"/>
        <w:spacing w:line="360" w:lineRule="auto"/>
        <w:rPr>
          <w:rFonts w:ascii="宋体" w:hAnsi="宋体"/>
          <w:bCs/>
          <w:color w:val="auto"/>
          <w:szCs w:val="20"/>
        </w:rPr>
      </w:pPr>
      <w:r>
        <w:rPr>
          <w:rFonts w:hint="eastAsia" w:ascii="宋体" w:hAnsi="宋体"/>
          <w:bCs/>
          <w:color w:val="auto"/>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lang w:eastAsia="zh-CN"/>
        </w:rPr>
        <w:t>2019年财务状况报告复印件</w:t>
      </w:r>
      <w:r>
        <w:rPr>
          <w:rFonts w:hint="eastAsia" w:ascii="宋体" w:hAnsi="宋体"/>
          <w:bCs/>
          <w:color w:val="auto"/>
          <w:szCs w:val="21"/>
        </w:rPr>
        <w:t>，其他组织或投标人新成立不足一年，提供银行出具的资信证明材料复印件；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lang w:eastAsia="zh-CN"/>
        </w:rPr>
        <w:t>2020年开具的缴纳税收的凭据证明材料复印件</w:t>
      </w:r>
      <w:r>
        <w:rPr>
          <w:rFonts w:hint="eastAsia" w:ascii="宋体" w:hAnsi="宋体"/>
          <w:bCs/>
          <w:color w:val="auto"/>
          <w:szCs w:val="20"/>
        </w:rPr>
        <w:t>；如依法免税的，应提供相应文件证明其依法免税；</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lang w:eastAsia="zh-CN"/>
        </w:rPr>
        <w:t>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spacing w:line="360" w:lineRule="auto"/>
        <w:rPr>
          <w:rFonts w:ascii="宋体" w:hAnsi="宋体" w:cs="宋体"/>
          <w:bCs/>
          <w:color w:val="auto"/>
          <w:kern w:val="0"/>
          <w:szCs w:val="21"/>
        </w:rPr>
      </w:pPr>
      <w:r>
        <w:rPr>
          <w:rFonts w:hint="eastAsia" w:ascii="宋体" w:hAnsi="宋体" w:cs="新宋体"/>
          <w:color w:val="auto"/>
        </w:rPr>
        <w:t>2.   提供</w:t>
      </w:r>
      <w:r>
        <w:rPr>
          <w:rFonts w:hint="eastAsia" w:ascii="宋体" w:hAnsi="宋体" w:cs="宋体"/>
          <w:bCs/>
          <w:color w:val="auto"/>
          <w:kern w:val="0"/>
          <w:szCs w:val="21"/>
        </w:rPr>
        <w:t>《公平竞争承诺书》原件。</w:t>
      </w:r>
    </w:p>
    <w:p>
      <w:p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3.   已办理报名及登记手续购买本招标文件的供应商。</w:t>
      </w:r>
    </w:p>
    <w:p>
      <w:pPr>
        <w:pStyle w:val="8"/>
        <w:rPr>
          <w:rFonts w:ascii="宋体" w:hAnsi="宋体"/>
          <w:b/>
          <w:color w:val="auto"/>
          <w:szCs w:val="21"/>
        </w:rPr>
      </w:pPr>
      <w:r>
        <w:rPr>
          <w:rFonts w:hint="eastAsia"/>
          <w:color w:val="auto"/>
        </w:rPr>
        <w:t xml:space="preserve">4.    </w:t>
      </w:r>
      <w:r>
        <w:rPr>
          <w:rFonts w:hint="eastAsia" w:asciiTheme="minorEastAsia" w:hAnsiTheme="minorEastAsia" w:eastAsiaTheme="minorEastAsia" w:cstheme="minorEastAsia"/>
          <w:color w:val="auto"/>
          <w:kern w:val="28"/>
          <w:sz w:val="21"/>
          <w:szCs w:val="21"/>
        </w:rPr>
        <w:t>本项目不接受联合体投标。</w:t>
      </w:r>
    </w:p>
    <w:p>
      <w:pPr>
        <w:numPr>
          <w:ilvl w:val="0"/>
          <w:numId w:val="3"/>
        </w:numPr>
        <w:adjustRightInd w:val="0"/>
        <w:snapToGrid w:val="0"/>
        <w:spacing w:line="360" w:lineRule="auto"/>
        <w:rPr>
          <w:rFonts w:ascii="宋体" w:hAnsi="宋体" w:cs="宋体"/>
          <w:b/>
          <w:color w:val="auto"/>
          <w:szCs w:val="21"/>
        </w:rPr>
      </w:pPr>
      <w:r>
        <w:rPr>
          <w:rFonts w:hint="eastAsia" w:ascii="宋体" w:hAnsi="宋体" w:cs="宋体"/>
          <w:b/>
          <w:color w:val="auto"/>
          <w:kern w:val="0"/>
          <w:szCs w:val="21"/>
        </w:rPr>
        <w:t xml:space="preserve"> </w:t>
      </w:r>
      <w:r>
        <w:rPr>
          <w:rFonts w:hint="eastAsia" w:ascii="宋体" w:hAnsi="宋体"/>
          <w:b/>
          <w:color w:val="auto"/>
          <w:szCs w:val="21"/>
        </w:rPr>
        <w:t>获取招标文件方式：</w:t>
      </w:r>
    </w:p>
    <w:p>
      <w:pPr>
        <w:numPr>
          <w:ilvl w:val="0"/>
          <w:numId w:val="7"/>
        </w:numPr>
        <w:tabs>
          <w:tab w:val="left" w:pos="426"/>
        </w:tabs>
        <w:adjustRightInd w:val="0"/>
        <w:snapToGrid w:val="0"/>
        <w:spacing w:line="360" w:lineRule="auto"/>
        <w:rPr>
          <w:rFonts w:ascii="宋体" w:hAnsi="宋体"/>
          <w:bCs/>
          <w:color w:val="auto"/>
          <w:kern w:val="0"/>
          <w:szCs w:val="21"/>
        </w:rPr>
      </w:pPr>
      <w:r>
        <w:rPr>
          <w:rFonts w:hint="eastAsia" w:ascii="宋体" w:hAnsi="宋体"/>
          <w:bCs/>
          <w:color w:val="auto"/>
          <w:kern w:val="0"/>
          <w:szCs w:val="21"/>
        </w:rPr>
        <w:t>购买招标文件经办人，需提供：</w:t>
      </w:r>
    </w:p>
    <w:p>
      <w:pPr>
        <w:pStyle w:val="8"/>
        <w:ind w:left="420" w:leftChars="200"/>
        <w:rPr>
          <w:rFonts w:ascii="宋体" w:hAnsi="宋体"/>
          <w:bCs/>
          <w:color w:val="auto"/>
          <w:sz w:val="21"/>
          <w:szCs w:val="21"/>
        </w:rPr>
      </w:pPr>
      <w:r>
        <w:rPr>
          <w:rFonts w:hint="eastAsia" w:ascii="宋体" w:hAnsi="宋体"/>
          <w:bCs/>
          <w:color w:val="auto"/>
          <w:sz w:val="21"/>
          <w:szCs w:val="21"/>
        </w:rPr>
        <w:t>A）有效的营业执照（或事业单位法人证书,或社会团体法人登记证书,或执业许可证）复印件；如投标人为自然人的需提供自然人身份证明；</w:t>
      </w:r>
    </w:p>
    <w:p>
      <w:pPr>
        <w:pStyle w:val="16"/>
        <w:widowControl w:val="0"/>
        <w:adjustRightInd w:val="0"/>
        <w:snapToGrid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B)经办人如是法定代表人，需提供法定代表人证明书及法定代表人身份证复印件；</w:t>
      </w:r>
    </w:p>
    <w:p>
      <w:pPr>
        <w:pStyle w:val="16"/>
        <w:widowControl w:val="0"/>
        <w:adjustRightInd w:val="0"/>
        <w:snapToGrid w:val="0"/>
        <w:spacing w:before="0" w:beforeAutospacing="0" w:after="0" w:afterAutospacing="0" w:line="360" w:lineRule="auto"/>
        <w:ind w:firstLine="630" w:firstLineChars="300"/>
        <w:jc w:val="both"/>
        <w:rPr>
          <w:bCs/>
          <w:color w:val="auto"/>
          <w:sz w:val="21"/>
          <w:szCs w:val="21"/>
        </w:rPr>
      </w:pPr>
      <w:r>
        <w:rPr>
          <w:rFonts w:hint="eastAsia"/>
          <w:bCs/>
          <w:color w:val="auto"/>
          <w:sz w:val="21"/>
          <w:szCs w:val="21"/>
        </w:rPr>
        <w:t>经办人如是投标人授权代表，需提供法定代表人授权委托书及授权代表身份证复印件；</w:t>
      </w:r>
    </w:p>
    <w:p>
      <w:pPr>
        <w:pStyle w:val="16"/>
        <w:widowControl w:val="0"/>
        <w:adjustRightInd w:val="0"/>
        <w:snapToGrid w:val="0"/>
        <w:spacing w:before="0" w:beforeAutospacing="0" w:after="0" w:afterAutospacing="0" w:line="360" w:lineRule="auto"/>
        <w:ind w:left="420" w:leftChars="200"/>
        <w:jc w:val="both"/>
        <w:rPr>
          <w:b/>
          <w:color w:val="auto"/>
          <w:sz w:val="21"/>
          <w:szCs w:val="21"/>
        </w:rPr>
      </w:pPr>
      <w:r>
        <w:rPr>
          <w:rFonts w:hint="eastAsia"/>
          <w:bCs/>
          <w:color w:val="auto"/>
          <w:sz w:val="21"/>
          <w:szCs w:val="21"/>
        </w:rPr>
        <w:t xml:space="preserve">C)供应商应登入采购代理机构网站（ </w:t>
      </w:r>
      <w:r>
        <w:rPr>
          <w:color w:val="auto"/>
        </w:rPr>
        <w:fldChar w:fldCharType="begin"/>
      </w:r>
      <w:r>
        <w:rPr>
          <w:color w:val="auto"/>
        </w:rPr>
        <w:instrText xml:space="preserve"> HYPERLINK "http://www.baochengdaili.com/），点击网站左下方" </w:instrText>
      </w:r>
      <w:r>
        <w:rPr>
          <w:color w:val="auto"/>
        </w:rPr>
        <w:fldChar w:fldCharType="separate"/>
      </w:r>
      <w:r>
        <w:rPr>
          <w:rFonts w:hint="eastAsia"/>
          <w:bCs/>
          <w:color w:val="auto"/>
          <w:sz w:val="21"/>
          <w:szCs w:val="21"/>
        </w:rPr>
        <w:t>http://www.baochengdaili.com/），点击网站左下方“文件下载”的更多，选择最后一页中的“《购买文件登记表》”下载。</w:t>
      </w:r>
      <w:r>
        <w:rPr>
          <w:rFonts w:hint="eastAsia"/>
          <w:bCs/>
          <w:color w:val="auto"/>
          <w:sz w:val="21"/>
          <w:szCs w:val="21"/>
        </w:rPr>
        <w:fldChar w:fldCharType="end"/>
      </w:r>
    </w:p>
    <w:p>
      <w:pPr>
        <w:numPr>
          <w:ilvl w:val="0"/>
          <w:numId w:val="7"/>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color w:val="auto"/>
          <w:szCs w:val="21"/>
          <w:u w:val="single"/>
        </w:rPr>
        <w:t>信用中国</w:t>
      </w:r>
      <w:r>
        <w:rPr>
          <w:rFonts w:ascii="宋体" w:hAnsi="宋体"/>
          <w:bCs/>
          <w:color w:val="auto"/>
          <w:szCs w:val="21"/>
        </w:rPr>
        <w:t>”（www.creditchina.gov.cn）</w:t>
      </w:r>
      <w:r>
        <w:rPr>
          <w:rFonts w:hint="eastAsia" w:ascii="宋体" w:hAnsi="宋体"/>
          <w:bCs/>
          <w:color w:val="auto"/>
          <w:szCs w:val="21"/>
        </w:rPr>
        <w:t>和</w:t>
      </w:r>
      <w:r>
        <w:rPr>
          <w:rFonts w:hint="eastAsia" w:ascii="宋体" w:hAnsi="宋体"/>
          <w:b/>
          <w:color w:val="auto"/>
          <w:szCs w:val="21"/>
          <w:u w:val="single"/>
        </w:rPr>
        <w:t>“</w:t>
      </w:r>
      <w:r>
        <w:rPr>
          <w:rFonts w:ascii="宋体" w:hAnsi="宋体"/>
          <w:b/>
          <w:color w:val="auto"/>
          <w:szCs w:val="21"/>
          <w:u w:val="single"/>
        </w:rPr>
        <w:t>中国政府采购网</w:t>
      </w:r>
      <w:r>
        <w:rPr>
          <w:rFonts w:hint="eastAsia" w:ascii="宋体" w:hAnsi="宋体"/>
          <w:b/>
          <w:color w:val="auto"/>
          <w:szCs w:val="21"/>
          <w:u w:val="single"/>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p>
    <w:p>
      <w:pPr>
        <w:pStyle w:val="29"/>
        <w:tabs>
          <w:tab w:val="left" w:pos="426"/>
        </w:tabs>
        <w:adjustRightInd w:val="0"/>
        <w:snapToGrid w:val="0"/>
        <w:spacing w:line="360" w:lineRule="auto"/>
        <w:ind w:left="420" w:firstLine="0" w:firstLineChars="0"/>
        <w:rPr>
          <w:color w:val="auto"/>
        </w:rPr>
      </w:pPr>
      <w:r>
        <w:rPr>
          <w:rFonts w:hint="eastAsia" w:ascii="宋体" w:hAnsi="宋体"/>
          <w:b/>
          <w:color w:val="auto"/>
          <w:szCs w:val="21"/>
        </w:rPr>
        <w:t>注：已办理报名并成功购买招标文件的供应商参加投标的，不代表通过资格、符合性评审。</w:t>
      </w:r>
    </w:p>
    <w:p>
      <w:pPr>
        <w:numPr>
          <w:ilvl w:val="0"/>
          <w:numId w:val="3"/>
        </w:numPr>
        <w:adjustRightInd w:val="0"/>
        <w:snapToGrid w:val="0"/>
        <w:spacing w:line="360" w:lineRule="auto"/>
        <w:rPr>
          <w:rFonts w:ascii="宋体" w:hAnsi="宋体" w:cs="宋体"/>
          <w:b/>
          <w:bCs/>
          <w:color w:val="auto"/>
          <w:kern w:val="0"/>
          <w:szCs w:val="21"/>
          <w:u w:val="none"/>
        </w:rPr>
      </w:pPr>
      <w:r>
        <w:rPr>
          <w:rFonts w:hint="eastAsia" w:ascii="宋体" w:hAnsi="宋体"/>
          <w:color w:val="auto"/>
          <w:szCs w:val="21"/>
        </w:rPr>
        <w:t>符合资格的供应商应当在202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w:t>
      </w:r>
      <w:r>
        <w:rPr>
          <w:rFonts w:hint="eastAsia" w:ascii="宋体" w:hAnsi="宋体"/>
          <w:bCs/>
          <w:color w:val="auto"/>
          <w:szCs w:val="21"/>
        </w:rPr>
        <w:t>日</w:t>
      </w:r>
      <w:r>
        <w:rPr>
          <w:rFonts w:hint="eastAsia" w:ascii="宋体" w:hAnsi="宋体"/>
          <w:color w:val="auto"/>
          <w:szCs w:val="21"/>
        </w:rPr>
        <w:t>至202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bCs/>
          <w:color w:val="auto"/>
          <w:szCs w:val="21"/>
        </w:rPr>
        <w:t>月</w:t>
      </w:r>
      <w:r>
        <w:rPr>
          <w:rFonts w:hint="eastAsia" w:ascii="宋体" w:hAnsi="宋体"/>
          <w:color w:val="auto"/>
          <w:szCs w:val="21"/>
          <w:lang w:val="en-US" w:eastAsia="zh-CN"/>
        </w:rPr>
        <w:t>8</w:t>
      </w:r>
      <w:r>
        <w:rPr>
          <w:rFonts w:hint="eastAsia" w:ascii="宋体" w:hAnsi="宋体"/>
          <w:bCs/>
          <w:color w:val="auto"/>
          <w:szCs w:val="21"/>
        </w:rPr>
        <w:t>日</w:t>
      </w:r>
      <w:r>
        <w:rPr>
          <w:rFonts w:hint="eastAsia" w:ascii="宋体" w:hAnsi="宋体"/>
          <w:color w:val="auto"/>
          <w:szCs w:val="21"/>
        </w:rPr>
        <w:t>期间（办公时间内：工作日9：00-17：30，法定节假日除外，不少于5个工作日）到广州宝诚招标代理咨询有限公司（详细地址：广州市番禺区敏捷上城国际1期2栋1806。购买招标文件，招标文件每套售价人民币300.00元，售后不退。</w:t>
      </w:r>
      <w:r>
        <w:rPr>
          <w:rFonts w:hint="eastAsia" w:ascii="宋体" w:hAnsi="宋体"/>
          <w:b w:val="0"/>
          <w:bCs w:val="0"/>
          <w:color w:val="auto"/>
          <w:szCs w:val="21"/>
          <w:u w:val="none"/>
        </w:rPr>
        <w:t>如采用汇款方式购买招标文件请汇至以下账户：</w:t>
      </w:r>
    </w:p>
    <w:p>
      <w:pPr>
        <w:pStyle w:val="2"/>
        <w:spacing w:line="360" w:lineRule="auto"/>
        <w:rPr>
          <w:rFonts w:hint="eastAsia" w:ascii="宋体" w:hAnsi="宋体"/>
          <w:color w:val="auto"/>
          <w:szCs w:val="21"/>
        </w:rPr>
      </w:pPr>
      <w:r>
        <w:rPr>
          <w:rFonts w:ascii="宋体" w:hAnsi="宋体"/>
          <w:color w:val="auto"/>
          <w:szCs w:val="21"/>
        </w:rPr>
        <w:t>收款人名称</w:t>
      </w:r>
      <w:r>
        <w:rPr>
          <w:rFonts w:hint="eastAsia" w:ascii="宋体" w:hAnsi="宋体"/>
          <w:color w:val="auto"/>
          <w:szCs w:val="21"/>
          <w:lang w:eastAsia="zh-CN"/>
        </w:rPr>
        <w:t>：</w:t>
      </w:r>
      <w:r>
        <w:rPr>
          <w:rFonts w:hint="eastAsia" w:ascii="宋体" w:hAnsi="宋体"/>
          <w:color w:val="auto"/>
          <w:szCs w:val="21"/>
        </w:rPr>
        <w:t>广州宝诚招标代理咨询有限公司</w:t>
      </w:r>
    </w:p>
    <w:p>
      <w:pPr>
        <w:pStyle w:val="2"/>
        <w:spacing w:line="360" w:lineRule="auto"/>
        <w:rPr>
          <w:rFonts w:hint="eastAsia" w:ascii="宋体" w:hAnsi="宋体" w:eastAsia="宋体"/>
          <w:color w:val="auto"/>
          <w:szCs w:val="21"/>
          <w:lang w:eastAsia="zh-CN"/>
        </w:rPr>
      </w:pPr>
      <w:r>
        <w:rPr>
          <w:rFonts w:ascii="宋体" w:hAnsi="宋体"/>
          <w:color w:val="auto"/>
          <w:szCs w:val="21"/>
        </w:rPr>
        <w:t>开户银行</w:t>
      </w:r>
      <w:r>
        <w:rPr>
          <w:rFonts w:hint="eastAsia" w:ascii="宋体" w:hAnsi="宋体"/>
          <w:color w:val="auto"/>
          <w:szCs w:val="21"/>
          <w:lang w:eastAsia="zh-CN"/>
        </w:rPr>
        <w:t>：</w:t>
      </w:r>
      <w:r>
        <w:rPr>
          <w:rFonts w:hint="eastAsia" w:ascii="宋体" w:hAnsi="宋体"/>
          <w:color w:val="auto"/>
          <w:szCs w:val="21"/>
        </w:rPr>
        <w:t>中国民生银行股份有限公司广州华南支行</w:t>
      </w:r>
      <w:r>
        <w:rPr>
          <w:rFonts w:ascii="宋体" w:hAnsi="宋体"/>
          <w:color w:val="auto"/>
          <w:szCs w:val="21"/>
        </w:rPr>
        <w:t>（人民币）</w:t>
      </w:r>
    </w:p>
    <w:p>
      <w:pPr>
        <w:pStyle w:val="2"/>
        <w:spacing w:line="360" w:lineRule="auto"/>
        <w:rPr>
          <w:rFonts w:hint="eastAsia" w:eastAsia="宋体"/>
          <w:color w:val="auto"/>
          <w:lang w:eastAsia="zh-CN"/>
        </w:rPr>
      </w:pPr>
      <w:r>
        <w:rPr>
          <w:rFonts w:hint="eastAsia" w:ascii="宋体" w:hAnsi="宋体"/>
          <w:color w:val="auto"/>
          <w:szCs w:val="21"/>
        </w:rPr>
        <w:t>账</w:t>
      </w:r>
      <w:r>
        <w:rPr>
          <w:rFonts w:ascii="宋体" w:hAnsi="宋体"/>
          <w:color w:val="auto"/>
          <w:szCs w:val="21"/>
        </w:rPr>
        <w:t xml:space="preserve">    号</w:t>
      </w:r>
      <w:r>
        <w:rPr>
          <w:rFonts w:hint="eastAsia" w:ascii="宋体" w:hAnsi="宋体"/>
          <w:color w:val="auto"/>
          <w:szCs w:val="21"/>
          <w:lang w:eastAsia="zh-CN"/>
        </w:rPr>
        <w:t>：</w:t>
      </w:r>
      <w:r>
        <w:rPr>
          <w:rFonts w:hint="eastAsia" w:ascii="宋体" w:hAnsi="宋体"/>
          <w:color w:val="auto"/>
          <w:szCs w:val="21"/>
        </w:rPr>
        <w:t>696614971</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投标截止时间：202</w:t>
      </w:r>
      <w:r>
        <w:rPr>
          <w:rFonts w:hint="eastAsia" w:ascii="宋体" w:hAnsi="宋体"/>
          <w:bCs/>
          <w:color w:val="auto"/>
          <w:szCs w:val="20"/>
          <w:lang w:val="en-US" w:eastAsia="zh-CN"/>
        </w:rPr>
        <w:t>1</w:t>
      </w:r>
      <w:r>
        <w:rPr>
          <w:rFonts w:hint="eastAsia" w:ascii="宋体" w:hAnsi="宋体"/>
          <w:bCs/>
          <w:color w:val="auto"/>
          <w:szCs w:val="20"/>
        </w:rPr>
        <w:t>年</w:t>
      </w:r>
      <w:r>
        <w:rPr>
          <w:rFonts w:hint="eastAsia" w:ascii="宋体" w:hAnsi="宋体"/>
          <w:bCs/>
          <w:color w:val="auto"/>
          <w:szCs w:val="20"/>
          <w:lang w:val="en-US" w:eastAsia="zh-CN"/>
        </w:rPr>
        <w:t>1</w:t>
      </w:r>
      <w:r>
        <w:rPr>
          <w:rFonts w:hint="eastAsia" w:ascii="宋体" w:hAnsi="宋体"/>
          <w:bCs/>
          <w:color w:val="auto"/>
          <w:szCs w:val="20"/>
        </w:rPr>
        <w:t>月</w:t>
      </w:r>
      <w:r>
        <w:rPr>
          <w:rFonts w:hint="eastAsia" w:ascii="宋体" w:hAnsi="宋体"/>
          <w:bCs/>
          <w:color w:val="auto"/>
          <w:szCs w:val="20"/>
          <w:lang w:val="en-US" w:eastAsia="zh-CN"/>
        </w:rPr>
        <w:t>21</w:t>
      </w:r>
      <w:r>
        <w:rPr>
          <w:rFonts w:hint="eastAsia" w:ascii="宋体" w:hAnsi="宋体"/>
          <w:bCs/>
          <w:color w:val="auto"/>
          <w:szCs w:val="20"/>
        </w:rPr>
        <w:t>日10时00分。</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提交投标文件地点：</w:t>
      </w:r>
      <w:r>
        <w:rPr>
          <w:rFonts w:hint="eastAsia" w:ascii="宋体" w:hAnsi="宋体" w:cs="宋体"/>
          <w:bCs/>
          <w:color w:val="auto"/>
          <w:kern w:val="0"/>
          <w:szCs w:val="21"/>
        </w:rPr>
        <w:t>广州市番禺区敏捷上城国际1期2栋1806。广州宝诚招标代理咨询有限公司会议室。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开标时间：202</w:t>
      </w:r>
      <w:r>
        <w:rPr>
          <w:rFonts w:hint="eastAsia" w:ascii="宋体" w:hAnsi="宋体"/>
          <w:bCs/>
          <w:color w:val="auto"/>
          <w:szCs w:val="20"/>
          <w:lang w:val="en-US" w:eastAsia="zh-CN"/>
        </w:rPr>
        <w:t>1</w:t>
      </w:r>
      <w:r>
        <w:rPr>
          <w:rFonts w:hint="eastAsia" w:ascii="宋体" w:hAnsi="宋体"/>
          <w:bCs/>
          <w:color w:val="auto"/>
          <w:szCs w:val="20"/>
        </w:rPr>
        <w:t>年</w:t>
      </w:r>
      <w:r>
        <w:rPr>
          <w:rFonts w:hint="eastAsia" w:ascii="宋体" w:hAnsi="宋体"/>
          <w:bCs/>
          <w:color w:val="auto"/>
          <w:szCs w:val="20"/>
          <w:lang w:val="en-US" w:eastAsia="zh-CN"/>
        </w:rPr>
        <w:t>1</w:t>
      </w:r>
      <w:r>
        <w:rPr>
          <w:rFonts w:hint="eastAsia" w:ascii="宋体" w:hAnsi="宋体"/>
          <w:bCs/>
          <w:color w:val="auto"/>
          <w:szCs w:val="20"/>
        </w:rPr>
        <w:t>月</w:t>
      </w:r>
      <w:r>
        <w:rPr>
          <w:rFonts w:hint="eastAsia" w:ascii="宋体" w:hAnsi="宋体"/>
          <w:bCs/>
          <w:color w:val="auto"/>
          <w:szCs w:val="20"/>
          <w:lang w:val="en-US" w:eastAsia="zh-CN"/>
        </w:rPr>
        <w:t>21</w:t>
      </w:r>
      <w:r>
        <w:rPr>
          <w:rFonts w:hint="eastAsia" w:ascii="宋体" w:hAnsi="宋体"/>
          <w:bCs/>
          <w:color w:val="auto"/>
          <w:szCs w:val="20"/>
        </w:rPr>
        <w:t>日10时00分。</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开标地点：</w:t>
      </w:r>
      <w:r>
        <w:rPr>
          <w:rFonts w:hint="eastAsia" w:ascii="宋体" w:hAnsi="宋体"/>
          <w:color w:val="auto"/>
          <w:szCs w:val="21"/>
        </w:rPr>
        <w:t>广州市番禺区敏捷上城国际1期2栋1806。</w:t>
      </w:r>
      <w:r>
        <w:rPr>
          <w:rFonts w:hint="eastAsia" w:ascii="宋体" w:hAnsi="宋体" w:cs="宋体"/>
          <w:bCs/>
          <w:color w:val="auto"/>
          <w:kern w:val="0"/>
          <w:szCs w:val="21"/>
        </w:rPr>
        <w:t>广州宝诚招标代理咨询有限公司会议室。</w:t>
      </w:r>
      <w:r>
        <w:rPr>
          <w:rFonts w:hint="eastAsia" w:ascii="宋体" w:hAnsi="宋体"/>
          <w:bCs/>
          <w:color w:val="auto"/>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color w:val="auto"/>
          <w:szCs w:val="20"/>
        </w:rPr>
      </w:pPr>
      <w:r>
        <w:rPr>
          <w:rFonts w:hint="eastAsia" w:ascii="宋体" w:hAnsi="宋体"/>
          <w:bCs/>
          <w:color w:val="auto"/>
          <w:szCs w:val="20"/>
        </w:rPr>
        <w:t>本公告期限（5个工作日）自</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w:t>
      </w:r>
      <w:r>
        <w:rPr>
          <w:rFonts w:hint="eastAsia" w:ascii="宋体" w:hAnsi="宋体"/>
          <w:bCs/>
          <w:color w:val="auto"/>
          <w:szCs w:val="21"/>
        </w:rPr>
        <w:t>日</w:t>
      </w:r>
      <w:r>
        <w:rPr>
          <w:rFonts w:hint="eastAsia" w:ascii="宋体" w:hAnsi="宋体"/>
          <w:color w:val="auto"/>
          <w:szCs w:val="21"/>
        </w:rPr>
        <w:t>至202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8</w:t>
      </w:r>
      <w:r>
        <w:rPr>
          <w:rFonts w:hint="eastAsia" w:ascii="宋体" w:hAnsi="宋体"/>
          <w:bCs/>
          <w:color w:val="auto"/>
          <w:szCs w:val="21"/>
        </w:rPr>
        <w:t>日</w:t>
      </w:r>
      <w:r>
        <w:rPr>
          <w:rFonts w:hint="eastAsia" w:ascii="宋体" w:hAnsi="宋体"/>
          <w:bCs/>
          <w:color w:val="auto"/>
          <w:szCs w:val="20"/>
        </w:rPr>
        <w:t>止。</w:t>
      </w:r>
    </w:p>
    <w:p>
      <w:pPr>
        <w:numPr>
          <w:ilvl w:val="0"/>
          <w:numId w:val="3"/>
        </w:numPr>
        <w:tabs>
          <w:tab w:val="left" w:pos="728"/>
        </w:tabs>
        <w:adjustRightInd w:val="0"/>
        <w:snapToGrid w:val="0"/>
        <w:spacing w:line="360" w:lineRule="auto"/>
        <w:rPr>
          <w:rFonts w:ascii="宋体" w:hAnsi="宋体"/>
          <w:b/>
          <w:bCs/>
          <w:color w:val="auto"/>
          <w:szCs w:val="20"/>
        </w:rPr>
      </w:pPr>
      <w:r>
        <w:rPr>
          <w:rFonts w:hint="eastAsia" w:ascii="宋体" w:hAnsi="宋体"/>
          <w:b/>
          <w:bCs/>
          <w:color w:val="auto"/>
          <w:szCs w:val="20"/>
        </w:rPr>
        <w:t>本项目相关公告在以下媒体发布：</w:t>
      </w:r>
    </w:p>
    <w:p>
      <w:pPr>
        <w:numPr>
          <w:ilvl w:val="0"/>
          <w:numId w:val="8"/>
        </w:numPr>
        <w:adjustRightInd w:val="0"/>
        <w:snapToGrid w:val="0"/>
        <w:spacing w:line="360" w:lineRule="auto"/>
        <w:rPr>
          <w:rFonts w:ascii="宋体" w:hAnsi="宋体"/>
          <w:bCs/>
          <w:color w:val="auto"/>
          <w:szCs w:val="21"/>
        </w:rPr>
      </w:pPr>
      <w:r>
        <w:rPr>
          <w:rFonts w:hint="eastAsia" w:ascii="宋体" w:hAnsi="宋体"/>
          <w:color w:val="auto"/>
          <w:szCs w:val="21"/>
        </w:rPr>
        <w:t>采购代理机构网站（</w:t>
      </w:r>
      <w:r>
        <w:rPr>
          <w:rFonts w:hint="eastAsia" w:ascii="宋体" w:hAnsi="宋体"/>
          <w:bCs/>
          <w:color w:val="auto"/>
          <w:szCs w:val="21"/>
        </w:rPr>
        <w:t xml:space="preserve"> http://www.baochengdaili.com/）。</w:t>
      </w:r>
    </w:p>
    <w:p>
      <w:pPr>
        <w:numPr>
          <w:ilvl w:val="0"/>
          <w:numId w:val="8"/>
        </w:numPr>
        <w:adjustRightInd w:val="0"/>
        <w:snapToGrid w:val="0"/>
        <w:spacing w:line="360" w:lineRule="auto"/>
        <w:rPr>
          <w:rFonts w:ascii="宋体" w:hAnsi="宋体"/>
          <w:bCs/>
          <w:color w:val="auto"/>
          <w:szCs w:val="20"/>
        </w:rPr>
      </w:pPr>
      <w:r>
        <w:rPr>
          <w:rFonts w:hint="eastAsia" w:ascii="宋体" w:hAnsi="宋体"/>
          <w:bCs/>
          <w:color w:val="auto"/>
          <w:szCs w:val="20"/>
        </w:rPr>
        <w:t>法定媒体：中国政府采购网、广东省政府采购网、广州市政府采购平台。相关公告在法定媒体上公布之日即视为有效送达，不再另行通知。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br w:type="page"/>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t>联系</w:t>
      </w:r>
      <w:r>
        <w:rPr>
          <w:rFonts w:hint="eastAsia" w:ascii="宋体" w:hAnsi="宋体"/>
          <w:b/>
          <w:color w:val="auto"/>
          <w:szCs w:val="21"/>
        </w:rPr>
        <w:t>事项：</w:t>
      </w:r>
    </w:p>
    <w:tbl>
      <w:tblPr>
        <w:tblStyle w:val="22"/>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(一)采购项目联系人（采购代理机构）：高先生</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采购项目联系人（采购人）： 郭小姐</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 020-34807207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(二)采购代理机构：广州宝诚招标代理咨询有限公司</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地址：广州市番禺区敏捷上城国际1期2栋1806。</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传真：020-37887429</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邮编：510650</w:t>
            </w:r>
          </w:p>
        </w:tc>
      </w:tr>
    </w:tbl>
    <w:p>
      <w:pPr>
        <w:rPr>
          <w:rFonts w:ascii="宋体" w:hAnsi="宋体" w:cs="宋体"/>
          <w:bCs/>
          <w:color w:val="auto"/>
          <w:kern w:val="0"/>
          <w:szCs w:val="21"/>
        </w:rPr>
      </w:pPr>
    </w:p>
    <w:tbl>
      <w:tblPr>
        <w:tblStyle w:val="22"/>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 xml:space="preserve">(三)采购人： </w:t>
            </w:r>
            <w:r>
              <w:rPr>
                <w:rFonts w:hint="eastAsia" w:ascii="宋体" w:hAnsi="宋体"/>
                <w:color w:val="auto"/>
                <w:szCs w:val="21"/>
                <w:lang w:eastAsia="zh-CN"/>
              </w:rPr>
              <w:t>广州市番禺区市桥街农业技术服务中心</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地址：广州市番禺区市桥街富华中路2号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 郭小姐</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 020-34807207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 xml:space="preserve">邮编： </w:t>
            </w:r>
          </w:p>
        </w:tc>
      </w:tr>
    </w:tbl>
    <w:p>
      <w:pPr>
        <w:tabs>
          <w:tab w:val="right" w:pos="9180"/>
        </w:tabs>
        <w:adjustRightInd w:val="0"/>
        <w:snapToGrid w:val="0"/>
        <w:spacing w:line="360" w:lineRule="auto"/>
        <w:ind w:firstLine="435"/>
        <w:jc w:val="right"/>
        <w:rPr>
          <w:rFonts w:ascii="宋体" w:hAnsi="宋体"/>
          <w:b/>
          <w:color w:val="auto"/>
        </w:rPr>
      </w:pPr>
    </w:p>
    <w:p>
      <w:pPr>
        <w:adjustRightInd w:val="0"/>
        <w:snapToGrid w:val="0"/>
        <w:spacing w:beforeLines="50" w:afterLines="50"/>
        <w:jc w:val="center"/>
        <w:outlineLvl w:val="0"/>
        <w:rPr>
          <w:rFonts w:ascii="宋体" w:hAnsi="宋体"/>
          <w:b/>
          <w:bCs/>
          <w:color w:val="auto"/>
          <w:sz w:val="28"/>
          <w:szCs w:val="28"/>
        </w:rPr>
      </w:pPr>
      <w:bookmarkStart w:id="5" w:name="_Toc20713"/>
      <w:r>
        <w:rPr>
          <w:rFonts w:ascii="宋体" w:hAnsi="宋体"/>
          <w:b/>
          <w:bCs/>
          <w:color w:val="auto"/>
          <w:sz w:val="28"/>
          <w:szCs w:val="28"/>
        </w:rPr>
        <w:br w:type="page"/>
      </w:r>
    </w:p>
    <w:p>
      <w:pPr>
        <w:adjustRightInd w:val="0"/>
        <w:snapToGrid w:val="0"/>
        <w:spacing w:beforeLines="50" w:afterLines="50"/>
        <w:jc w:val="center"/>
        <w:outlineLvl w:val="0"/>
        <w:rPr>
          <w:rFonts w:ascii="宋体" w:hAnsi="宋体"/>
          <w:b/>
          <w:bCs/>
          <w:color w:val="auto"/>
          <w:sz w:val="28"/>
          <w:szCs w:val="28"/>
        </w:rPr>
      </w:pPr>
      <w:r>
        <w:rPr>
          <w:rFonts w:ascii="宋体" w:hAnsi="宋体"/>
          <w:b/>
          <w:bCs/>
          <w:color w:val="auto"/>
          <w:sz w:val="28"/>
          <w:szCs w:val="28"/>
        </w:rPr>
        <w:t>第</w:t>
      </w:r>
      <w:r>
        <w:rPr>
          <w:rFonts w:hint="eastAsia" w:ascii="宋体" w:hAnsi="宋体"/>
          <w:b/>
          <w:bCs/>
          <w:color w:val="auto"/>
          <w:sz w:val="28"/>
          <w:szCs w:val="28"/>
        </w:rPr>
        <w:t>二</w:t>
      </w:r>
      <w:r>
        <w:rPr>
          <w:rFonts w:ascii="宋体" w:hAnsi="宋体"/>
          <w:b/>
          <w:bCs/>
          <w:color w:val="auto"/>
          <w:sz w:val="28"/>
          <w:szCs w:val="28"/>
        </w:rPr>
        <w:t>章  投标资料表</w:t>
      </w:r>
      <w:bookmarkEnd w:id="5"/>
    </w:p>
    <w:p>
      <w:pPr>
        <w:spacing w:line="360" w:lineRule="auto"/>
        <w:ind w:right="-174" w:rightChars="-83"/>
        <w:rPr>
          <w:rFonts w:ascii="宋体" w:hAnsi="宋体"/>
          <w:b/>
          <w:color w:val="auto"/>
        </w:rPr>
      </w:pPr>
      <w:r>
        <w:rPr>
          <w:rFonts w:hint="eastAsia" w:ascii="宋体" w:hAnsi="宋体"/>
          <w:b/>
          <w:color w:val="auto"/>
        </w:rPr>
        <w:t>说明：该资料表的条款项号是与第七章《投标人须知》条款项号对应的条款，是对第七章《投标人须知》的补充、修改和完善，如果有矛盾的话，应以本资料表为准。</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条款号</w:t>
            </w:r>
          </w:p>
        </w:tc>
        <w:tc>
          <w:tcPr>
            <w:tcW w:w="2016"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内容</w:t>
            </w:r>
          </w:p>
        </w:tc>
        <w:tc>
          <w:tcPr>
            <w:tcW w:w="6592"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1.1</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采购人名称</w:t>
            </w:r>
          </w:p>
        </w:tc>
        <w:tc>
          <w:tcPr>
            <w:tcW w:w="6592" w:type="dxa"/>
            <w:vAlign w:val="center"/>
          </w:tcPr>
          <w:p>
            <w:pPr>
              <w:adjustRightInd w:val="0"/>
              <w:snapToGrid w:val="0"/>
              <w:spacing w:line="320" w:lineRule="exact"/>
              <w:rPr>
                <w:rFonts w:hint="eastAsia" w:ascii="宋体" w:hAnsi="宋体" w:eastAsia="宋体" w:cs="宋体"/>
                <w:color w:val="auto"/>
                <w:szCs w:val="21"/>
                <w:lang w:eastAsia="zh-CN"/>
              </w:rPr>
            </w:pPr>
            <w:r>
              <w:rPr>
                <w:rFonts w:hint="eastAsia" w:ascii="宋体" w:hAnsi="宋体"/>
                <w:color w:val="auto"/>
                <w:szCs w:val="21"/>
                <w:lang w:eastAsia="zh-CN"/>
              </w:rPr>
              <w:t>广州市番禺区市桥街农业技术服务中心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1.2</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采购代理机构</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名称：广州宝诚招标代理咨询有限公司</w:t>
            </w:r>
          </w:p>
          <w:p>
            <w:pPr>
              <w:adjustRightInd w:val="0"/>
              <w:snapToGrid w:val="0"/>
              <w:spacing w:line="320" w:lineRule="exact"/>
              <w:rPr>
                <w:rFonts w:ascii="宋体" w:hAnsi="宋体"/>
                <w:color w:val="auto"/>
                <w:szCs w:val="21"/>
              </w:rPr>
            </w:pPr>
            <w:r>
              <w:rPr>
                <w:rFonts w:ascii="宋体" w:hAnsi="宋体"/>
                <w:color w:val="auto"/>
                <w:szCs w:val="21"/>
              </w:rPr>
              <w:t>地址：</w:t>
            </w:r>
            <w:r>
              <w:rPr>
                <w:rFonts w:hint="eastAsia" w:ascii="宋体" w:hAnsi="宋体"/>
                <w:color w:val="auto"/>
                <w:szCs w:val="21"/>
              </w:rPr>
              <w:t>广州市番禺区敏捷上城国际1期2栋1806。</w:t>
            </w:r>
          </w:p>
          <w:p>
            <w:pPr>
              <w:adjustRightInd w:val="0"/>
              <w:snapToGrid w:val="0"/>
              <w:spacing w:line="320" w:lineRule="exact"/>
              <w:rPr>
                <w:rFonts w:ascii="宋体" w:hAnsi="宋体"/>
                <w:color w:val="auto"/>
                <w:szCs w:val="21"/>
              </w:rPr>
            </w:pPr>
            <w:r>
              <w:rPr>
                <w:rFonts w:ascii="宋体" w:hAnsi="宋体"/>
                <w:color w:val="auto"/>
                <w:szCs w:val="21"/>
              </w:rPr>
              <w:t>电话：</w:t>
            </w:r>
            <w:r>
              <w:rPr>
                <w:rFonts w:hint="eastAsia" w:ascii="宋体" w:hAnsi="宋体"/>
                <w:color w:val="auto"/>
                <w:szCs w:val="21"/>
              </w:rPr>
              <w:t>020-37887429</w:t>
            </w:r>
            <w:r>
              <w:rPr>
                <w:rFonts w:ascii="宋体" w:hAnsi="宋体"/>
                <w:color w:val="auto"/>
                <w:szCs w:val="21"/>
              </w:rPr>
              <w:t>；</w:t>
            </w:r>
            <w:r>
              <w:rPr>
                <w:rFonts w:hint="eastAsia" w:ascii="宋体" w:hAnsi="宋体"/>
                <w:color w:val="auto"/>
                <w:szCs w:val="21"/>
              </w:rPr>
              <w:t xml:space="preserve">      </w:t>
            </w:r>
          </w:p>
          <w:p>
            <w:pPr>
              <w:adjustRightInd w:val="0"/>
              <w:snapToGrid w:val="0"/>
              <w:spacing w:line="320" w:lineRule="exact"/>
              <w:rPr>
                <w:rFonts w:ascii="宋体" w:hAnsi="宋体"/>
                <w:color w:val="auto"/>
                <w:szCs w:val="21"/>
              </w:rPr>
            </w:pPr>
            <w:r>
              <w:rPr>
                <w:rFonts w:ascii="宋体" w:hAnsi="宋体"/>
                <w:color w:val="auto"/>
                <w:szCs w:val="21"/>
              </w:rPr>
              <w:t>传真：</w:t>
            </w:r>
            <w:r>
              <w:rPr>
                <w:rFonts w:hint="eastAsia" w:ascii="宋体" w:hAnsi="宋体"/>
                <w:color w:val="auto"/>
                <w:szCs w:val="21"/>
              </w:rPr>
              <w:t>020-37887429；</w:t>
            </w:r>
          </w:p>
          <w:p>
            <w:pPr>
              <w:adjustRightInd w:val="0"/>
              <w:snapToGrid w:val="0"/>
              <w:spacing w:line="320" w:lineRule="exact"/>
              <w:rPr>
                <w:rFonts w:ascii="宋体" w:hAnsi="宋体"/>
                <w:color w:val="auto"/>
                <w:szCs w:val="21"/>
              </w:rPr>
            </w:pPr>
            <w:r>
              <w:rPr>
                <w:rFonts w:hint="eastAsia" w:ascii="宋体" w:hAnsi="宋体"/>
                <w:color w:val="auto"/>
                <w:szCs w:val="21"/>
              </w:rPr>
              <w:t>电子邮箱：GZBCZB</w:t>
            </w:r>
            <w:r>
              <w:rPr>
                <w:rFonts w:ascii="宋体" w:hAnsi="宋体"/>
                <w:color w:val="auto"/>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资金性质</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s="宋体"/>
                <w:color w:val="auto"/>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实施政府采购信用担保</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bCs/>
                <w:color w:val="auto"/>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1.5</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专业担保机构的选择</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推荐担保机构及联系方式：</w:t>
            </w:r>
          </w:p>
          <w:tbl>
            <w:tblPr>
              <w:tblStyle w:val="22"/>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010-88822892/</w:t>
                  </w:r>
                </w:p>
                <w:p>
                  <w:pPr>
                    <w:pStyle w:val="9"/>
                    <w:jc w:val="center"/>
                    <w:rPr>
                      <w:rFonts w:hAnsi="宋体"/>
                      <w:color w:val="auto"/>
                      <w:sz w:val="21"/>
                      <w:szCs w:val="21"/>
                    </w:rPr>
                  </w:pPr>
                  <w:r>
                    <w:rPr>
                      <w:rFonts w:hint="eastAsia" w:hAnsi="宋体"/>
                      <w:color w:val="auto"/>
                      <w:sz w:val="21"/>
                      <w:szCs w:val="21"/>
                    </w:rPr>
                    <w:t>15011155178 010-88822659/</w:t>
                  </w:r>
                </w:p>
                <w:p>
                  <w:pPr>
                    <w:pStyle w:val="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安国山</w:t>
                  </w:r>
                </w:p>
                <w:p>
                  <w:pPr>
                    <w:pStyle w:val="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020-83063201</w:t>
                  </w:r>
                </w:p>
                <w:p>
                  <w:pPr>
                    <w:pStyle w:val="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13729920608</w:t>
                  </w:r>
                </w:p>
                <w:p>
                  <w:pPr>
                    <w:pStyle w:val="9"/>
                    <w:jc w:val="center"/>
                    <w:rPr>
                      <w:rFonts w:hAnsi="宋体"/>
                      <w:color w:val="auto"/>
                      <w:sz w:val="21"/>
                      <w:szCs w:val="21"/>
                    </w:rPr>
                  </w:pPr>
                  <w:r>
                    <w:rPr>
                      <w:rFonts w:hint="eastAsia" w:hAnsi="宋体"/>
                      <w:color w:val="auto"/>
                      <w:sz w:val="21"/>
                      <w:szCs w:val="21"/>
                    </w:rPr>
                    <w:t>13712393608</w:t>
                  </w:r>
                </w:p>
                <w:p>
                  <w:pPr>
                    <w:pStyle w:val="9"/>
                    <w:jc w:val="center"/>
                    <w:rPr>
                      <w:rFonts w:hAnsi="宋体"/>
                      <w:color w:val="auto"/>
                      <w:sz w:val="21"/>
                      <w:szCs w:val="21"/>
                    </w:rPr>
                  </w:pPr>
                  <w:r>
                    <w:rPr>
                      <w:rFonts w:hint="eastAsia" w:hAnsi="宋体"/>
                      <w:color w:val="auto"/>
                      <w:sz w:val="21"/>
                      <w:szCs w:val="21"/>
                    </w:rPr>
                    <w:t>0769-2332688-8013</w:t>
                  </w:r>
                </w:p>
                <w:p>
                  <w:pPr>
                    <w:pStyle w:val="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21"/>
                      <w:szCs w:val="21"/>
                    </w:rPr>
                  </w:pPr>
                  <w:r>
                    <w:rPr>
                      <w:rFonts w:hint="eastAsia" w:hAnsi="宋体"/>
                      <w:color w:val="auto"/>
                      <w:sz w:val="21"/>
                      <w:szCs w:val="21"/>
                    </w:rPr>
                    <w:t>谭彪</w:t>
                  </w:r>
                </w:p>
                <w:p>
                  <w:pPr>
                    <w:pStyle w:val="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hint="eastAsia" w:ascii="宋体" w:hAnsi="宋体"/>
                <w:b/>
                <w:color w:val="auto"/>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2.1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集中答疑会或现场考察</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投标分项报价</w:t>
            </w:r>
          </w:p>
        </w:tc>
        <w:tc>
          <w:tcPr>
            <w:tcW w:w="6592" w:type="dxa"/>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所有的税费；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报价是唯一或固定不变</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备选方案</w:t>
            </w:r>
          </w:p>
        </w:tc>
        <w:tc>
          <w:tcPr>
            <w:tcW w:w="6592" w:type="dxa"/>
            <w:vAlign w:val="center"/>
          </w:tcPr>
          <w:p>
            <w:pPr>
              <w:adjustRightInd w:val="0"/>
              <w:snapToGrid w:val="0"/>
              <w:spacing w:line="320" w:lineRule="exact"/>
              <w:rPr>
                <w:rFonts w:ascii="宋体" w:hAnsi="宋体" w:cs="宋体"/>
                <w:color w:val="auto"/>
                <w:szCs w:val="21"/>
              </w:rPr>
            </w:pPr>
            <w:r>
              <w:rPr>
                <w:rFonts w:hint="eastAsia" w:ascii="宋体" w:hAnsi="宋体"/>
                <w:color w:val="auto"/>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附加条件报价</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不允许附加条件报价，</w:t>
            </w:r>
            <w:r>
              <w:rPr>
                <w:rFonts w:hint="eastAsia" w:ascii="宋体" w:hAnsi="宋体" w:cs="宋体"/>
                <w:color w:val="auto"/>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3.5</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投标保证金</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3.6</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投标有效期</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90天</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3.7</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投标文件份数</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正本一份，副本</w:t>
            </w:r>
            <w:r>
              <w:rPr>
                <w:rFonts w:hint="eastAsia" w:ascii="宋体" w:hAnsi="宋体"/>
                <w:color w:val="auto"/>
                <w:szCs w:val="21"/>
              </w:rPr>
              <w:t>四</w:t>
            </w:r>
            <w:r>
              <w:rPr>
                <w:rFonts w:ascii="宋体" w:hAnsi="宋体"/>
                <w:color w:val="auto"/>
                <w:szCs w:val="21"/>
              </w:rPr>
              <w:t>份，电子文件</w:t>
            </w:r>
            <w:r>
              <w:rPr>
                <w:rFonts w:hint="eastAsia" w:ascii="宋体" w:hAnsi="宋体"/>
                <w:color w:val="auto"/>
                <w:szCs w:val="21"/>
              </w:rPr>
              <w:t>一</w:t>
            </w:r>
            <w:r>
              <w:rPr>
                <w:rFonts w:ascii="宋体" w:hAnsi="宋体"/>
                <w:color w:val="auto"/>
                <w:szCs w:val="21"/>
              </w:rPr>
              <w:t>份</w:t>
            </w:r>
            <w:r>
              <w:rPr>
                <w:rFonts w:hint="eastAsia" w:ascii="宋体" w:hAnsi="宋体"/>
                <w:color w:val="auto"/>
                <w:szCs w:val="21"/>
              </w:rPr>
              <w:t>（</w:t>
            </w:r>
            <w:r>
              <w:rPr>
                <w:rFonts w:hint="eastAsia" w:ascii="宋体" w:hAnsi="宋体"/>
                <w:color w:val="auto"/>
              </w:rPr>
              <w:t>不可加密）</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szCs w:val="21"/>
              </w:rPr>
              <w:t>评标委员会组成</w:t>
            </w:r>
          </w:p>
        </w:tc>
        <w:tc>
          <w:tcPr>
            <w:tcW w:w="6592" w:type="dxa"/>
            <w:vAlign w:val="center"/>
          </w:tcPr>
          <w:p>
            <w:pPr>
              <w:adjustRightInd w:val="0"/>
              <w:snapToGrid w:val="0"/>
              <w:spacing w:line="320" w:lineRule="exact"/>
              <w:rPr>
                <w:rFonts w:ascii="宋体" w:hAnsi="宋体" w:cs="宋体"/>
                <w:color w:val="auto"/>
                <w:kern w:val="0"/>
                <w:szCs w:val="21"/>
                <w:lang w:val="zh-CN"/>
              </w:rPr>
            </w:pPr>
            <w:r>
              <w:rPr>
                <w:rFonts w:hint="eastAsia"/>
                <w:color w:val="auto"/>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评标方法</w:t>
            </w:r>
          </w:p>
        </w:tc>
        <w:tc>
          <w:tcPr>
            <w:tcW w:w="6592" w:type="dxa"/>
            <w:vAlign w:val="center"/>
          </w:tcPr>
          <w:p>
            <w:pPr>
              <w:adjustRightInd w:val="0"/>
              <w:snapToGrid w:val="0"/>
              <w:spacing w:line="320" w:lineRule="exact"/>
              <w:rPr>
                <w:rFonts w:ascii="宋体" w:hAnsi="宋体"/>
                <w:bCs/>
                <w:color w:val="auto"/>
                <w:szCs w:val="21"/>
              </w:rPr>
            </w:pPr>
            <w:r>
              <w:rPr>
                <w:rFonts w:hint="eastAsia" w:ascii="宋体" w:hAnsi="宋体"/>
                <w:bCs/>
                <w:color w:val="auto"/>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定标原则</w:t>
            </w:r>
          </w:p>
        </w:tc>
        <w:tc>
          <w:tcPr>
            <w:tcW w:w="6592" w:type="dxa"/>
            <w:vAlign w:val="center"/>
          </w:tcPr>
          <w:p>
            <w:pPr>
              <w:adjustRightInd w:val="0"/>
              <w:snapToGrid w:val="0"/>
              <w:spacing w:line="320" w:lineRule="exact"/>
              <w:rPr>
                <w:rFonts w:ascii="宋体" w:hAnsi="宋体"/>
                <w:bCs/>
                <w:color w:val="auto"/>
              </w:rPr>
            </w:pPr>
            <w:r>
              <w:rPr>
                <w:rFonts w:hint="eastAsia" w:ascii="宋体" w:hAnsi="宋体"/>
                <w:bCs/>
                <w:color w:val="auto"/>
              </w:rPr>
              <w:t>推荐综合得分排名第一的投标人为第一中标候选人，排名第二的投标人为第二中标候选人。</w:t>
            </w:r>
          </w:p>
          <w:p>
            <w:pPr>
              <w:adjustRightInd w:val="0"/>
              <w:snapToGrid w:val="0"/>
              <w:spacing w:line="320" w:lineRule="exact"/>
              <w:rPr>
                <w:rFonts w:ascii="宋体" w:hAnsi="宋体"/>
                <w:bCs/>
                <w:color w:val="auto"/>
              </w:rPr>
            </w:pPr>
            <w:r>
              <w:rPr>
                <w:rFonts w:hint="eastAsia" w:ascii="宋体" w:hAnsi="宋体"/>
                <w:bCs/>
                <w:color w:val="auto"/>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合同签订时间</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履约保证金</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详见用户需求书、合同</w:t>
            </w:r>
          </w:p>
        </w:tc>
      </w:tr>
    </w:tbl>
    <w:p>
      <w:pPr>
        <w:rPr>
          <w:rFonts w:ascii="宋体" w:hAnsi="宋体" w:cs="宋体"/>
          <w:bCs/>
          <w:color w:val="auto"/>
          <w:kern w:val="0"/>
          <w:szCs w:val="21"/>
        </w:rPr>
      </w:pPr>
      <w:r>
        <w:rPr>
          <w:rFonts w:hint="eastAsia" w:ascii="宋体" w:hAnsi="宋体" w:cs="宋体"/>
          <w:bCs/>
          <w:color w:val="auto"/>
          <w:kern w:val="0"/>
          <w:szCs w:val="21"/>
        </w:rPr>
        <w:br w:type="page"/>
      </w:r>
    </w:p>
    <w:p>
      <w:pPr>
        <w:spacing w:line="360" w:lineRule="auto"/>
        <w:jc w:val="center"/>
        <w:outlineLvl w:val="0"/>
        <w:rPr>
          <w:rFonts w:ascii="宋体" w:hAnsi="宋体"/>
          <w:b/>
          <w:bCs/>
          <w:color w:val="auto"/>
          <w:sz w:val="28"/>
        </w:rPr>
      </w:pPr>
      <w:bookmarkStart w:id="6" w:name="_Toc8409"/>
      <w:bookmarkStart w:id="7" w:name="_Toc433648010"/>
      <w:bookmarkStart w:id="8" w:name="_Toc480529436"/>
      <w:r>
        <w:rPr>
          <w:rFonts w:hint="eastAsia" w:ascii="宋体" w:hAnsi="宋体"/>
          <w:b/>
          <w:bCs/>
          <w:color w:val="auto"/>
          <w:sz w:val="28"/>
          <w:szCs w:val="28"/>
        </w:rPr>
        <w:t>第三章  评分体系与标准</w:t>
      </w:r>
      <w:bookmarkEnd w:id="6"/>
      <w:bookmarkEnd w:id="7"/>
      <w:bookmarkEnd w:id="8"/>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本评标办法采用综合评分法。</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评标委员会成员对需要共同认定的事项存在争议的，按照少数服从多数的原则作出结论。</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630"/>
        </w:tabs>
        <w:autoSpaceDE w:val="0"/>
        <w:autoSpaceDN w:val="0"/>
        <w:adjustRightInd w:val="0"/>
        <w:snapToGrid w:val="0"/>
        <w:spacing w:line="360" w:lineRule="auto"/>
        <w:rPr>
          <w:color w:val="auto"/>
        </w:rPr>
      </w:pPr>
      <w:r>
        <w:rPr>
          <w:rFonts w:hint="eastAsia" w:ascii="宋体" w:hAnsi="宋体" w:cs="SimSun-Identity-H"/>
          <w:b/>
          <w:color w:val="auto"/>
          <w:kern w:val="0"/>
          <w:szCs w:val="21"/>
        </w:rPr>
        <w:t>评分权值</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hint="eastAsia" w:ascii="宋体" w:hAnsi="宋体" w:eastAsia="宋体"/>
                <w:b/>
                <w:bCs/>
                <w:color w:val="auto"/>
                <w:lang w:eastAsia="zh-CN"/>
              </w:rPr>
            </w:pPr>
            <w:r>
              <w:rPr>
                <w:rFonts w:hint="eastAsia" w:ascii="宋体" w:hAnsi="宋体"/>
                <w:b/>
                <w:bCs/>
                <w:color w:val="auto"/>
              </w:rPr>
              <w:t>技术部分</w:t>
            </w:r>
            <w:r>
              <w:rPr>
                <w:rFonts w:hint="eastAsia" w:ascii="宋体" w:hAnsi="宋体"/>
                <w:b/>
                <w:bCs/>
                <w:color w:val="auto"/>
                <w:lang w:eastAsia="zh-CN"/>
              </w:rPr>
              <w:t>（包一、二、三）</w:t>
            </w:r>
          </w:p>
        </w:tc>
        <w:tc>
          <w:tcPr>
            <w:tcW w:w="3312" w:type="dxa"/>
            <w:vAlign w:val="center"/>
          </w:tcPr>
          <w:p>
            <w:pPr>
              <w:snapToGrid w:val="0"/>
              <w:spacing w:line="360" w:lineRule="auto"/>
              <w:jc w:val="center"/>
              <w:rPr>
                <w:rFonts w:ascii="宋体" w:hAnsi="宋体"/>
                <w:b/>
                <w:bCs/>
                <w:color w:val="auto"/>
              </w:rPr>
            </w:pPr>
            <w:r>
              <w:rPr>
                <w:rFonts w:hint="eastAsia" w:ascii="宋体" w:hAnsi="宋体"/>
                <w:b/>
                <w:bCs/>
                <w:color w:val="auto"/>
              </w:rPr>
              <w:t>商务部分</w:t>
            </w:r>
            <w:r>
              <w:rPr>
                <w:rFonts w:hint="eastAsia" w:ascii="宋体" w:hAnsi="宋体"/>
                <w:b/>
                <w:bCs/>
                <w:color w:val="auto"/>
                <w:lang w:eastAsia="zh-CN"/>
              </w:rPr>
              <w:t>（包一、二、三）</w:t>
            </w:r>
          </w:p>
        </w:tc>
        <w:tc>
          <w:tcPr>
            <w:tcW w:w="3412" w:type="dxa"/>
            <w:vAlign w:val="center"/>
          </w:tcPr>
          <w:p>
            <w:pPr>
              <w:snapToGrid w:val="0"/>
              <w:spacing w:line="360" w:lineRule="auto"/>
              <w:jc w:val="center"/>
              <w:rPr>
                <w:rFonts w:ascii="宋体" w:hAnsi="宋体"/>
                <w:b/>
                <w:bCs/>
                <w:color w:val="auto"/>
              </w:rPr>
            </w:pPr>
            <w:r>
              <w:rPr>
                <w:rFonts w:hint="eastAsia" w:ascii="宋体" w:hAnsi="宋体"/>
                <w:b/>
                <w:bCs/>
                <w:color w:val="auto"/>
              </w:rPr>
              <w:t>价格部分</w:t>
            </w:r>
            <w:r>
              <w:rPr>
                <w:rFonts w:hint="eastAsia" w:ascii="宋体" w:hAnsi="宋体"/>
                <w:b/>
                <w:bCs/>
                <w:color w:val="auto"/>
                <w:lang w:eastAsia="zh-CN"/>
              </w:rPr>
              <w:t>（包一、二、三）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auto"/>
              </w:rPr>
            </w:pPr>
            <w:r>
              <w:rPr>
                <w:rFonts w:hint="eastAsia" w:ascii="宋体" w:hAnsi="宋体"/>
                <w:b/>
                <w:bCs/>
                <w:color w:val="auto"/>
              </w:rPr>
              <w:t>45%</w:t>
            </w:r>
          </w:p>
        </w:tc>
        <w:tc>
          <w:tcPr>
            <w:tcW w:w="3312" w:type="dxa"/>
            <w:vAlign w:val="center"/>
          </w:tcPr>
          <w:p>
            <w:pPr>
              <w:snapToGrid w:val="0"/>
              <w:jc w:val="center"/>
              <w:rPr>
                <w:rFonts w:ascii="宋体" w:hAnsi="宋体"/>
                <w:b/>
                <w:bCs/>
                <w:color w:val="auto"/>
              </w:rPr>
            </w:pPr>
            <w:r>
              <w:rPr>
                <w:rFonts w:hint="eastAsia" w:ascii="宋体" w:hAnsi="宋体"/>
                <w:b/>
                <w:bCs/>
                <w:color w:val="auto"/>
                <w:lang w:val="en-US" w:eastAsia="zh-CN"/>
              </w:rPr>
              <w:t>25</w:t>
            </w:r>
            <w:r>
              <w:rPr>
                <w:rFonts w:hint="eastAsia" w:ascii="宋体" w:hAnsi="宋体"/>
                <w:b/>
                <w:bCs/>
                <w:color w:val="auto"/>
              </w:rPr>
              <w:t>%</w:t>
            </w:r>
          </w:p>
        </w:tc>
        <w:tc>
          <w:tcPr>
            <w:tcW w:w="3412" w:type="dxa"/>
            <w:vAlign w:val="center"/>
          </w:tcPr>
          <w:p>
            <w:pPr>
              <w:snapToGrid w:val="0"/>
              <w:jc w:val="center"/>
              <w:rPr>
                <w:rFonts w:ascii="宋体" w:hAnsi="宋体"/>
                <w:b/>
                <w:bCs/>
                <w:color w:val="auto"/>
              </w:rPr>
            </w:pPr>
            <w:r>
              <w:rPr>
                <w:rFonts w:hint="eastAsia" w:ascii="宋体" w:hAnsi="宋体"/>
                <w:b/>
                <w:bCs/>
                <w:color w:val="auto"/>
                <w:lang w:val="en-US" w:eastAsia="zh-CN"/>
              </w:rPr>
              <w:t>30</w:t>
            </w:r>
            <w:r>
              <w:rPr>
                <w:rFonts w:hint="eastAsia" w:ascii="宋体" w:hAnsi="宋体"/>
                <w:b/>
                <w:bCs/>
                <w:color w:val="auto"/>
              </w:rPr>
              <w:t>%</w:t>
            </w:r>
          </w:p>
        </w:tc>
      </w:tr>
    </w:tbl>
    <w:p>
      <w:pPr>
        <w:numPr>
          <w:ilvl w:val="0"/>
          <w:numId w:val="10"/>
        </w:numPr>
        <w:snapToGrid w:val="0"/>
        <w:spacing w:line="360" w:lineRule="auto"/>
        <w:rPr>
          <w:rFonts w:ascii="宋体" w:hAnsi="宋体" w:cs="宋体"/>
          <w:snapToGrid w:val="0"/>
          <w:color w:val="auto"/>
          <w:kern w:val="0"/>
        </w:rPr>
      </w:pPr>
      <w:r>
        <w:rPr>
          <w:rFonts w:hint="eastAsia" w:ascii="宋体" w:hAnsi="宋体"/>
          <w:bCs/>
          <w:color w:val="auto"/>
        </w:rPr>
        <w:t>商务、技术评分分别去掉一个最高分和一个最低分后余下的评委评分分值的算术平均值（四舍五入后，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0"/>
        </w:numPr>
        <w:snapToGrid w:val="0"/>
        <w:spacing w:line="360" w:lineRule="auto"/>
        <w:rPr>
          <w:rFonts w:ascii="宋体" w:hAnsi="宋体" w:cs="宋体"/>
          <w:snapToGrid w:val="0"/>
          <w:color w:val="auto"/>
          <w:kern w:val="0"/>
        </w:rPr>
      </w:pPr>
      <w:r>
        <w:rPr>
          <w:rFonts w:hint="eastAsia" w:ascii="宋体" w:hAnsi="宋体"/>
          <w:bCs/>
          <w:color w:val="auto"/>
        </w:rPr>
        <w:t>招标文件要求提交的与评价指标体系相关的各类有效资料，投标人如未按要求提交的，该项评分为零分。</w:t>
      </w:r>
    </w:p>
    <w:p>
      <w:pPr>
        <w:spacing w:line="360" w:lineRule="auto"/>
        <w:ind w:left="1000" w:leftChars="100" w:hanging="790" w:hangingChars="328"/>
        <w:jc w:val="center"/>
        <w:rPr>
          <w:rFonts w:hint="eastAsia" w:ascii="宋体" w:hAnsi="宋体" w:eastAsia="宋体"/>
          <w:b/>
          <w:color w:val="auto"/>
          <w:sz w:val="24"/>
          <w:lang w:eastAsia="zh-CN"/>
        </w:rPr>
      </w:pPr>
      <w:r>
        <w:rPr>
          <w:rFonts w:hint="eastAsia" w:ascii="宋体" w:hAnsi="宋体"/>
          <w:b/>
          <w:color w:val="auto"/>
          <w:sz w:val="24"/>
        </w:rPr>
        <w:t>资格性审查表</w:t>
      </w:r>
      <w:r>
        <w:rPr>
          <w:rFonts w:hint="eastAsia" w:ascii="宋体" w:hAnsi="宋体" w:eastAsia="宋体" w:cs="Times New Roman"/>
          <w:b/>
          <w:color w:val="auto"/>
          <w:sz w:val="24"/>
          <w:lang w:eastAsia="zh-CN"/>
        </w:rPr>
        <w:t>（包一、二、三）</w:t>
      </w:r>
    </w:p>
    <w:tbl>
      <w:tblPr>
        <w:tblStyle w:val="2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001" w:type="dxa"/>
            <w:tcBorders>
              <w:tl2br w:val="nil"/>
              <w:tr2bl w:val="nil"/>
            </w:tcBorders>
            <w:vAlign w:val="center"/>
          </w:tcPr>
          <w:p>
            <w:pPr>
              <w:spacing w:line="360" w:lineRule="auto"/>
              <w:jc w:val="center"/>
              <w:rPr>
                <w:rFonts w:ascii="宋体" w:hAnsi="宋体"/>
                <w:b/>
                <w:color w:val="auto"/>
                <w:szCs w:val="21"/>
              </w:rPr>
            </w:pPr>
            <w:r>
              <w:rPr>
                <w:rFonts w:hint="eastAsia" w:ascii="宋体" w:hAnsi="宋体"/>
                <w:b/>
                <w:color w:val="auto"/>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olor w:val="auto"/>
                <w:szCs w:val="21"/>
              </w:rPr>
              <w:t>资格文件声明函</w:t>
            </w:r>
            <w:r>
              <w:rPr>
                <w:rFonts w:hint="eastAsia" w:ascii="宋体" w:hAnsi="宋体" w:cs="宋体"/>
                <w:color w:val="auto"/>
                <w:szCs w:val="21"/>
              </w:rPr>
              <w:t>已提交并符合招标文件要求的</w:t>
            </w:r>
          </w:p>
        </w:tc>
      </w:tr>
    </w:tbl>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符合性审查表</w:t>
      </w:r>
      <w:r>
        <w:rPr>
          <w:rFonts w:hint="eastAsia" w:ascii="宋体" w:hAnsi="宋体" w:eastAsia="宋体" w:cs="Times New Roman"/>
          <w:b/>
          <w:color w:val="auto"/>
          <w:sz w:val="24"/>
          <w:lang w:eastAsia="zh-CN"/>
        </w:rPr>
        <w:t>（包一、二、三）</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170" w:type="dxa"/>
            <w:tcBorders>
              <w:top w:val="single" w:color="auto" w:sz="12" w:space="0"/>
            </w:tcBorders>
            <w:vAlign w:val="center"/>
          </w:tcPr>
          <w:p>
            <w:pPr>
              <w:spacing w:line="360" w:lineRule="auto"/>
              <w:jc w:val="center"/>
              <w:rPr>
                <w:rFonts w:ascii="宋体" w:hAnsi="宋体"/>
                <w:b/>
                <w:color w:val="auto"/>
                <w:szCs w:val="21"/>
              </w:rPr>
            </w:pPr>
            <w:r>
              <w:rPr>
                <w:rFonts w:hint="eastAsia" w:ascii="宋体" w:hAnsi="宋体"/>
                <w:b/>
                <w:color w:val="auto"/>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9170" w:type="dxa"/>
            <w:vAlign w:val="center"/>
          </w:tcPr>
          <w:p>
            <w:pPr>
              <w:spacing w:line="360" w:lineRule="auto"/>
              <w:rPr>
                <w:rFonts w:ascii="宋体" w:hAnsi="宋体" w:cs="宋体"/>
                <w:color w:val="auto"/>
                <w:szCs w:val="21"/>
              </w:rPr>
            </w:pPr>
            <w:r>
              <w:rPr>
                <w:rFonts w:hint="eastAsia" w:ascii="宋体" w:hAnsi="宋体" w:cs="宋体"/>
                <w:color w:val="auto"/>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9170" w:type="dxa"/>
            <w:tcBorders>
              <w:bottom w:val="single" w:color="auto" w:sz="12" w:space="0"/>
            </w:tcBorders>
            <w:vAlign w:val="center"/>
          </w:tcPr>
          <w:p>
            <w:pPr>
              <w:spacing w:line="360" w:lineRule="auto"/>
              <w:rPr>
                <w:rFonts w:ascii="宋体" w:hAnsi="宋体"/>
                <w:color w:val="auto"/>
                <w:szCs w:val="21"/>
              </w:rPr>
            </w:pPr>
            <w:r>
              <w:rPr>
                <w:rFonts w:hint="eastAsia" w:ascii="宋体" w:hAnsi="宋体"/>
                <w:color w:val="auto"/>
                <w:szCs w:val="21"/>
              </w:rPr>
              <w:t>未出现法律、法规、规章规定属于投标无效的其他情形</w:t>
            </w:r>
          </w:p>
        </w:tc>
      </w:tr>
    </w:tbl>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br w:type="page"/>
      </w:r>
    </w:p>
    <w:p>
      <w:pPr>
        <w:spacing w:line="276" w:lineRule="auto"/>
        <w:ind w:right="-1"/>
        <w:jc w:val="left"/>
        <w:rPr>
          <w:rFonts w:hint="eastAsia" w:ascii="宋体" w:hAnsi="宋体" w:eastAsia="宋体"/>
          <w:b/>
          <w:color w:val="auto"/>
          <w:sz w:val="28"/>
          <w:szCs w:val="28"/>
          <w:lang w:eastAsia="zh-CN"/>
        </w:rPr>
      </w:pPr>
      <w:r>
        <w:rPr>
          <w:rFonts w:hint="eastAsia" w:ascii="宋体" w:hAnsi="宋体"/>
          <w:b/>
          <w:color w:val="auto"/>
          <w:sz w:val="28"/>
          <w:szCs w:val="28"/>
          <w:lang w:eastAsia="zh-CN"/>
        </w:rPr>
        <w:t>包一：</w:t>
      </w:r>
    </w:p>
    <w:p>
      <w:pPr>
        <w:snapToGrid w:val="0"/>
        <w:spacing w:line="360" w:lineRule="auto"/>
        <w:ind w:firstLine="103" w:firstLineChars="49"/>
        <w:jc w:val="center"/>
        <w:rPr>
          <w:rFonts w:hint="eastAsia" w:ascii="宋体" w:hAnsi="宋体"/>
          <w:b/>
          <w:color w:val="auto"/>
          <w:sz w:val="24"/>
        </w:rPr>
      </w:pPr>
      <w:r>
        <w:rPr>
          <w:rFonts w:hint="eastAsia" w:ascii="宋体" w:hAnsi="宋体"/>
          <w:b/>
          <w:color w:val="auto"/>
          <w:szCs w:val="21"/>
        </w:rPr>
        <w:t xml:space="preserve"> </w:t>
      </w:r>
      <w:r>
        <w:rPr>
          <w:rFonts w:hint="eastAsia" w:ascii="宋体" w:hAnsi="宋体"/>
          <w:b/>
          <w:color w:val="auto"/>
          <w:szCs w:val="21"/>
          <w:lang w:eastAsia="zh-CN"/>
        </w:rPr>
        <w:t>技术</w:t>
      </w:r>
      <w:r>
        <w:rPr>
          <w:rFonts w:hint="eastAsia" w:ascii="宋体" w:hAnsi="宋体"/>
          <w:b/>
          <w:color w:val="auto"/>
          <w:szCs w:val="21"/>
        </w:rPr>
        <w:t>评分表（</w:t>
      </w:r>
      <w:r>
        <w:rPr>
          <w:rFonts w:hint="eastAsia" w:ascii="宋体" w:hAnsi="宋体"/>
          <w:b/>
          <w:color w:val="auto"/>
          <w:szCs w:val="21"/>
          <w:lang w:val="en-US" w:eastAsia="zh-CN"/>
        </w:rPr>
        <w:t>4</w:t>
      </w:r>
      <w:r>
        <w:rPr>
          <w:rFonts w:hint="eastAsia" w:ascii="宋体" w:hAnsi="宋体"/>
          <w:b/>
          <w:color w:val="auto"/>
          <w:szCs w:val="21"/>
        </w:rPr>
        <w:t>5分）</w:t>
      </w:r>
    </w:p>
    <w:tbl>
      <w:tblPr>
        <w:tblStyle w:val="22"/>
        <w:tblW w:w="99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8"/>
        <w:gridCol w:w="1612"/>
        <w:gridCol w:w="6238"/>
        <w:gridCol w:w="12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blHeader/>
          <w:jc w:val="center"/>
        </w:trPr>
        <w:tc>
          <w:tcPr>
            <w:tcW w:w="868" w:type="dxa"/>
            <w:vAlign w:val="center"/>
          </w:tcPr>
          <w:p>
            <w:pPr>
              <w:spacing w:line="400" w:lineRule="exact"/>
              <w:jc w:val="center"/>
              <w:rPr>
                <w:rFonts w:hint="eastAsia" w:ascii="宋体" w:hAnsi="宋体"/>
                <w:b/>
                <w:bCs/>
                <w:color w:val="auto"/>
                <w:sz w:val="21"/>
                <w:szCs w:val="21"/>
              </w:rPr>
            </w:pPr>
            <w:r>
              <w:rPr>
                <w:rFonts w:hint="eastAsia" w:ascii="宋体" w:hAnsi="宋体"/>
                <w:b/>
                <w:bCs/>
                <w:color w:val="auto"/>
                <w:sz w:val="21"/>
                <w:szCs w:val="21"/>
              </w:rPr>
              <w:t>序号</w:t>
            </w:r>
          </w:p>
        </w:tc>
        <w:tc>
          <w:tcPr>
            <w:tcW w:w="1612" w:type="dxa"/>
            <w:vAlign w:val="center"/>
          </w:tcPr>
          <w:p>
            <w:pPr>
              <w:spacing w:line="400" w:lineRule="exact"/>
              <w:jc w:val="center"/>
              <w:rPr>
                <w:rFonts w:hint="eastAsia" w:ascii="宋体" w:hAnsi="宋体"/>
                <w:b/>
                <w:bCs/>
                <w:color w:val="auto"/>
                <w:sz w:val="21"/>
                <w:szCs w:val="21"/>
              </w:rPr>
            </w:pPr>
            <w:r>
              <w:rPr>
                <w:rFonts w:hint="eastAsia" w:ascii="宋体" w:hAnsi="宋体"/>
                <w:b/>
                <w:bCs/>
                <w:color w:val="auto"/>
                <w:sz w:val="21"/>
                <w:szCs w:val="21"/>
              </w:rPr>
              <w:t>评</w:t>
            </w:r>
            <w:r>
              <w:rPr>
                <w:rFonts w:hint="eastAsia" w:ascii="宋体" w:hAnsi="宋体"/>
                <w:b/>
                <w:bCs/>
                <w:color w:val="auto"/>
                <w:sz w:val="21"/>
                <w:szCs w:val="21"/>
                <w:lang w:eastAsia="zh-CN"/>
              </w:rPr>
              <w:t>审</w:t>
            </w:r>
            <w:r>
              <w:rPr>
                <w:rFonts w:hint="eastAsia" w:ascii="宋体" w:hAnsi="宋体"/>
                <w:b/>
                <w:bCs/>
                <w:color w:val="auto"/>
                <w:sz w:val="21"/>
                <w:szCs w:val="21"/>
              </w:rPr>
              <w:t>项目</w:t>
            </w:r>
          </w:p>
        </w:tc>
        <w:tc>
          <w:tcPr>
            <w:tcW w:w="6238" w:type="dxa"/>
            <w:vAlign w:val="center"/>
          </w:tcPr>
          <w:p>
            <w:pPr>
              <w:spacing w:line="400" w:lineRule="exact"/>
              <w:jc w:val="center"/>
              <w:rPr>
                <w:rFonts w:hint="eastAsia" w:ascii="宋体" w:hAnsi="宋体"/>
                <w:b/>
                <w:bCs/>
                <w:color w:val="auto"/>
                <w:sz w:val="21"/>
                <w:szCs w:val="21"/>
              </w:rPr>
            </w:pPr>
            <w:r>
              <w:rPr>
                <w:rFonts w:hint="eastAsia" w:ascii="宋体" w:hAnsi="宋体"/>
                <w:b/>
                <w:bCs/>
                <w:color w:val="auto"/>
                <w:sz w:val="21"/>
                <w:szCs w:val="21"/>
              </w:rPr>
              <w:t>评估内容</w:t>
            </w:r>
          </w:p>
        </w:tc>
        <w:tc>
          <w:tcPr>
            <w:tcW w:w="1258" w:type="dxa"/>
            <w:vAlign w:val="center"/>
          </w:tcPr>
          <w:p>
            <w:pPr>
              <w:spacing w:line="400" w:lineRule="exact"/>
              <w:jc w:val="center"/>
              <w:rPr>
                <w:rFonts w:hint="eastAsia" w:ascii="宋体" w:hAnsi="宋体"/>
                <w:b/>
                <w:bCs/>
                <w:color w:val="auto"/>
                <w:sz w:val="21"/>
                <w:szCs w:val="21"/>
              </w:rPr>
            </w:pPr>
            <w:r>
              <w:rPr>
                <w:rFonts w:hint="eastAsia" w:ascii="宋体" w:hAnsi="宋体"/>
                <w:b/>
                <w:bCs/>
                <w:color w:val="auto"/>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jc w:val="center"/>
        </w:trPr>
        <w:tc>
          <w:tcPr>
            <w:tcW w:w="868" w:type="dxa"/>
            <w:vAlign w:val="center"/>
          </w:tcPr>
          <w:p>
            <w:pPr>
              <w:spacing w:line="400" w:lineRule="exact"/>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1612"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技术条款响应</w:t>
            </w:r>
            <w:r>
              <w:rPr>
                <w:rFonts w:hint="eastAsia" w:ascii="宋体" w:hAnsi="宋体" w:eastAsia="宋体" w:cs="宋体"/>
                <w:color w:val="auto"/>
                <w:sz w:val="21"/>
                <w:szCs w:val="21"/>
                <w:highlight w:val="none"/>
                <w:lang w:eastAsia="zh-CN"/>
              </w:rPr>
              <w:t>情况</w:t>
            </w:r>
          </w:p>
        </w:tc>
        <w:tc>
          <w:tcPr>
            <w:tcW w:w="6238"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根据各投标人对《用户需求书》中的要求，对货物描述响应程度进行</w:t>
            </w:r>
            <w:r>
              <w:rPr>
                <w:rFonts w:hint="eastAsia" w:ascii="宋体" w:hAnsi="宋体" w:eastAsia="宋体" w:cs="宋体"/>
                <w:color w:val="auto"/>
                <w:sz w:val="21"/>
                <w:szCs w:val="21"/>
                <w:highlight w:val="none"/>
              </w:rPr>
              <w:t>对比评审</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1、所投货物描述清晰、完整，且</w:t>
            </w:r>
            <w:r>
              <w:rPr>
                <w:rFonts w:hint="eastAsia" w:ascii="宋体" w:hAnsi="宋体" w:eastAsia="宋体" w:cs="宋体"/>
                <w:bCs/>
                <w:color w:val="auto"/>
                <w:sz w:val="21"/>
                <w:szCs w:val="21"/>
                <w:highlight w:val="none"/>
              </w:rPr>
              <w:t>优</w:t>
            </w:r>
            <w:r>
              <w:rPr>
                <w:rFonts w:hint="eastAsia" w:ascii="宋体" w:hAnsi="宋体" w:eastAsia="宋体" w:cs="宋体"/>
                <w:color w:val="auto"/>
                <w:sz w:val="21"/>
                <w:szCs w:val="21"/>
                <w:highlight w:val="none"/>
              </w:rPr>
              <w:t>于采购需求得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所投货物描述较完整，完全满足采购需求，得</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3、所投货物描述一般，不完全满足采购需求，得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w:t>
            </w:r>
          </w:p>
        </w:tc>
        <w:tc>
          <w:tcPr>
            <w:tcW w:w="1258" w:type="dxa"/>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1" w:hRule="atLeast"/>
          <w:jc w:val="center"/>
        </w:trPr>
        <w:tc>
          <w:tcPr>
            <w:tcW w:w="868" w:type="dxa"/>
            <w:vAlign w:val="center"/>
          </w:tcPr>
          <w:p>
            <w:pPr>
              <w:spacing w:line="400" w:lineRule="exact"/>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2</w:t>
            </w:r>
          </w:p>
        </w:tc>
        <w:tc>
          <w:tcPr>
            <w:tcW w:w="1612"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tc>
        <w:tc>
          <w:tcPr>
            <w:tcW w:w="6238" w:type="dxa"/>
            <w:vAlign w:val="center"/>
          </w:tcPr>
          <w:p>
            <w:pPr>
              <w:pStyle w:val="37"/>
              <w:keepNext w:val="0"/>
              <w:keepLines w:val="0"/>
              <w:pageBreakBefore w:val="0"/>
              <w:widowControl w:val="0"/>
              <w:kinsoku/>
              <w:wordWrap/>
              <w:overflowPunct/>
              <w:topLinePunct w:val="0"/>
              <w:bidi w:val="0"/>
              <w:adjustRightInd/>
              <w:snapToGrid/>
              <w:spacing w:before="49" w:line="288" w:lineRule="auto"/>
              <w:ind w:left="14"/>
              <w:jc w:val="left"/>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根据投标人的供货方案</w:t>
            </w:r>
            <w:r>
              <w:rPr>
                <w:rFonts w:hint="eastAsia" w:ascii="宋体" w:hAnsi="宋体" w:eastAsia="宋体" w:cs="宋体"/>
                <w:color w:val="auto"/>
                <w:kern w:val="0"/>
                <w:highlight w:val="none"/>
                <w:lang w:eastAsia="zh-CN"/>
              </w:rPr>
              <w:t>、质量保证措施、应急响应方案进行对比评审：</w:t>
            </w:r>
          </w:p>
          <w:p>
            <w:pPr>
              <w:pStyle w:val="37"/>
              <w:keepNext w:val="0"/>
              <w:keepLines w:val="0"/>
              <w:pageBreakBefore w:val="0"/>
              <w:widowControl w:val="0"/>
              <w:numPr>
                <w:ilvl w:val="0"/>
                <w:numId w:val="11"/>
              </w:numPr>
              <w:kinsoku/>
              <w:wordWrap/>
              <w:overflowPunct/>
              <w:topLinePunct w:val="0"/>
              <w:bidi w:val="0"/>
              <w:adjustRightInd/>
              <w:snapToGrid/>
              <w:spacing w:before="49" w:line="288" w:lineRule="auto"/>
              <w:ind w:left="14"/>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供货</w:t>
            </w:r>
            <w:r>
              <w:rPr>
                <w:rFonts w:hint="eastAsia" w:ascii="宋体" w:hAnsi="宋体" w:eastAsia="宋体" w:cs="宋体"/>
                <w:color w:val="auto"/>
                <w:kern w:val="0"/>
                <w:highlight w:val="none"/>
                <w:lang w:val="en-US" w:eastAsia="zh-CN"/>
              </w:rPr>
              <w:t>方案、</w:t>
            </w:r>
            <w:r>
              <w:rPr>
                <w:rFonts w:hint="eastAsia" w:cs="宋体"/>
                <w:color w:val="auto"/>
                <w:kern w:val="0"/>
                <w:highlight w:val="none"/>
                <w:lang w:val="en-US" w:eastAsia="zh-CN"/>
              </w:rPr>
              <w:t>产品具有追溯性且保证质量</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lang w:eastAsia="zh-CN"/>
              </w:rPr>
              <w:t>应急响应最快、突发情况</w:t>
            </w:r>
            <w:r>
              <w:rPr>
                <w:rFonts w:hint="eastAsia" w:ascii="宋体" w:hAnsi="宋体" w:eastAsia="宋体" w:cs="宋体"/>
                <w:color w:val="auto"/>
                <w:szCs w:val="21"/>
                <w:highlight w:val="none"/>
              </w:rPr>
              <w:t>处置方案详细、可靠可行，</w:t>
            </w:r>
            <w:r>
              <w:rPr>
                <w:rFonts w:hint="eastAsia" w:ascii="宋体" w:hAnsi="宋体" w:eastAsia="宋体" w:cs="宋体"/>
                <w:color w:val="auto"/>
                <w:kern w:val="0"/>
                <w:highlight w:val="none"/>
                <w:lang w:val="en-US" w:eastAsia="zh-CN"/>
              </w:rPr>
              <w:t>得12分；</w:t>
            </w:r>
          </w:p>
          <w:p>
            <w:pPr>
              <w:pStyle w:val="37"/>
              <w:keepNext w:val="0"/>
              <w:keepLines w:val="0"/>
              <w:pageBreakBefore w:val="0"/>
              <w:widowControl w:val="0"/>
              <w:numPr>
                <w:ilvl w:val="0"/>
                <w:numId w:val="11"/>
              </w:numPr>
              <w:kinsoku/>
              <w:wordWrap/>
              <w:overflowPunct/>
              <w:topLinePunct w:val="0"/>
              <w:bidi w:val="0"/>
              <w:adjustRightInd/>
              <w:snapToGrid/>
              <w:spacing w:before="49" w:line="288" w:lineRule="auto"/>
              <w:ind w:left="14" w:leftChars="0" w:firstLine="0" w:firstLineChars="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供货</w:t>
            </w:r>
            <w:r>
              <w:rPr>
                <w:rFonts w:hint="eastAsia" w:ascii="宋体" w:hAnsi="宋体" w:eastAsia="宋体" w:cs="宋体"/>
                <w:color w:val="auto"/>
                <w:kern w:val="0"/>
                <w:highlight w:val="none"/>
                <w:lang w:val="en-US" w:eastAsia="zh-CN"/>
              </w:rPr>
              <w:t>方案、</w:t>
            </w:r>
            <w:r>
              <w:rPr>
                <w:rFonts w:hint="eastAsia" w:cs="宋体"/>
                <w:color w:val="auto"/>
                <w:kern w:val="0"/>
                <w:highlight w:val="none"/>
                <w:lang w:val="en-US" w:eastAsia="zh-CN"/>
              </w:rPr>
              <w:t>产品</w:t>
            </w:r>
            <w:r>
              <w:rPr>
                <w:rFonts w:hint="eastAsia" w:ascii="宋体" w:hAnsi="宋体" w:eastAsia="宋体" w:cs="宋体"/>
                <w:color w:val="auto"/>
                <w:kern w:val="0"/>
                <w:highlight w:val="none"/>
                <w:lang w:eastAsia="zh-CN"/>
              </w:rPr>
              <w:t>质量保证措施</w:t>
            </w:r>
            <w:r>
              <w:rPr>
                <w:rFonts w:hint="eastAsia" w:cs="宋体"/>
                <w:color w:val="auto"/>
                <w:kern w:val="0"/>
                <w:highlight w:val="none"/>
                <w:lang w:eastAsia="zh-CN"/>
              </w:rPr>
              <w:t>较</w:t>
            </w:r>
            <w:r>
              <w:rPr>
                <w:rFonts w:hint="eastAsia" w:cs="宋体"/>
                <w:color w:val="auto"/>
                <w:kern w:val="0"/>
                <w:highlight w:val="none"/>
                <w:lang w:val="en-US" w:eastAsia="zh-CN"/>
              </w:rPr>
              <w:t>合理</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lang w:eastAsia="zh-CN"/>
              </w:rPr>
              <w:t>应急响应较快、突发情况</w:t>
            </w:r>
            <w:r>
              <w:rPr>
                <w:rFonts w:hint="eastAsia" w:ascii="宋体" w:hAnsi="宋体" w:eastAsia="宋体" w:cs="宋体"/>
                <w:color w:val="auto"/>
                <w:szCs w:val="21"/>
                <w:highlight w:val="none"/>
              </w:rPr>
              <w:t>处置方案</w:t>
            </w:r>
            <w:r>
              <w:rPr>
                <w:rFonts w:hint="eastAsia" w:ascii="宋体" w:hAnsi="宋体" w:eastAsia="宋体" w:cs="宋体"/>
                <w:color w:val="auto"/>
                <w:kern w:val="0"/>
                <w:highlight w:val="none"/>
                <w:lang w:eastAsia="zh-CN"/>
              </w:rPr>
              <w:t>较</w:t>
            </w:r>
            <w:r>
              <w:rPr>
                <w:rFonts w:hint="eastAsia" w:ascii="宋体" w:hAnsi="宋体" w:eastAsia="宋体" w:cs="宋体"/>
                <w:color w:val="auto"/>
                <w:szCs w:val="21"/>
                <w:highlight w:val="none"/>
              </w:rPr>
              <w:t>详细、可靠可行，</w:t>
            </w:r>
            <w:r>
              <w:rPr>
                <w:rFonts w:hint="eastAsia" w:ascii="宋体" w:hAnsi="宋体" w:eastAsia="宋体" w:cs="宋体"/>
                <w:color w:val="auto"/>
                <w:kern w:val="0"/>
                <w:highlight w:val="none"/>
                <w:lang w:val="en-US" w:eastAsia="zh-CN"/>
              </w:rPr>
              <w:t>得8分；</w:t>
            </w:r>
          </w:p>
          <w:p>
            <w:pPr>
              <w:pStyle w:val="37"/>
              <w:keepNext w:val="0"/>
              <w:keepLines w:val="0"/>
              <w:pageBreakBefore w:val="0"/>
              <w:widowControl w:val="0"/>
              <w:numPr>
                <w:ilvl w:val="0"/>
                <w:numId w:val="11"/>
              </w:numPr>
              <w:kinsoku/>
              <w:wordWrap/>
              <w:overflowPunct/>
              <w:topLinePunct w:val="0"/>
              <w:bidi w:val="0"/>
              <w:adjustRightInd/>
              <w:snapToGrid/>
              <w:spacing w:before="49" w:line="288" w:lineRule="auto"/>
              <w:ind w:left="14" w:leftChars="0" w:firstLine="0" w:firstLineChars="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供货</w:t>
            </w:r>
            <w:r>
              <w:rPr>
                <w:rFonts w:hint="eastAsia" w:ascii="宋体" w:hAnsi="宋体" w:eastAsia="宋体" w:cs="宋体"/>
                <w:color w:val="auto"/>
                <w:kern w:val="0"/>
                <w:highlight w:val="none"/>
                <w:lang w:val="en-US" w:eastAsia="zh-CN"/>
              </w:rPr>
              <w:t>方案、</w:t>
            </w:r>
            <w:r>
              <w:rPr>
                <w:rFonts w:hint="eastAsia" w:cs="宋体"/>
                <w:color w:val="auto"/>
                <w:kern w:val="0"/>
                <w:highlight w:val="none"/>
                <w:lang w:val="en-US" w:eastAsia="zh-CN"/>
              </w:rPr>
              <w:t>产品</w:t>
            </w:r>
            <w:r>
              <w:rPr>
                <w:rFonts w:hint="eastAsia" w:ascii="宋体" w:hAnsi="宋体" w:eastAsia="宋体" w:cs="宋体"/>
                <w:color w:val="auto"/>
                <w:kern w:val="0"/>
                <w:highlight w:val="none"/>
                <w:lang w:eastAsia="zh-CN"/>
              </w:rPr>
              <w:t>质量保证措施</w:t>
            </w:r>
            <w:r>
              <w:rPr>
                <w:rFonts w:hint="eastAsia" w:ascii="宋体" w:hAnsi="宋体" w:eastAsia="宋体" w:cs="宋体"/>
                <w:color w:val="auto"/>
                <w:kern w:val="0"/>
                <w:highlight w:val="none"/>
                <w:lang w:val="en-US" w:eastAsia="zh-CN"/>
              </w:rPr>
              <w:t>一般，</w:t>
            </w:r>
            <w:r>
              <w:rPr>
                <w:rFonts w:hint="eastAsia" w:ascii="宋体" w:hAnsi="宋体" w:eastAsia="宋体" w:cs="宋体"/>
                <w:color w:val="auto"/>
                <w:kern w:val="0"/>
                <w:highlight w:val="none"/>
                <w:lang w:eastAsia="zh-CN"/>
              </w:rPr>
              <w:t>应急响应较慢、突发情况</w:t>
            </w:r>
            <w:r>
              <w:rPr>
                <w:rFonts w:hint="eastAsia" w:ascii="宋体" w:hAnsi="宋体" w:eastAsia="宋体" w:cs="宋体"/>
                <w:color w:val="auto"/>
                <w:szCs w:val="21"/>
                <w:highlight w:val="none"/>
              </w:rPr>
              <w:t>处置方案</w:t>
            </w:r>
            <w:r>
              <w:rPr>
                <w:rFonts w:hint="eastAsia" w:ascii="宋体" w:hAnsi="宋体" w:eastAsia="宋体" w:cs="宋体"/>
                <w:color w:val="auto"/>
                <w:kern w:val="0"/>
                <w:highlight w:val="none"/>
                <w:lang w:eastAsia="zh-CN"/>
              </w:rPr>
              <w:t>不</w:t>
            </w:r>
            <w:r>
              <w:rPr>
                <w:rFonts w:hint="eastAsia" w:cs="宋体"/>
                <w:color w:val="auto"/>
                <w:kern w:val="0"/>
                <w:highlight w:val="none"/>
                <w:lang w:val="en-US" w:eastAsia="zh-CN"/>
              </w:rPr>
              <w:t>够</w:t>
            </w:r>
            <w:r>
              <w:rPr>
                <w:rFonts w:hint="eastAsia" w:ascii="宋体" w:hAnsi="宋体" w:eastAsia="宋体" w:cs="宋体"/>
                <w:color w:val="auto"/>
                <w:szCs w:val="21"/>
                <w:highlight w:val="none"/>
              </w:rPr>
              <w:t>详</w:t>
            </w:r>
            <w:r>
              <w:rPr>
                <w:rFonts w:hint="eastAsia" w:cs="宋体"/>
                <w:color w:val="auto"/>
                <w:szCs w:val="21"/>
                <w:highlight w:val="none"/>
                <w:lang w:val="en-US" w:eastAsia="zh-CN"/>
              </w:rPr>
              <w:t>尽</w:t>
            </w:r>
            <w:r>
              <w:rPr>
                <w:rFonts w:hint="eastAsia" w:ascii="宋体" w:hAnsi="宋体" w:eastAsia="宋体" w:cs="宋体"/>
                <w:color w:val="auto"/>
                <w:szCs w:val="21"/>
                <w:highlight w:val="none"/>
              </w:rPr>
              <w:t>，</w:t>
            </w:r>
            <w:r>
              <w:rPr>
                <w:rFonts w:hint="eastAsia" w:ascii="宋体" w:hAnsi="宋体" w:eastAsia="宋体" w:cs="宋体"/>
                <w:color w:val="auto"/>
                <w:kern w:val="0"/>
                <w:highlight w:val="none"/>
                <w:lang w:val="en-US" w:eastAsia="zh-CN"/>
              </w:rPr>
              <w:t>得4分；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不提供的不得分。</w:t>
            </w:r>
            <w:r>
              <w:rPr>
                <w:rFonts w:hint="eastAsia" w:ascii="宋体" w:hAnsi="宋体" w:eastAsia="宋体" w:cs="宋体"/>
                <w:bCs/>
                <w:color w:val="auto"/>
                <w:szCs w:val="21"/>
                <w:highlight w:val="none"/>
              </w:rPr>
              <w:t>本项最高得</w:t>
            </w:r>
            <w:r>
              <w:rPr>
                <w:rFonts w:hint="eastAsia" w:ascii="宋体" w:hAnsi="宋体" w:eastAsia="宋体" w:cs="宋体"/>
                <w:bCs/>
                <w:color w:val="auto"/>
                <w:szCs w:val="21"/>
                <w:highlight w:val="none"/>
                <w:lang w:val="en-US" w:eastAsia="zh-CN"/>
              </w:rPr>
              <w:t>12</w:t>
            </w:r>
            <w:r>
              <w:rPr>
                <w:rFonts w:hint="eastAsia" w:ascii="宋体" w:hAnsi="宋体" w:eastAsia="宋体" w:cs="宋体"/>
                <w:bCs/>
                <w:color w:val="auto"/>
                <w:szCs w:val="21"/>
                <w:highlight w:val="none"/>
              </w:rPr>
              <w:t>分。</w:t>
            </w:r>
          </w:p>
        </w:tc>
        <w:tc>
          <w:tcPr>
            <w:tcW w:w="1258"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1" w:hRule="atLeast"/>
          <w:jc w:val="center"/>
        </w:trPr>
        <w:tc>
          <w:tcPr>
            <w:tcW w:w="868" w:type="dxa"/>
            <w:vAlign w:val="center"/>
          </w:tcPr>
          <w:p>
            <w:pPr>
              <w:spacing w:line="400" w:lineRule="exact"/>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3</w:t>
            </w:r>
          </w:p>
        </w:tc>
        <w:tc>
          <w:tcPr>
            <w:tcW w:w="1612"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货物配送能力</w:t>
            </w:r>
          </w:p>
        </w:tc>
        <w:tc>
          <w:tcPr>
            <w:tcW w:w="6238"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投标人配备有送货车辆，每配备一辆车，得1分，最高得2分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注：自有车辆的需提供车辆发票、登记证及行驶证复印件，租赁车辆的提供本项目服务期内有效的租赁协议、发票、车辆登记证及行驶证复印件。未提供或提供</w:t>
            </w:r>
            <w:r>
              <w:rPr>
                <w:rFonts w:hint="eastAsia" w:ascii="宋体" w:hAnsi="宋体" w:eastAsia="宋体" w:cs="宋体"/>
                <w:color w:val="auto"/>
                <w:sz w:val="21"/>
                <w:szCs w:val="21"/>
                <w:highlight w:val="none"/>
                <w:lang w:eastAsia="zh-CN"/>
              </w:rPr>
              <w:t>不全</w:t>
            </w:r>
            <w:r>
              <w:rPr>
                <w:rFonts w:hint="eastAsia" w:ascii="宋体" w:hAnsi="宋体" w:eastAsia="宋体" w:cs="宋体"/>
                <w:bCs/>
                <w:color w:val="auto"/>
                <w:sz w:val="21"/>
                <w:szCs w:val="21"/>
                <w:highlight w:val="none"/>
              </w:rPr>
              <w:t>的不得分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投标人配备有送货车辆的，得2分。</w:t>
            </w:r>
          </w:p>
        </w:tc>
        <w:tc>
          <w:tcPr>
            <w:tcW w:w="1258" w:type="dxa"/>
            <w:vAlign w:val="center"/>
          </w:tcPr>
          <w:p>
            <w:pPr>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1" w:hRule="atLeast"/>
          <w:jc w:val="center"/>
        </w:trPr>
        <w:tc>
          <w:tcPr>
            <w:tcW w:w="868"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612"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售后服务方案</w:t>
            </w:r>
          </w:p>
        </w:tc>
        <w:tc>
          <w:tcPr>
            <w:tcW w:w="6238"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根据投标人售后服务方案（方案应包括但不限于以下内容：①质保期</w:t>
            </w:r>
            <w:r>
              <w:rPr>
                <w:rFonts w:hint="eastAsia" w:ascii="宋体" w:hAnsi="宋体" w:eastAsia="宋体" w:cs="宋体"/>
                <w:color w:val="auto"/>
                <w:sz w:val="21"/>
                <w:szCs w:val="21"/>
                <w:highlight w:val="none"/>
                <w:lang w:eastAsia="zh-CN"/>
              </w:rPr>
              <w:t>：根据所投货物产品特性对其进行详尽说明</w:t>
            </w:r>
            <w:r>
              <w:rPr>
                <w:rFonts w:hint="eastAsia" w:ascii="宋体" w:hAnsi="宋体" w:eastAsia="宋体" w:cs="宋体"/>
                <w:color w:val="auto"/>
                <w:sz w:val="21"/>
                <w:szCs w:val="21"/>
                <w:highlight w:val="none"/>
              </w:rPr>
              <w:t>；②售后服务方案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配备</w:t>
            </w:r>
            <w:r>
              <w:rPr>
                <w:rFonts w:hint="eastAsia" w:ascii="宋体" w:hAnsi="宋体" w:eastAsia="宋体" w:cs="宋体"/>
                <w:color w:val="auto"/>
                <w:sz w:val="21"/>
                <w:szCs w:val="21"/>
                <w:highlight w:val="none"/>
                <w:lang w:val="en-US" w:eastAsia="zh-CN"/>
              </w:rPr>
              <w:t>3名及以上售后服务管理师，</w:t>
            </w:r>
            <w:r>
              <w:rPr>
                <w:rFonts w:hint="eastAsia" w:ascii="宋体" w:hAnsi="宋体" w:eastAsia="宋体" w:cs="宋体"/>
                <w:color w:val="auto"/>
                <w:sz w:val="21"/>
                <w:szCs w:val="21"/>
                <w:highlight w:val="none"/>
              </w:rPr>
              <w:t>能为采购人提供全面</w:t>
            </w:r>
            <w:r>
              <w:rPr>
                <w:rFonts w:hint="eastAsia" w:ascii="宋体" w:hAnsi="宋体" w:eastAsia="宋体" w:cs="宋体"/>
                <w:color w:val="auto"/>
                <w:sz w:val="21"/>
                <w:szCs w:val="21"/>
                <w:highlight w:val="none"/>
                <w:lang w:eastAsia="zh-CN"/>
              </w:rPr>
              <w:t>售后服务保障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进行综合评价：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①售后服务方案具体详细、合理可行，能为采购人提供全面保障的，得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②售后服务方案较详细，合理性、可行性较好，能为采购人提供一定保障，得3分；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③售后服务方案较详细，合理性、可行性一般，保障性一般的，得1分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注:须提供售后服务管理师资质证明复印件及投标单位为其购买的近6个月社保证明复印件，不提供或提供不全不得分。</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after="100"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2480" w:type="dxa"/>
            <w:gridSpan w:val="2"/>
            <w:vAlign w:val="center"/>
          </w:tcPr>
          <w:p>
            <w:pPr>
              <w:keepNext w:val="0"/>
              <w:keepLines w:val="0"/>
              <w:pageBreakBefore w:val="0"/>
              <w:widowControl w:val="0"/>
              <w:kinsoku/>
              <w:wordWrap/>
              <w:overflowPunct/>
              <w:topLinePunct w:val="0"/>
              <w:autoSpaceDE w:val="0"/>
              <w:autoSpaceDN w:val="0"/>
              <w:bidi w:val="0"/>
              <w:adjustRightInd w:val="0"/>
              <w:spacing w:line="288"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7496" w:type="dxa"/>
            <w:gridSpan w:val="2"/>
            <w:vAlign w:val="center"/>
          </w:tcPr>
          <w:p>
            <w:pPr>
              <w:keepNext w:val="0"/>
              <w:keepLines w:val="0"/>
              <w:pageBreakBefore w:val="0"/>
              <w:widowControl w:val="0"/>
              <w:kinsoku/>
              <w:wordWrap/>
              <w:overflowPunct/>
              <w:topLinePunct w:val="0"/>
              <w:autoSpaceDE w:val="0"/>
              <w:autoSpaceDN w:val="0"/>
              <w:bidi w:val="0"/>
              <w:adjustRightIn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45分</w:t>
            </w:r>
          </w:p>
        </w:tc>
      </w:tr>
    </w:tbl>
    <w:p>
      <w:pPr>
        <w:keepNext w:val="0"/>
        <w:keepLines w:val="0"/>
        <w:pageBreakBefore w:val="0"/>
        <w:widowControl w:val="0"/>
        <w:kinsoku/>
        <w:wordWrap/>
        <w:overflowPunct/>
        <w:topLinePunct w:val="0"/>
        <w:bidi w:val="0"/>
        <w:spacing w:line="288" w:lineRule="auto"/>
        <w:jc w:val="center"/>
        <w:textAlignment w:val="auto"/>
        <w:rPr>
          <w:rFonts w:hint="eastAsia" w:ascii="宋体" w:hAnsi="宋体"/>
          <w:b/>
          <w:color w:val="auto"/>
          <w:szCs w:val="21"/>
          <w:highlight w:val="none"/>
        </w:rPr>
      </w:pPr>
      <w:r>
        <w:rPr>
          <w:rFonts w:hint="eastAsia" w:ascii="宋体" w:hAnsi="宋体" w:eastAsia="宋体" w:cs="宋体"/>
          <w:b/>
          <w:snapToGrid w:val="0"/>
          <w:color w:val="auto"/>
          <w:kern w:val="0"/>
          <w:sz w:val="21"/>
          <w:szCs w:val="21"/>
          <w:highlight w:val="none"/>
        </w:rPr>
        <w:br w:type="page"/>
      </w:r>
      <w:r>
        <w:rPr>
          <w:rFonts w:hint="eastAsia" w:ascii="宋体" w:hAnsi="宋体" w:cs="宋体"/>
          <w:b/>
          <w:snapToGrid w:val="0"/>
          <w:color w:val="auto"/>
          <w:kern w:val="0"/>
          <w:szCs w:val="21"/>
          <w:highlight w:val="none"/>
        </w:rPr>
        <w:t xml:space="preserve"> </w:t>
      </w:r>
      <w:r>
        <w:rPr>
          <w:rFonts w:hint="eastAsia" w:ascii="宋体" w:hAnsi="宋体"/>
          <w:b/>
          <w:color w:val="auto"/>
          <w:szCs w:val="21"/>
          <w:highlight w:val="none"/>
        </w:rPr>
        <w:t xml:space="preserve">  商务评分表（25分）</w:t>
      </w:r>
    </w:p>
    <w:tbl>
      <w:tblPr>
        <w:tblStyle w:val="22"/>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461"/>
        <w:gridCol w:w="6000"/>
        <w:gridCol w:w="1080"/>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680" w:hRule="exact"/>
          <w:tblHeader/>
        </w:trPr>
        <w:tc>
          <w:tcPr>
            <w:tcW w:w="1461" w:type="dxa"/>
            <w:tcBorders>
              <w:top w:val="single" w:color="auto" w:sz="12" w:space="0"/>
              <w:bottom w:val="single" w:color="auto" w:sz="6" w:space="0"/>
            </w:tcBorders>
            <w:vAlign w:val="center"/>
          </w:tcPr>
          <w:p>
            <w:pPr>
              <w:keepNext w:val="0"/>
              <w:keepLines w:val="0"/>
              <w:pageBreakBefore w:val="0"/>
              <w:kinsoku/>
              <w:wordWrap/>
              <w:autoSpaceDE/>
              <w:autoSpaceDN/>
              <w:bidi w:val="0"/>
              <w:adjustRightInd/>
              <w:snapToGrid w:val="0"/>
              <w:spacing w:before="120" w:beforeLines="50" w:line="312" w:lineRule="auto"/>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评审项目</w:t>
            </w:r>
          </w:p>
        </w:tc>
        <w:tc>
          <w:tcPr>
            <w:tcW w:w="6000" w:type="dxa"/>
            <w:tcBorders>
              <w:top w:val="single" w:color="auto" w:sz="12" w:space="0"/>
              <w:bottom w:val="single" w:color="auto" w:sz="6" w:space="0"/>
            </w:tcBorders>
            <w:vAlign w:val="center"/>
          </w:tcPr>
          <w:p>
            <w:pPr>
              <w:keepNext w:val="0"/>
              <w:keepLines w:val="0"/>
              <w:pageBreakBefore w:val="0"/>
              <w:kinsoku/>
              <w:wordWrap/>
              <w:autoSpaceDE/>
              <w:autoSpaceDN/>
              <w:bidi w:val="0"/>
              <w:adjustRightInd/>
              <w:snapToGrid w:val="0"/>
              <w:spacing w:before="120" w:beforeLines="50" w:line="312" w:lineRule="auto"/>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评分标准</w:t>
            </w:r>
          </w:p>
        </w:tc>
        <w:tc>
          <w:tcPr>
            <w:tcW w:w="1080" w:type="dxa"/>
            <w:tcBorders>
              <w:top w:val="single" w:color="auto" w:sz="12" w:space="0"/>
              <w:bottom w:val="single" w:color="auto" w:sz="6" w:space="0"/>
            </w:tcBorders>
            <w:vAlign w:val="center"/>
          </w:tcPr>
          <w:p>
            <w:pPr>
              <w:keepNext w:val="0"/>
              <w:keepLines w:val="0"/>
              <w:pageBreakBefore w:val="0"/>
              <w:kinsoku/>
              <w:wordWrap/>
              <w:autoSpaceDE/>
              <w:autoSpaceDN/>
              <w:bidi w:val="0"/>
              <w:adjustRightInd/>
              <w:snapToGrid w:val="0"/>
              <w:spacing w:before="120" w:beforeLines="50" w:line="312" w:lineRule="auto"/>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分值</w:t>
            </w:r>
          </w:p>
        </w:tc>
        <w:tc>
          <w:tcPr>
            <w:tcW w:w="819" w:type="dxa"/>
            <w:tcBorders>
              <w:top w:val="single" w:color="auto" w:sz="12" w:space="0"/>
              <w:bottom w:val="single" w:color="auto" w:sz="6" w:space="0"/>
            </w:tcBorders>
            <w:vAlign w:val="center"/>
          </w:tcPr>
          <w:p>
            <w:pPr>
              <w:keepNext w:val="0"/>
              <w:keepLines w:val="0"/>
              <w:pageBreakBefore w:val="0"/>
              <w:kinsoku/>
              <w:wordWrap/>
              <w:autoSpaceDE/>
              <w:autoSpaceDN/>
              <w:bidi w:val="0"/>
              <w:adjustRightInd/>
              <w:snapToGrid w:val="0"/>
              <w:spacing w:before="120" w:beforeLines="50" w:line="312" w:lineRule="auto"/>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c>
          <w:tcPr>
            <w:tcW w:w="146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商务条款</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eastAsia="宋体"/>
                <w:color w:val="auto"/>
                <w:sz w:val="21"/>
                <w:szCs w:val="21"/>
                <w:highlight w:val="none"/>
                <w:lang w:eastAsia="zh-CN"/>
              </w:rPr>
            </w:pPr>
            <w:r>
              <w:rPr>
                <w:rFonts w:hint="eastAsia" w:ascii="宋体" w:hAnsi="宋体"/>
                <w:color w:val="auto"/>
                <w:sz w:val="21"/>
                <w:szCs w:val="21"/>
                <w:highlight w:val="none"/>
              </w:rPr>
              <w:t>响应</w:t>
            </w:r>
            <w:r>
              <w:rPr>
                <w:rFonts w:hint="eastAsia" w:ascii="宋体" w:hAnsi="宋体"/>
                <w:color w:val="auto"/>
                <w:sz w:val="21"/>
                <w:szCs w:val="21"/>
                <w:highlight w:val="none"/>
                <w:lang w:eastAsia="zh-CN"/>
              </w:rPr>
              <w:t>情况</w:t>
            </w:r>
          </w:p>
        </w:tc>
        <w:tc>
          <w:tcPr>
            <w:tcW w:w="6000" w:type="dxa"/>
            <w:vAlign w:val="center"/>
          </w:tcPr>
          <w:p>
            <w:pPr>
              <w:pStyle w:val="37"/>
              <w:keepNext w:val="0"/>
              <w:keepLines w:val="0"/>
              <w:pageBreakBefore w:val="0"/>
              <w:widowControl w:val="0"/>
              <w:kinsoku/>
              <w:wordWrap/>
              <w:overflowPunct/>
              <w:topLinePunct w:val="0"/>
              <w:autoSpaceDE/>
              <w:autoSpaceDN/>
              <w:bidi w:val="0"/>
              <w:adjustRightInd/>
              <w:snapToGrid/>
              <w:spacing w:after="0" w:line="240" w:lineRule="auto"/>
              <w:ind w:left="14"/>
              <w:textAlignment w:val="auto"/>
              <w:rPr>
                <w:rFonts w:hint="eastAsia" w:cs="Times New Roman"/>
                <w:color w:val="auto"/>
                <w:spacing w:val="-2"/>
                <w:sz w:val="21"/>
                <w:szCs w:val="21"/>
              </w:rPr>
            </w:pPr>
            <w:r>
              <w:rPr>
                <w:rFonts w:hint="eastAsia" w:cs="Times New Roman"/>
                <w:color w:val="auto"/>
                <w:spacing w:val="-2"/>
                <w:sz w:val="21"/>
                <w:szCs w:val="21"/>
              </w:rPr>
              <w:t>根据各投标人商务条款响应情况进行评审：</w:t>
            </w:r>
          </w:p>
          <w:p>
            <w:pPr>
              <w:pStyle w:val="37"/>
              <w:keepNext w:val="0"/>
              <w:keepLines w:val="0"/>
              <w:pageBreakBefore w:val="0"/>
              <w:widowControl w:val="0"/>
              <w:kinsoku/>
              <w:wordWrap/>
              <w:overflowPunct/>
              <w:topLinePunct w:val="0"/>
              <w:autoSpaceDE/>
              <w:autoSpaceDN/>
              <w:bidi w:val="0"/>
              <w:adjustRightInd/>
              <w:snapToGrid/>
              <w:spacing w:after="0" w:line="240" w:lineRule="auto"/>
              <w:ind w:left="14"/>
              <w:textAlignment w:val="auto"/>
              <w:rPr>
                <w:rFonts w:hint="eastAsia" w:cs="Times New Roman"/>
                <w:color w:val="auto"/>
                <w:spacing w:val="-2"/>
                <w:sz w:val="21"/>
                <w:szCs w:val="21"/>
              </w:rPr>
            </w:pPr>
            <w:r>
              <w:rPr>
                <w:rFonts w:hint="eastAsia" w:cs="Times New Roman"/>
                <w:color w:val="auto"/>
                <w:spacing w:val="-2"/>
                <w:sz w:val="21"/>
                <w:szCs w:val="21"/>
              </w:rPr>
              <w:t xml:space="preserve">对招标文件中的商务条款完全响应，具有正偏离得 </w:t>
            </w:r>
            <w:r>
              <w:rPr>
                <w:rFonts w:hint="eastAsia" w:cs="Times New Roman"/>
                <w:color w:val="auto"/>
                <w:spacing w:val="-2"/>
                <w:sz w:val="21"/>
                <w:szCs w:val="21"/>
                <w:lang w:val="en-US" w:eastAsia="zh-CN"/>
              </w:rPr>
              <w:t>5</w:t>
            </w:r>
            <w:r>
              <w:rPr>
                <w:rFonts w:hint="eastAsia" w:cs="Times New Roman"/>
                <w:color w:val="auto"/>
                <w:spacing w:val="-2"/>
                <w:sz w:val="21"/>
                <w:szCs w:val="21"/>
              </w:rPr>
              <w:t xml:space="preserve"> 分；</w:t>
            </w:r>
          </w:p>
          <w:p>
            <w:pPr>
              <w:pStyle w:val="37"/>
              <w:keepNext w:val="0"/>
              <w:keepLines w:val="0"/>
              <w:pageBreakBefore w:val="0"/>
              <w:widowControl w:val="0"/>
              <w:kinsoku/>
              <w:wordWrap/>
              <w:overflowPunct/>
              <w:topLinePunct w:val="0"/>
              <w:autoSpaceDE/>
              <w:autoSpaceDN/>
              <w:bidi w:val="0"/>
              <w:adjustRightInd/>
              <w:snapToGrid/>
              <w:spacing w:after="0" w:line="240" w:lineRule="auto"/>
              <w:ind w:left="14"/>
              <w:textAlignment w:val="auto"/>
              <w:rPr>
                <w:rFonts w:hint="eastAsia" w:cs="Times New Roman"/>
                <w:color w:val="auto"/>
                <w:spacing w:val="-2"/>
                <w:sz w:val="21"/>
                <w:szCs w:val="21"/>
              </w:rPr>
            </w:pPr>
            <w:r>
              <w:rPr>
                <w:rFonts w:hint="eastAsia" w:cs="Times New Roman"/>
                <w:color w:val="auto"/>
                <w:spacing w:val="-2"/>
                <w:sz w:val="21"/>
                <w:szCs w:val="21"/>
              </w:rPr>
              <w:t xml:space="preserve">对招标文件中的商务条款完全响应，全部无偏离得 </w:t>
            </w:r>
            <w:r>
              <w:rPr>
                <w:rFonts w:hint="eastAsia" w:cs="Times New Roman"/>
                <w:color w:val="auto"/>
                <w:spacing w:val="-2"/>
                <w:sz w:val="21"/>
                <w:szCs w:val="21"/>
                <w:lang w:val="en-US" w:eastAsia="zh-CN"/>
              </w:rPr>
              <w:t>3</w:t>
            </w:r>
            <w:r>
              <w:rPr>
                <w:rFonts w:hint="eastAsia" w:cs="Times New Roman"/>
                <w:color w:val="auto"/>
                <w:spacing w:val="-2"/>
                <w:sz w:val="21"/>
                <w:szCs w:val="21"/>
              </w:rPr>
              <w:t xml:space="preserve"> 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color w:val="auto"/>
                <w:sz w:val="21"/>
                <w:szCs w:val="21"/>
                <w:highlight w:val="none"/>
              </w:rPr>
            </w:pPr>
            <w:r>
              <w:rPr>
                <w:rFonts w:hint="eastAsia" w:cs="Times New Roman"/>
                <w:color w:val="auto"/>
                <w:spacing w:val="-2"/>
                <w:sz w:val="21"/>
                <w:szCs w:val="21"/>
              </w:rPr>
              <w:t xml:space="preserve">对招标文件中的商务条款不响应或有负偏离，得 </w:t>
            </w:r>
            <w:r>
              <w:rPr>
                <w:rFonts w:hint="eastAsia" w:cs="Times New Roman"/>
                <w:color w:val="auto"/>
                <w:spacing w:val="-2"/>
                <w:sz w:val="21"/>
                <w:szCs w:val="21"/>
                <w:lang w:val="en-US" w:eastAsia="zh-CN"/>
              </w:rPr>
              <w:t>1</w:t>
            </w:r>
            <w:r>
              <w:rPr>
                <w:rFonts w:hint="eastAsia" w:cs="Times New Roman"/>
                <w:color w:val="auto"/>
                <w:spacing w:val="-2"/>
                <w:sz w:val="21"/>
                <w:szCs w:val="21"/>
              </w:rPr>
              <w:t xml:space="preserve"> 分</w:t>
            </w:r>
          </w:p>
        </w:tc>
        <w:tc>
          <w:tcPr>
            <w:tcW w:w="1080" w:type="dxa"/>
            <w:vAlign w:val="center"/>
          </w:tcPr>
          <w:p>
            <w:pPr>
              <w:keepNext w:val="0"/>
              <w:keepLines w:val="0"/>
              <w:pageBreakBefore w:val="0"/>
              <w:kinsoku/>
              <w:wordWrap/>
              <w:autoSpaceDE/>
              <w:autoSpaceDN/>
              <w:bidi w:val="0"/>
              <w:adjustRightInd/>
              <w:spacing w:line="312" w:lineRule="auto"/>
              <w:jc w:val="center"/>
              <w:textAlignment w:val="auto"/>
              <w:rPr>
                <w:rFonts w:hint="eastAsia" w:asci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819" w:type="dxa"/>
            <w:vAlign w:val="center"/>
          </w:tcPr>
          <w:p>
            <w:pPr>
              <w:keepNext w:val="0"/>
              <w:keepLines w:val="0"/>
              <w:pageBreakBefore w:val="0"/>
              <w:kinsoku/>
              <w:wordWrap/>
              <w:autoSpaceDE/>
              <w:autoSpaceDN/>
              <w:bidi w:val="0"/>
              <w:adjustRightInd/>
              <w:snapToGrid w:val="0"/>
              <w:spacing w:line="312" w:lineRule="auto"/>
              <w:ind w:left="210" w:leftChars="100"/>
              <w:jc w:val="center"/>
              <w:textAlignment w:val="auto"/>
              <w:rPr>
                <w:rFonts w:ascii="宋体" w:hAnsi="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c>
          <w:tcPr>
            <w:tcW w:w="146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color w:val="auto"/>
                <w:sz w:val="21"/>
                <w:szCs w:val="21"/>
                <w:highlight w:val="none"/>
              </w:rPr>
            </w:pPr>
            <w:r>
              <w:rPr>
                <w:rFonts w:hint="eastAsia" w:ascii="宋体" w:hAnsi="宋体"/>
                <w:color w:val="auto"/>
                <w:sz w:val="21"/>
                <w:szCs w:val="21"/>
                <w:highlight w:val="none"/>
              </w:rPr>
              <w:t>同类项目业绩</w:t>
            </w:r>
          </w:p>
        </w:tc>
        <w:tc>
          <w:tcPr>
            <w:tcW w:w="6000" w:type="dxa"/>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kern w:val="0"/>
                <w:sz w:val="21"/>
                <w:szCs w:val="21"/>
                <w:highlight w:val="none"/>
              </w:rPr>
            </w:pPr>
            <w:r>
              <w:rPr>
                <w:rFonts w:hint="eastAsia" w:ascii="宋体" w:hAnsi="宋体"/>
                <w:color w:val="auto"/>
                <w:sz w:val="21"/>
                <w:szCs w:val="21"/>
                <w:highlight w:val="none"/>
              </w:rPr>
              <w:t>投标人自2018年1月1日（以合同的签订时间为准）以来具有同类项目业绩，每一项得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bCs/>
                <w:color w:val="auto"/>
                <w:sz w:val="21"/>
                <w:szCs w:val="21"/>
                <w:highlight w:val="none"/>
              </w:rPr>
            </w:pPr>
            <w:r>
              <w:rPr>
                <w:rFonts w:hint="eastAsia" w:ascii="宋体" w:hAnsi="宋体" w:cs="宋体"/>
                <w:color w:val="auto"/>
                <w:kern w:val="0"/>
                <w:sz w:val="21"/>
                <w:szCs w:val="21"/>
                <w:highlight w:val="none"/>
              </w:rPr>
              <w:t>注：须提供合同</w:t>
            </w:r>
            <w:r>
              <w:rPr>
                <w:rFonts w:hint="eastAsia" w:ascii="宋体" w:hAnsi="宋体" w:cs="宋体"/>
                <w:color w:val="auto"/>
                <w:kern w:val="0"/>
                <w:sz w:val="21"/>
                <w:szCs w:val="21"/>
                <w:highlight w:val="none"/>
                <w:lang w:eastAsia="zh-CN"/>
              </w:rPr>
              <w:t>和</w:t>
            </w:r>
            <w:r>
              <w:rPr>
                <w:rFonts w:hint="eastAsia" w:ascii="宋体" w:hAnsi="宋体" w:cs="宋体"/>
                <w:color w:val="auto"/>
                <w:kern w:val="0"/>
                <w:sz w:val="21"/>
                <w:szCs w:val="21"/>
                <w:highlight w:val="none"/>
              </w:rPr>
              <w:t>中标（成交）通知书复印件</w:t>
            </w:r>
            <w:r>
              <w:rPr>
                <w:rFonts w:hint="eastAsia" w:ascii="宋体" w:hAnsi="宋体" w:cs="宋体"/>
                <w:color w:val="auto"/>
                <w:kern w:val="0"/>
                <w:szCs w:val="21"/>
                <w:highlight w:val="none"/>
              </w:rPr>
              <w:t>及相关招标网站发布的中标公告截图</w:t>
            </w:r>
            <w:r>
              <w:rPr>
                <w:rFonts w:hint="eastAsia" w:ascii="宋体" w:hAnsi="宋体" w:cs="宋体"/>
                <w:color w:val="auto"/>
                <w:kern w:val="0"/>
                <w:sz w:val="21"/>
                <w:szCs w:val="21"/>
                <w:highlight w:val="none"/>
                <w:lang w:eastAsia="zh-CN"/>
              </w:rPr>
              <w:t>，</w:t>
            </w:r>
            <w:r>
              <w:rPr>
                <w:rFonts w:hint="eastAsia" w:ascii="宋体" w:hAnsi="宋体"/>
                <w:color w:val="auto"/>
                <w:sz w:val="21"/>
                <w:szCs w:val="21"/>
                <w:highlight w:val="none"/>
              </w:rPr>
              <w:t>未提供或</w:t>
            </w:r>
            <w:r>
              <w:rPr>
                <w:rFonts w:hint="eastAsia" w:ascii="宋体" w:hAnsi="宋体" w:cs="宋体"/>
                <w:color w:val="auto"/>
                <w:sz w:val="21"/>
                <w:szCs w:val="21"/>
                <w:highlight w:val="none"/>
              </w:rPr>
              <w:t>提供的</w:t>
            </w:r>
            <w:r>
              <w:rPr>
                <w:rFonts w:hint="eastAsia" w:ascii="宋体" w:hAnsi="宋体"/>
                <w:bCs/>
                <w:color w:val="auto"/>
                <w:sz w:val="21"/>
                <w:szCs w:val="21"/>
                <w:highlight w:val="none"/>
              </w:rPr>
              <w:t>不满足要求的，不得分</w:t>
            </w:r>
            <w:r>
              <w:rPr>
                <w:rFonts w:hint="eastAsia" w:ascii="宋体" w:hAnsi="宋体" w:cs="宋体"/>
                <w:color w:val="auto"/>
                <w:kern w:val="0"/>
                <w:sz w:val="21"/>
                <w:szCs w:val="21"/>
                <w:highlight w:val="none"/>
              </w:rPr>
              <w:t>。</w:t>
            </w:r>
          </w:p>
        </w:tc>
        <w:tc>
          <w:tcPr>
            <w:tcW w:w="1080" w:type="dxa"/>
            <w:vAlign w:val="center"/>
          </w:tcPr>
          <w:p>
            <w:pPr>
              <w:keepNext w:val="0"/>
              <w:keepLines w:val="0"/>
              <w:pageBreakBefore w:val="0"/>
              <w:kinsoku/>
              <w:wordWrap/>
              <w:autoSpaceDE/>
              <w:autoSpaceDN/>
              <w:bidi w:val="0"/>
              <w:adjustRightInd/>
              <w:spacing w:line="312" w:lineRule="auto"/>
              <w:jc w:val="center"/>
              <w:textAlignment w:val="auto"/>
              <w:rPr>
                <w:rFonts w:hint="eastAsia" w:asci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819" w:type="dxa"/>
            <w:vAlign w:val="center"/>
          </w:tcPr>
          <w:p>
            <w:pPr>
              <w:keepNext w:val="0"/>
              <w:keepLines w:val="0"/>
              <w:pageBreakBefore w:val="0"/>
              <w:kinsoku/>
              <w:wordWrap/>
              <w:autoSpaceDE/>
              <w:autoSpaceDN/>
              <w:bidi w:val="0"/>
              <w:adjustRightInd/>
              <w:snapToGrid w:val="0"/>
              <w:spacing w:line="312" w:lineRule="auto"/>
              <w:ind w:left="210" w:leftChars="100"/>
              <w:jc w:val="center"/>
              <w:textAlignment w:val="auto"/>
              <w:rPr>
                <w:rFonts w:ascii="宋体" w:hAnsi="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c>
          <w:tcPr>
            <w:tcW w:w="146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color w:val="auto"/>
                <w:sz w:val="21"/>
                <w:szCs w:val="21"/>
                <w:highlight w:val="none"/>
              </w:rPr>
            </w:pPr>
            <w:r>
              <w:rPr>
                <w:rFonts w:hint="eastAsia" w:ascii="宋体" w:hAnsi="宋体"/>
                <w:color w:val="auto"/>
                <w:sz w:val="21"/>
                <w:szCs w:val="21"/>
                <w:highlight w:val="none"/>
              </w:rPr>
              <w:t>投标人</w:t>
            </w:r>
            <w:r>
              <w:rPr>
                <w:rFonts w:hint="eastAsia" w:ascii="宋体" w:hAnsi="宋体"/>
                <w:color w:val="auto"/>
                <w:sz w:val="21"/>
                <w:szCs w:val="21"/>
                <w:highlight w:val="none"/>
                <w:lang w:eastAsia="zh-CN"/>
              </w:rPr>
              <w:t>荣誉、</w:t>
            </w:r>
            <w:r>
              <w:rPr>
                <w:rFonts w:hint="eastAsia" w:ascii="宋体" w:hAnsi="宋体"/>
                <w:color w:val="auto"/>
                <w:sz w:val="21"/>
                <w:szCs w:val="21"/>
                <w:highlight w:val="none"/>
              </w:rPr>
              <w:t>信誉</w:t>
            </w:r>
          </w:p>
        </w:tc>
        <w:tc>
          <w:tcPr>
            <w:tcW w:w="6000" w:type="dxa"/>
            <w:vAlign w:val="top"/>
          </w:tcPr>
          <w:p>
            <w:pPr>
              <w:pStyle w:val="37"/>
              <w:keepNext w:val="0"/>
              <w:keepLines w:val="0"/>
              <w:pageBreakBefore w:val="0"/>
              <w:kinsoku/>
              <w:wordWrap/>
              <w:overflowPunct/>
              <w:topLinePunct w:val="0"/>
              <w:autoSpaceDE/>
              <w:autoSpaceDN/>
              <w:bidi w:val="0"/>
              <w:adjustRightInd/>
              <w:snapToGrid/>
              <w:spacing w:after="0" w:line="288" w:lineRule="auto"/>
              <w:ind w:left="14" w:right="4"/>
              <w:textAlignment w:val="auto"/>
              <w:rPr>
                <w:rFonts w:cs="Times New Roman"/>
                <w:color w:val="auto"/>
                <w:sz w:val="21"/>
                <w:szCs w:val="21"/>
                <w:highlight w:val="none"/>
              </w:rPr>
            </w:pPr>
            <w:r>
              <w:rPr>
                <w:rFonts w:hint="eastAsia" w:cs="Times New Roman"/>
                <w:color w:val="auto"/>
                <w:sz w:val="21"/>
                <w:szCs w:val="21"/>
                <w:highlight w:val="none"/>
              </w:rPr>
              <w:t>投标人具有售后服务体系完善程度认证证书五星级以上的</w:t>
            </w:r>
            <w:r>
              <w:rPr>
                <w:rFonts w:hint="eastAsia" w:cs="Times New Roman"/>
                <w:color w:val="auto"/>
                <w:spacing w:val="-29"/>
                <w:sz w:val="21"/>
                <w:szCs w:val="21"/>
                <w:highlight w:val="none"/>
              </w:rPr>
              <w:t xml:space="preserve">得 </w:t>
            </w:r>
            <w:r>
              <w:rPr>
                <w:rFonts w:hint="eastAsia" w:cs="Times New Roman"/>
                <w:color w:val="auto"/>
                <w:sz w:val="21"/>
                <w:szCs w:val="21"/>
                <w:highlight w:val="none"/>
                <w:lang w:val="en-US" w:eastAsia="zh-CN"/>
              </w:rPr>
              <w:t>4</w:t>
            </w:r>
            <w:r>
              <w:rPr>
                <w:rFonts w:hint="eastAsia" w:cs="Times New Roman"/>
                <w:color w:val="auto"/>
                <w:spacing w:val="-12"/>
                <w:sz w:val="21"/>
                <w:szCs w:val="21"/>
                <w:highlight w:val="none"/>
              </w:rPr>
              <w:t>分</w:t>
            </w:r>
            <w:r>
              <w:rPr>
                <w:rFonts w:hint="eastAsia" w:cs="Times New Roman"/>
                <w:color w:val="auto"/>
                <w:spacing w:val="-9"/>
                <w:sz w:val="21"/>
                <w:szCs w:val="21"/>
                <w:highlight w:val="none"/>
              </w:rPr>
              <w:t>，四星级至五星级(含五星级</w:t>
            </w:r>
            <w:r>
              <w:rPr>
                <w:rFonts w:hint="eastAsia" w:cs="Times New Roman"/>
                <w:color w:val="auto"/>
                <w:spacing w:val="-5"/>
                <w:sz w:val="21"/>
                <w:szCs w:val="21"/>
                <w:highlight w:val="none"/>
              </w:rPr>
              <w:t>）</w:t>
            </w:r>
            <w:r>
              <w:rPr>
                <w:rFonts w:hint="eastAsia" w:cs="Times New Roman"/>
                <w:color w:val="auto"/>
                <w:spacing w:val="-15"/>
                <w:sz w:val="21"/>
                <w:szCs w:val="21"/>
                <w:highlight w:val="none"/>
              </w:rPr>
              <w:t xml:space="preserve">得 </w:t>
            </w:r>
            <w:r>
              <w:rPr>
                <w:rFonts w:hint="eastAsia" w:cs="Times New Roman"/>
                <w:color w:val="auto"/>
                <w:sz w:val="21"/>
                <w:szCs w:val="21"/>
                <w:highlight w:val="none"/>
              </w:rPr>
              <w:t>2</w:t>
            </w:r>
            <w:r>
              <w:rPr>
                <w:rFonts w:hint="eastAsia" w:cs="Times New Roman"/>
                <w:color w:val="auto"/>
                <w:spacing w:val="-13"/>
                <w:sz w:val="21"/>
                <w:szCs w:val="21"/>
                <w:highlight w:val="none"/>
              </w:rPr>
              <w:t xml:space="preserve"> 分，四星级（不含四星级）以下得1分，无不得分。</w:t>
            </w:r>
          </w:p>
          <w:p>
            <w:pPr>
              <w:pStyle w:val="37"/>
              <w:keepNext w:val="0"/>
              <w:keepLines w:val="0"/>
              <w:pageBreakBefore w:val="0"/>
              <w:widowControl w:val="0"/>
              <w:kinsoku/>
              <w:wordWrap/>
              <w:overflowPunct/>
              <w:topLinePunct w:val="0"/>
              <w:autoSpaceDE/>
              <w:autoSpaceDN/>
              <w:bidi w:val="0"/>
              <w:adjustRightInd/>
              <w:snapToGrid/>
              <w:spacing w:after="0" w:line="288" w:lineRule="auto"/>
              <w:ind w:left="11"/>
              <w:textAlignment w:val="auto"/>
              <w:rPr>
                <w:rFonts w:cs="Times New Roman"/>
                <w:color w:val="auto"/>
                <w:sz w:val="21"/>
                <w:szCs w:val="21"/>
                <w:highlight w:val="none"/>
              </w:rPr>
            </w:pPr>
            <w:r>
              <w:rPr>
                <w:rFonts w:hint="eastAsia" w:cs="Times New Roman"/>
                <w:color w:val="auto"/>
                <w:sz w:val="21"/>
                <w:szCs w:val="21"/>
                <w:highlight w:val="none"/>
              </w:rPr>
              <w:t>（须提供证书复印件和在全国认证认可信息公共服务平台</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color w:val="auto"/>
                <w:sz w:val="21"/>
                <w:szCs w:val="21"/>
                <w:highlight w:val="none"/>
              </w:rPr>
            </w:pPr>
            <w:r>
              <w:rPr>
                <w:color w:val="auto"/>
                <w:highlight w:val="none"/>
              </w:rPr>
              <w:fldChar w:fldCharType="begin"/>
            </w:r>
            <w:r>
              <w:rPr>
                <w:color w:val="auto"/>
                <w:highlight w:val="none"/>
              </w:rPr>
              <w:instrText xml:space="preserve"> HYPERLINK "http://cx.cnca.cn/" </w:instrText>
            </w:r>
            <w:r>
              <w:rPr>
                <w:color w:val="auto"/>
                <w:highlight w:val="none"/>
              </w:rPr>
              <w:fldChar w:fldCharType="separate"/>
            </w:r>
            <w:r>
              <w:rPr>
                <w:rStyle w:val="20"/>
                <w:rFonts w:hint="eastAsia" w:cs="Times New Roman"/>
                <w:color w:val="auto"/>
                <w:highlight w:val="none"/>
              </w:rPr>
              <w:t xml:space="preserve">http://cx.cnca.cn </w:t>
            </w:r>
            <w:r>
              <w:rPr>
                <w:rFonts w:hint="eastAsia" w:cs="Times New Roman"/>
                <w:color w:val="auto"/>
                <w:highlight w:val="none"/>
              </w:rPr>
              <w:fldChar w:fldCharType="end"/>
            </w:r>
            <w:r>
              <w:rPr>
                <w:rFonts w:hint="eastAsia" w:cs="Times New Roman"/>
                <w:color w:val="auto"/>
                <w:spacing w:val="-13"/>
                <w:sz w:val="21"/>
                <w:szCs w:val="21"/>
                <w:highlight w:val="none"/>
              </w:rPr>
              <w:t>查询结果的截图，证书状态必须为“有效”，不提供或不符合要求不得分。）</w:t>
            </w:r>
          </w:p>
        </w:tc>
        <w:tc>
          <w:tcPr>
            <w:tcW w:w="1080" w:type="dxa"/>
            <w:vAlign w:val="center"/>
          </w:tcPr>
          <w:p>
            <w:pPr>
              <w:keepNext w:val="0"/>
              <w:keepLines w:val="0"/>
              <w:pageBreakBefore w:val="0"/>
              <w:kinsoku/>
              <w:wordWrap/>
              <w:autoSpaceDE/>
              <w:autoSpaceDN/>
              <w:bidi w:val="0"/>
              <w:adjustRightInd/>
              <w:spacing w:line="312" w:lineRule="auto"/>
              <w:jc w:val="center"/>
              <w:textAlignment w:val="auto"/>
              <w:rPr>
                <w:rFonts w:hint="eastAsia" w:ascii="宋体" w:eastAsia="宋体"/>
                <w:bCs/>
                <w:color w:val="auto"/>
                <w:sz w:val="21"/>
                <w:szCs w:val="21"/>
                <w:highlight w:val="none"/>
                <w:lang w:eastAsia="zh-CN"/>
              </w:rPr>
            </w:pPr>
            <w:r>
              <w:rPr>
                <w:rFonts w:hint="eastAsia" w:ascii="宋体" w:hAnsi="宋体"/>
                <w:color w:val="auto"/>
                <w:sz w:val="21"/>
                <w:szCs w:val="21"/>
                <w:highlight w:val="none"/>
                <w:lang w:val="en-US" w:eastAsia="zh-CN"/>
              </w:rPr>
              <w:t>4</w:t>
            </w:r>
          </w:p>
        </w:tc>
        <w:tc>
          <w:tcPr>
            <w:tcW w:w="819" w:type="dxa"/>
            <w:vAlign w:val="center"/>
          </w:tcPr>
          <w:p>
            <w:pPr>
              <w:keepNext w:val="0"/>
              <w:keepLines w:val="0"/>
              <w:pageBreakBefore w:val="0"/>
              <w:widowControl/>
              <w:kinsoku/>
              <w:wordWrap/>
              <w:autoSpaceDE/>
              <w:autoSpaceDN/>
              <w:bidi w:val="0"/>
              <w:adjustRightInd/>
              <w:snapToGrid w:val="0"/>
              <w:spacing w:line="312" w:lineRule="auto"/>
              <w:ind w:left="210" w:leftChars="100"/>
              <w:jc w:val="center"/>
              <w:textAlignment w:val="auto"/>
              <w:rPr>
                <w:rFonts w:ascii="宋体" w:hAnsi="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c>
          <w:tcPr>
            <w:tcW w:w="146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管理体系</w:t>
            </w:r>
          </w:p>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color w:val="auto"/>
                <w:sz w:val="21"/>
                <w:szCs w:val="21"/>
                <w:highlight w:val="none"/>
              </w:rPr>
            </w:pPr>
            <w:r>
              <w:rPr>
                <w:rFonts w:hint="eastAsia" w:ascii="宋体" w:hAnsi="宋体"/>
                <w:color w:val="auto"/>
                <w:sz w:val="21"/>
                <w:szCs w:val="21"/>
                <w:highlight w:val="none"/>
              </w:rPr>
              <w:t>认证</w:t>
            </w:r>
          </w:p>
        </w:tc>
        <w:tc>
          <w:tcPr>
            <w:tcW w:w="6000"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bCs/>
                <w:color w:val="auto"/>
                <w:sz w:val="21"/>
                <w:szCs w:val="21"/>
                <w:highlight w:val="none"/>
                <w:lang w:val="en-US"/>
              </w:rPr>
            </w:pPr>
            <w:r>
              <w:rPr>
                <w:rFonts w:hint="eastAsia" w:ascii="宋体" w:hAnsi="宋体"/>
                <w:bCs/>
                <w:color w:val="auto"/>
                <w:sz w:val="21"/>
                <w:szCs w:val="21"/>
                <w:highlight w:val="none"/>
              </w:rPr>
              <w:t>投标人具有有效的质量管理体系认证证书、环境管理体系认证证书、</w:t>
            </w:r>
            <w:r>
              <w:rPr>
                <w:rFonts w:hint="eastAsia" w:ascii="宋体" w:hAnsi="宋体"/>
                <w:color w:val="auto"/>
                <w:sz w:val="21"/>
                <w:szCs w:val="21"/>
                <w:highlight w:val="none"/>
                <w:lang w:eastAsia="zh-CN"/>
              </w:rPr>
              <w:t>诚信管理体系认证证书</w:t>
            </w:r>
            <w:r>
              <w:rPr>
                <w:rFonts w:hint="eastAsia" w:ascii="宋体" w:hAnsi="宋体"/>
                <w:bCs/>
                <w:color w:val="auto"/>
                <w:sz w:val="21"/>
                <w:szCs w:val="21"/>
                <w:highlight w:val="none"/>
              </w:rPr>
              <w:t>，</w:t>
            </w:r>
            <w:r>
              <w:rPr>
                <w:rFonts w:hint="eastAsia" w:ascii="宋体" w:hAnsi="宋体"/>
                <w:bCs/>
                <w:color w:val="auto"/>
                <w:sz w:val="21"/>
                <w:szCs w:val="21"/>
                <w:highlight w:val="none"/>
                <w:lang w:eastAsia="zh-CN"/>
              </w:rPr>
              <w:t>全部</w:t>
            </w:r>
            <w:r>
              <w:rPr>
                <w:rFonts w:hint="eastAsia" w:ascii="宋体" w:hAnsi="宋体"/>
                <w:bCs/>
                <w:color w:val="auto"/>
                <w:sz w:val="21"/>
                <w:szCs w:val="21"/>
                <w:highlight w:val="none"/>
                <w:lang w:val="en-US" w:eastAsia="zh-CN"/>
              </w:rPr>
              <w:t>满足</w:t>
            </w:r>
            <w:r>
              <w:rPr>
                <w:rFonts w:hint="eastAsia" w:ascii="宋体" w:hAnsi="宋体"/>
                <w:bCs/>
                <w:color w:val="auto"/>
                <w:sz w:val="21"/>
                <w:szCs w:val="21"/>
                <w:highlight w:val="none"/>
                <w:lang w:eastAsia="zh-CN"/>
              </w:rPr>
              <w:t>得</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有</w:t>
            </w:r>
            <w:r>
              <w:rPr>
                <w:rFonts w:hint="eastAsia" w:ascii="宋体" w:hAnsi="宋体"/>
                <w:bCs/>
                <w:color w:val="auto"/>
                <w:sz w:val="21"/>
                <w:szCs w:val="21"/>
                <w:highlight w:val="none"/>
                <w:lang w:eastAsia="zh-CN"/>
              </w:rPr>
              <w:t>任意两个证书</w:t>
            </w:r>
            <w:r>
              <w:rPr>
                <w:rFonts w:hint="eastAsia" w:ascii="宋体" w:hAnsi="宋体"/>
                <w:bCs/>
                <w:color w:val="auto"/>
                <w:sz w:val="21"/>
                <w:szCs w:val="21"/>
                <w:highlight w:val="none"/>
                <w:lang w:val="en-US" w:eastAsia="zh-CN"/>
              </w:rPr>
              <w:t>的</w:t>
            </w:r>
            <w:r>
              <w:rPr>
                <w:rFonts w:hint="eastAsia" w:ascii="宋体" w:hAnsi="宋体"/>
                <w:bCs/>
                <w:color w:val="auto"/>
                <w:sz w:val="21"/>
                <w:szCs w:val="21"/>
                <w:highlight w:val="none"/>
                <w:lang w:eastAsia="zh-CN"/>
              </w:rPr>
              <w:t>得</w:t>
            </w:r>
            <w:r>
              <w:rPr>
                <w:rFonts w:hint="eastAsia" w:ascii="宋体" w:hAnsi="宋体"/>
                <w:bCs/>
                <w:color w:val="auto"/>
                <w:sz w:val="21"/>
                <w:szCs w:val="21"/>
                <w:highlight w:val="none"/>
                <w:lang w:val="en-US" w:eastAsia="zh-CN"/>
              </w:rPr>
              <w:t>2分；任意1个证书得1分；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bCs/>
                <w:color w:val="auto"/>
                <w:sz w:val="21"/>
                <w:szCs w:val="21"/>
                <w:highlight w:val="none"/>
              </w:rPr>
            </w:pPr>
            <w:r>
              <w:rPr>
                <w:rFonts w:hint="eastAsia" w:ascii="宋体" w:hAnsi="宋体" w:cs="宋体"/>
                <w:bCs/>
                <w:color w:val="auto"/>
                <w:sz w:val="21"/>
                <w:szCs w:val="21"/>
                <w:highlight w:val="none"/>
              </w:rPr>
              <w:t>（提供证书复印件</w:t>
            </w:r>
            <w:r>
              <w:rPr>
                <w:rFonts w:hint="eastAsia" w:ascii="宋体" w:hAnsi="宋体" w:cs="宋体"/>
                <w:color w:val="auto"/>
                <w:sz w:val="21"/>
                <w:szCs w:val="21"/>
                <w:highlight w:val="none"/>
              </w:rPr>
              <w:t>以</w:t>
            </w:r>
            <w:r>
              <w:rPr>
                <w:rFonts w:hint="eastAsia" w:ascii="宋体" w:hAnsi="宋体" w:cs="宋体"/>
                <w:color w:val="auto"/>
                <w:sz w:val="21"/>
                <w:szCs w:val="21"/>
                <w:highlight w:val="none"/>
                <w:lang w:eastAsia="zh-CN"/>
              </w:rPr>
              <w:t>和</w:t>
            </w:r>
            <w:r>
              <w:rPr>
                <w:rFonts w:hint="eastAsia" w:ascii="宋体" w:hAnsi="宋体" w:cs="宋体"/>
                <w:color w:val="auto"/>
                <w:sz w:val="21"/>
                <w:szCs w:val="21"/>
                <w:highlight w:val="none"/>
              </w:rPr>
              <w:t>在全国认证认可信息公共服务平台上</w:t>
            </w:r>
            <w:r>
              <w:rPr>
                <w:rFonts w:ascii="宋体" w:hAnsi="宋体" w:cs="宋体"/>
                <w:color w:val="auto"/>
                <w:sz w:val="21"/>
                <w:szCs w:val="21"/>
                <w:highlight w:val="none"/>
              </w:rPr>
              <w:t>http://cx.cnca.cn</w:t>
            </w:r>
            <w:r>
              <w:rPr>
                <w:rFonts w:hint="eastAsia" w:ascii="宋体" w:hAnsi="宋体" w:cs="宋体"/>
                <w:color w:val="auto"/>
                <w:sz w:val="21"/>
                <w:szCs w:val="21"/>
                <w:highlight w:val="none"/>
              </w:rPr>
              <w:t>查询结果的截图，证书状态必须为“有效”</w:t>
            </w:r>
            <w:r>
              <w:rPr>
                <w:rFonts w:hint="eastAsia" w:ascii="宋体" w:hAnsi="宋体" w:cs="宋体"/>
                <w:bCs/>
                <w:color w:val="auto"/>
                <w:sz w:val="21"/>
                <w:szCs w:val="21"/>
                <w:highlight w:val="none"/>
              </w:rPr>
              <w:t>）</w:t>
            </w:r>
          </w:p>
        </w:tc>
        <w:tc>
          <w:tcPr>
            <w:tcW w:w="1080" w:type="dxa"/>
            <w:vAlign w:val="center"/>
          </w:tcPr>
          <w:p>
            <w:pPr>
              <w:keepNext w:val="0"/>
              <w:keepLines w:val="0"/>
              <w:pageBreakBefore w:val="0"/>
              <w:kinsoku/>
              <w:wordWrap/>
              <w:autoSpaceDE/>
              <w:autoSpaceDN/>
              <w:bidi w:val="0"/>
              <w:adjustRightInd/>
              <w:spacing w:line="312" w:lineRule="auto"/>
              <w:jc w:val="center"/>
              <w:textAlignment w:val="auto"/>
              <w:rPr>
                <w:rFonts w:hint="eastAsia" w:ascii="宋体" w:eastAsia="宋体"/>
                <w:bCs/>
                <w:color w:val="auto"/>
                <w:sz w:val="21"/>
                <w:szCs w:val="21"/>
                <w:highlight w:val="none"/>
                <w:lang w:eastAsia="zh-CN"/>
              </w:rPr>
            </w:pPr>
            <w:r>
              <w:rPr>
                <w:rFonts w:hint="eastAsia" w:ascii="宋体" w:hAnsi="宋体"/>
                <w:color w:val="auto"/>
                <w:sz w:val="21"/>
                <w:szCs w:val="21"/>
                <w:highlight w:val="none"/>
                <w:lang w:val="en-US" w:eastAsia="zh-CN"/>
              </w:rPr>
              <w:t>4</w:t>
            </w:r>
          </w:p>
        </w:tc>
        <w:tc>
          <w:tcPr>
            <w:tcW w:w="819" w:type="dxa"/>
            <w:vAlign w:val="center"/>
          </w:tcPr>
          <w:p>
            <w:pPr>
              <w:keepNext w:val="0"/>
              <w:keepLines w:val="0"/>
              <w:pageBreakBefore w:val="0"/>
              <w:widowControl/>
              <w:kinsoku/>
              <w:wordWrap/>
              <w:autoSpaceDE/>
              <w:autoSpaceDN/>
              <w:bidi w:val="0"/>
              <w:adjustRightInd/>
              <w:snapToGrid w:val="0"/>
              <w:spacing w:line="312" w:lineRule="auto"/>
              <w:ind w:left="210" w:leftChars="100"/>
              <w:jc w:val="center"/>
              <w:textAlignment w:val="auto"/>
              <w:rPr>
                <w:rFonts w:ascii="宋体" w:hAnsi="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c>
          <w:tcPr>
            <w:tcW w:w="146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olor w:val="auto"/>
                <w:sz w:val="21"/>
                <w:szCs w:val="21"/>
              </w:rPr>
            </w:pPr>
            <w:r>
              <w:rPr>
                <w:rFonts w:hint="eastAsia" w:ascii="宋体" w:hAnsi="宋体"/>
                <w:color w:val="auto"/>
                <w:sz w:val="21"/>
                <w:szCs w:val="21"/>
                <w:lang w:eastAsia="zh-CN"/>
              </w:rPr>
              <w:t>服务便捷性</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color w:val="auto"/>
                <w:sz w:val="21"/>
                <w:szCs w:val="21"/>
              </w:rPr>
            </w:pPr>
            <w:r>
              <w:rPr>
                <w:rFonts w:hint="eastAsia" w:cs="Times New Roman"/>
                <w:color w:val="auto"/>
                <w:spacing w:val="-3"/>
                <w:sz w:val="21"/>
                <w:szCs w:val="21"/>
              </w:rPr>
              <w:t>投标</w:t>
            </w:r>
            <w:r>
              <w:rPr>
                <w:rFonts w:hint="eastAsia" w:ascii="宋体" w:hAnsi="宋体" w:eastAsia="宋体" w:cs="宋体"/>
                <w:color w:val="auto"/>
                <w:spacing w:val="-3"/>
                <w:sz w:val="21"/>
                <w:szCs w:val="21"/>
              </w:rPr>
              <w:t>人直接跟踪服务，设有</w:t>
            </w:r>
            <w:r>
              <w:rPr>
                <w:rFonts w:hint="eastAsia" w:ascii="宋体" w:hAnsi="宋体" w:eastAsia="宋体" w:cs="宋体"/>
                <w:color w:val="auto"/>
                <w:spacing w:val="-3"/>
                <w:sz w:val="21"/>
                <w:szCs w:val="21"/>
                <w:lang w:eastAsia="zh-CN"/>
              </w:rPr>
              <w:t>专业的</w:t>
            </w:r>
            <w:r>
              <w:rPr>
                <w:rFonts w:hint="eastAsia" w:ascii="宋体" w:hAnsi="宋体" w:eastAsia="宋体" w:cs="宋体"/>
                <w:color w:val="auto"/>
                <w:spacing w:val="-3"/>
                <w:sz w:val="21"/>
                <w:szCs w:val="21"/>
              </w:rPr>
              <w:t>服务人员，服务及时便捷，接到急修通知后响应时间最快，得</w:t>
            </w:r>
            <w:r>
              <w:rPr>
                <w:rFonts w:hint="eastAsia" w:ascii="宋体" w:hAnsi="宋体" w:eastAsia="宋体" w:cs="宋体"/>
                <w:color w:val="auto"/>
                <w:spacing w:val="-3"/>
                <w:sz w:val="21"/>
                <w:szCs w:val="21"/>
                <w:lang w:val="en-US" w:eastAsia="zh-CN"/>
              </w:rPr>
              <w:t>6</w:t>
            </w:r>
            <w:r>
              <w:rPr>
                <w:rFonts w:hint="eastAsia" w:ascii="宋体" w:hAnsi="宋体" w:eastAsia="宋体" w:cs="宋体"/>
                <w:color w:val="auto"/>
                <w:spacing w:val="-3"/>
                <w:sz w:val="21"/>
                <w:szCs w:val="21"/>
              </w:rPr>
              <w:t>分；响应时间较快得</w:t>
            </w:r>
            <w:r>
              <w:rPr>
                <w:rFonts w:hint="eastAsia" w:ascii="宋体" w:hAnsi="宋体" w:eastAsia="宋体" w:cs="宋体"/>
                <w:color w:val="auto"/>
                <w:spacing w:val="-3"/>
                <w:sz w:val="21"/>
                <w:szCs w:val="21"/>
                <w:lang w:val="en-US" w:eastAsia="zh-CN"/>
              </w:rPr>
              <w:t>3</w:t>
            </w:r>
            <w:r>
              <w:rPr>
                <w:rFonts w:hint="eastAsia" w:ascii="宋体" w:hAnsi="宋体" w:eastAsia="宋体" w:cs="宋体"/>
                <w:color w:val="auto"/>
                <w:spacing w:val="-3"/>
                <w:sz w:val="21"/>
                <w:szCs w:val="21"/>
              </w:rPr>
              <w:t>分；响应较慢得</w:t>
            </w:r>
            <w:r>
              <w:rPr>
                <w:rFonts w:hint="eastAsia" w:ascii="宋体" w:hAnsi="宋体" w:eastAsia="宋体" w:cs="宋体"/>
                <w:color w:val="auto"/>
                <w:spacing w:val="-3"/>
                <w:sz w:val="21"/>
                <w:szCs w:val="21"/>
                <w:lang w:val="en-US" w:eastAsia="zh-CN"/>
              </w:rPr>
              <w:t>1.5</w:t>
            </w:r>
            <w:r>
              <w:rPr>
                <w:rFonts w:hint="eastAsia" w:ascii="宋体" w:hAnsi="宋体" w:eastAsia="宋体" w:cs="宋体"/>
                <w:color w:val="auto"/>
                <w:spacing w:val="-3"/>
                <w:sz w:val="21"/>
                <w:szCs w:val="21"/>
              </w:rPr>
              <w:t>分。需提供服务机构的商用产权证明文件（自有的提供产权证明，租赁的提供房屋租赁合同和《房屋租赁登记备案证明》复印件）和响应时间的证明资料（产权证明或房屋租赁登记备案证明原件备查）</w:t>
            </w:r>
            <w:r>
              <w:rPr>
                <w:rFonts w:hint="eastAsia" w:ascii="宋体" w:hAnsi="宋体" w:eastAsia="宋体" w:cs="宋体"/>
                <w:color w:val="auto"/>
                <w:spacing w:val="-3"/>
                <w:sz w:val="21"/>
                <w:szCs w:val="21"/>
                <w:lang w:eastAsia="zh-CN"/>
              </w:rPr>
              <w:t>。</w:t>
            </w:r>
            <w:r>
              <w:rPr>
                <w:rFonts w:hint="eastAsia" w:ascii="宋体" w:hAnsi="宋体"/>
                <w:color w:val="auto"/>
                <w:szCs w:val="21"/>
              </w:rPr>
              <w:t>注：</w:t>
            </w:r>
            <w:r>
              <w:rPr>
                <w:rFonts w:hint="eastAsia"/>
                <w:color w:val="auto"/>
              </w:rPr>
              <w:t>不提供</w:t>
            </w:r>
            <w:r>
              <w:rPr>
                <w:rFonts w:hint="eastAsia"/>
                <w:color w:val="auto"/>
                <w:lang w:eastAsia="zh-CN"/>
              </w:rPr>
              <w:t>或提供不全</w:t>
            </w:r>
            <w:r>
              <w:rPr>
                <w:rFonts w:hint="eastAsia"/>
                <w:color w:val="auto"/>
              </w:rPr>
              <w:t>不得分。</w:t>
            </w:r>
          </w:p>
        </w:tc>
        <w:tc>
          <w:tcPr>
            <w:tcW w:w="1080" w:type="dxa"/>
            <w:vAlign w:val="center"/>
          </w:tcPr>
          <w:p>
            <w:pPr>
              <w:keepNext w:val="0"/>
              <w:keepLines w:val="0"/>
              <w:pageBreakBefore w:val="0"/>
              <w:kinsoku/>
              <w:wordWrap/>
              <w:autoSpaceDE/>
              <w:autoSpaceDN/>
              <w:bidi w:val="0"/>
              <w:adjustRightInd/>
              <w:spacing w:line="312"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6</w:t>
            </w:r>
          </w:p>
        </w:tc>
        <w:tc>
          <w:tcPr>
            <w:tcW w:w="819" w:type="dxa"/>
            <w:vAlign w:val="center"/>
          </w:tcPr>
          <w:p>
            <w:pPr>
              <w:keepNext w:val="0"/>
              <w:keepLines w:val="0"/>
              <w:pageBreakBefore w:val="0"/>
              <w:widowControl/>
              <w:kinsoku/>
              <w:wordWrap/>
              <w:autoSpaceDE/>
              <w:autoSpaceDN/>
              <w:bidi w:val="0"/>
              <w:adjustRightInd/>
              <w:snapToGrid w:val="0"/>
              <w:spacing w:line="312" w:lineRule="auto"/>
              <w:ind w:left="210" w:leftChars="100"/>
              <w:jc w:val="center"/>
              <w:textAlignment w:val="auto"/>
              <w:rPr>
                <w:rFonts w:ascii="宋体" w:hAnsi="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680" w:hRule="atLeast"/>
        </w:trPr>
        <w:tc>
          <w:tcPr>
            <w:tcW w:w="1461" w:type="dxa"/>
            <w:tcBorders>
              <w:bottom w:val="single" w:color="auto" w:sz="12" w:space="0"/>
            </w:tcBorders>
            <w:vAlign w:val="center"/>
          </w:tcPr>
          <w:p>
            <w:pPr>
              <w:keepNext w:val="0"/>
              <w:keepLines w:val="0"/>
              <w:pageBreakBefore w:val="0"/>
              <w:kinsoku/>
              <w:wordWrap/>
              <w:autoSpaceDE/>
              <w:autoSpaceDN/>
              <w:bidi w:val="0"/>
              <w:adjustRightInd/>
              <w:snapToGrid w:val="0"/>
              <w:spacing w:before="120" w:beforeLines="50" w:line="312" w:lineRule="auto"/>
              <w:jc w:val="center"/>
              <w:textAlignment w:val="auto"/>
              <w:rPr>
                <w:rFonts w:hint="eastAsia" w:ascii="宋体" w:hAnsi="宋体"/>
                <w:color w:val="auto"/>
                <w:sz w:val="21"/>
                <w:szCs w:val="21"/>
              </w:rPr>
            </w:pPr>
            <w:r>
              <w:rPr>
                <w:rFonts w:hint="eastAsia" w:ascii="宋体" w:hAnsi="宋体"/>
                <w:color w:val="auto"/>
                <w:sz w:val="21"/>
                <w:szCs w:val="21"/>
              </w:rPr>
              <w:t>合    计</w:t>
            </w:r>
          </w:p>
        </w:tc>
        <w:tc>
          <w:tcPr>
            <w:tcW w:w="7899" w:type="dxa"/>
            <w:gridSpan w:val="3"/>
            <w:tcBorders>
              <w:bottom w:val="single" w:color="auto" w:sz="12" w:space="0"/>
            </w:tcBorders>
            <w:vAlign w:val="center"/>
          </w:tcPr>
          <w:p>
            <w:pPr>
              <w:keepNext w:val="0"/>
              <w:keepLines w:val="0"/>
              <w:pageBreakBefore w:val="0"/>
              <w:kinsoku/>
              <w:wordWrap/>
              <w:autoSpaceDE/>
              <w:autoSpaceDN/>
              <w:bidi w:val="0"/>
              <w:adjustRightInd/>
              <w:snapToGrid w:val="0"/>
              <w:spacing w:before="120" w:beforeLines="50" w:line="312" w:lineRule="auto"/>
              <w:ind w:left="210" w:leftChars="100"/>
              <w:jc w:val="center"/>
              <w:textAlignment w:val="auto"/>
              <w:rPr>
                <w:rFonts w:hint="eastAsia" w:ascii="宋体" w:hAnsi="宋体"/>
                <w:color w:val="auto"/>
                <w:kern w:val="0"/>
                <w:sz w:val="21"/>
                <w:szCs w:val="21"/>
              </w:rPr>
            </w:pPr>
            <w:r>
              <w:rPr>
                <w:rFonts w:hint="eastAsia" w:ascii="宋体" w:hAnsi="宋体"/>
                <w:color w:val="auto"/>
                <w:kern w:val="0"/>
                <w:sz w:val="21"/>
                <w:szCs w:val="21"/>
              </w:rPr>
              <w:t>25分</w:t>
            </w:r>
          </w:p>
        </w:tc>
      </w:tr>
    </w:tbl>
    <w:p>
      <w:pPr>
        <w:rPr>
          <w:color w:val="auto"/>
        </w:rPr>
      </w:pPr>
    </w:p>
    <w:p>
      <w:pPr>
        <w:ind w:left="-13" w:leftChars="-6" w:firstLine="105" w:firstLineChars="50"/>
        <w:rPr>
          <w:rFonts w:ascii="宋体" w:hAnsi="宋体"/>
          <w:color w:val="auto"/>
          <w:szCs w:val="21"/>
        </w:rPr>
      </w:pPr>
    </w:p>
    <w:p>
      <w:pPr>
        <w:ind w:left="-13" w:leftChars="-6" w:firstLine="105" w:firstLineChars="50"/>
        <w:rPr>
          <w:rFonts w:ascii="宋体" w:hAnsi="宋体"/>
          <w:color w:val="auto"/>
          <w:szCs w:val="21"/>
        </w:rPr>
      </w:pPr>
      <w:r>
        <w:rPr>
          <w:rFonts w:hint="eastAsia" w:ascii="宋体" w:hAnsi="宋体"/>
          <w:color w:val="auto"/>
          <w:szCs w:val="21"/>
        </w:rPr>
        <w:t>注：1、评委按分项的规定分数范围内给各投标人进行打分，并统计总分。</w:t>
      </w:r>
    </w:p>
    <w:p>
      <w:pPr>
        <w:ind w:left="-13" w:leftChars="-6" w:firstLine="525" w:firstLineChars="250"/>
        <w:rPr>
          <w:rFonts w:ascii="宋体" w:hAnsi="宋体"/>
          <w:bCs/>
          <w:color w:val="auto"/>
          <w:szCs w:val="21"/>
        </w:rPr>
      </w:pPr>
      <w:r>
        <w:rPr>
          <w:rFonts w:hint="eastAsia" w:ascii="宋体" w:hAnsi="宋体"/>
          <w:color w:val="auto"/>
          <w:szCs w:val="21"/>
        </w:rPr>
        <w:t>2、</w:t>
      </w:r>
      <w:r>
        <w:rPr>
          <w:rFonts w:hint="eastAsia" w:ascii="宋体" w:hAnsi="宋体"/>
          <w:bCs/>
          <w:color w:val="auto"/>
          <w:szCs w:val="21"/>
        </w:rPr>
        <w:t>招标文件要求提交的与评价指标体系相关的各类有效资料，投标人如未按要求提交的，该项评分为零分。</w:t>
      </w:r>
    </w:p>
    <w:p>
      <w:pPr>
        <w:snapToGrid w:val="0"/>
        <w:spacing w:line="360" w:lineRule="auto"/>
        <w:rPr>
          <w:rFonts w:ascii="宋体" w:hAnsi="宋体"/>
          <w:bCs/>
          <w:color w:val="auto"/>
        </w:rPr>
      </w:pPr>
    </w:p>
    <w:p>
      <w:pPr>
        <w:pStyle w:val="5"/>
        <w:rPr>
          <w:rFonts w:ascii="宋体" w:hAnsi="宋体"/>
          <w:bCs/>
          <w:color w:val="auto"/>
        </w:rPr>
      </w:pPr>
    </w:p>
    <w:p>
      <w:pPr>
        <w:spacing w:line="276" w:lineRule="auto"/>
        <w:ind w:right="-1"/>
        <w:jc w:val="left"/>
        <w:rPr>
          <w:rFonts w:hint="eastAsia" w:ascii="宋体" w:hAnsi="宋体" w:eastAsia="宋体"/>
          <w:b/>
          <w:color w:val="auto"/>
          <w:sz w:val="28"/>
          <w:szCs w:val="28"/>
          <w:lang w:eastAsia="zh-CN"/>
        </w:rPr>
      </w:pPr>
      <w:r>
        <w:rPr>
          <w:rFonts w:hint="eastAsia" w:ascii="宋体" w:hAnsi="宋体"/>
          <w:b/>
          <w:color w:val="auto"/>
          <w:sz w:val="28"/>
          <w:szCs w:val="28"/>
          <w:lang w:eastAsia="zh-CN"/>
        </w:rPr>
        <w:t>包二、三：</w:t>
      </w:r>
    </w:p>
    <w:p>
      <w:pPr>
        <w:jc w:val="center"/>
        <w:rPr>
          <w:color w:val="auto"/>
          <w:sz w:val="24"/>
          <w:szCs w:val="24"/>
        </w:rPr>
      </w:pPr>
      <w:r>
        <w:rPr>
          <w:color w:val="auto"/>
          <w:sz w:val="24"/>
          <w:szCs w:val="24"/>
        </w:rPr>
        <w:t>商务评分</w:t>
      </w:r>
    </w:p>
    <w:tbl>
      <w:tblPr>
        <w:tblStyle w:val="22"/>
        <w:tblW w:w="10199" w:type="dxa"/>
        <w:jc w:val="center"/>
        <w:tblInd w:w="0" w:type="dxa"/>
        <w:tblLayout w:type="fixed"/>
        <w:tblCellMar>
          <w:top w:w="0" w:type="dxa"/>
          <w:left w:w="108" w:type="dxa"/>
          <w:bottom w:w="0" w:type="dxa"/>
          <w:right w:w="108" w:type="dxa"/>
        </w:tblCellMar>
      </w:tblPr>
      <w:tblGrid>
        <w:gridCol w:w="701"/>
        <w:gridCol w:w="1481"/>
        <w:gridCol w:w="7229"/>
        <w:gridCol w:w="788"/>
      </w:tblGrid>
      <w:tr>
        <w:tblPrEx>
          <w:tblLayout w:type="fixed"/>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宋体" w:hAnsi="宋体" w:cs="宋体"/>
                <w:b/>
                <w:color w:val="auto"/>
                <w:sz w:val="24"/>
              </w:rPr>
            </w:pPr>
            <w:r>
              <w:rPr>
                <w:rFonts w:hint="eastAsia" w:ascii="宋体" w:hAnsi="宋体" w:cs="宋体"/>
                <w:b/>
                <w:color w:val="auto"/>
                <w:sz w:val="24"/>
              </w:rPr>
              <w:t>序号</w:t>
            </w:r>
          </w:p>
        </w:tc>
        <w:tc>
          <w:tcPr>
            <w:tcW w:w="1481"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宋体" w:hAnsi="宋体" w:cs="宋体"/>
                <w:b/>
                <w:color w:val="auto"/>
                <w:sz w:val="24"/>
              </w:rPr>
            </w:pPr>
            <w:r>
              <w:rPr>
                <w:rFonts w:hint="eastAsia" w:ascii="宋体" w:hAnsi="宋体" w:cs="宋体"/>
                <w:b/>
                <w:color w:val="auto"/>
                <w:sz w:val="24"/>
              </w:rPr>
              <w:t>评审项目</w:t>
            </w:r>
          </w:p>
        </w:tc>
        <w:tc>
          <w:tcPr>
            <w:tcW w:w="7229"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宋体" w:hAnsi="宋体" w:cs="宋体"/>
                <w:b/>
                <w:color w:val="auto"/>
                <w:sz w:val="24"/>
              </w:rPr>
            </w:pPr>
            <w:r>
              <w:rPr>
                <w:rFonts w:hint="eastAsia" w:ascii="宋体" w:hAnsi="宋体" w:cs="宋体"/>
                <w:b/>
                <w:color w:val="auto"/>
                <w:sz w:val="24"/>
              </w:rPr>
              <w:t>评审内容</w:t>
            </w:r>
          </w:p>
        </w:tc>
        <w:tc>
          <w:tcPr>
            <w:tcW w:w="788"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宋体" w:hAnsi="宋体" w:cs="宋体"/>
                <w:b/>
                <w:color w:val="auto"/>
                <w:sz w:val="24"/>
              </w:rPr>
            </w:pPr>
            <w:r>
              <w:rPr>
                <w:rFonts w:hint="eastAsia" w:ascii="宋体" w:hAnsi="宋体" w:cs="宋体"/>
                <w:b/>
                <w:color w:val="auto"/>
                <w:sz w:val="24"/>
              </w:rPr>
              <w:t>分值</w:t>
            </w:r>
          </w:p>
        </w:tc>
      </w:tr>
      <w:tr>
        <w:tblPrEx>
          <w:tblLayout w:type="fixed"/>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201</w:t>
            </w:r>
            <w:r>
              <w:rPr>
                <w:rFonts w:ascii="宋体" w:hAnsi="宋体" w:cs="宋体"/>
                <w:color w:val="auto"/>
                <w:sz w:val="24"/>
              </w:rPr>
              <w:t>7</w:t>
            </w:r>
            <w:r>
              <w:rPr>
                <w:rFonts w:hint="eastAsia" w:ascii="宋体" w:hAnsi="宋体" w:cs="宋体"/>
                <w:color w:val="auto"/>
                <w:sz w:val="24"/>
              </w:rPr>
              <w:t>年至今具有同类项目业绩</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投标人同类项目业绩服务经验（注：同类项目是指所投包组内的货物）：</w:t>
            </w:r>
          </w:p>
          <w:p>
            <w:pPr>
              <w:rPr>
                <w:rFonts w:ascii="宋体" w:hAnsi="宋体"/>
                <w:color w:val="auto"/>
                <w:sz w:val="24"/>
              </w:rPr>
            </w:pPr>
            <w:r>
              <w:rPr>
                <w:rFonts w:hint="eastAsia" w:ascii="宋体" w:hAnsi="宋体" w:cs="宋体"/>
                <w:color w:val="auto"/>
                <w:sz w:val="24"/>
              </w:rPr>
              <w:t>每提供一份年度购货合同得1分，每年度最高可得2分；同时提供发票复印件和年度购货合同复印件两项资料方为有效，时间以合同签订时间为准（原件备查）；本项满分为5分。</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bCs/>
                <w:color w:val="auto"/>
                <w:sz w:val="24"/>
              </w:rPr>
              <w:t>5分</w:t>
            </w:r>
          </w:p>
        </w:tc>
      </w:tr>
      <w:tr>
        <w:tblPrEx>
          <w:tblLayout w:type="fixed"/>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上述业绩对应的用户评定意见</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上述计入得分的业绩评定为优良：每1项得1分，最高得4分。</w:t>
            </w:r>
          </w:p>
          <w:p>
            <w:pPr>
              <w:rPr>
                <w:rFonts w:ascii="宋体" w:hAnsi="宋体" w:cs="宋体"/>
                <w:color w:val="auto"/>
                <w:sz w:val="24"/>
              </w:rPr>
            </w:pPr>
            <w:r>
              <w:rPr>
                <w:rFonts w:hint="eastAsia" w:ascii="宋体" w:hAnsi="宋体" w:cs="宋体"/>
                <w:color w:val="auto"/>
                <w:sz w:val="24"/>
              </w:rPr>
              <w:t>【注：此项评审以投标人提供业主评价证明材料复印件，不提供不得分】</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bCs/>
                <w:color w:val="auto"/>
                <w:sz w:val="24"/>
              </w:rPr>
              <w:t>4分</w:t>
            </w:r>
          </w:p>
        </w:tc>
      </w:tr>
      <w:tr>
        <w:tblPrEx>
          <w:tblLayout w:type="fixed"/>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rPr>
            </w:pPr>
            <w:r>
              <w:rPr>
                <w:rFonts w:hint="eastAsia" w:ascii="宋体" w:hAnsi="宋体" w:cs="宋体"/>
                <w:color w:val="auto"/>
                <w:sz w:val="24"/>
              </w:rPr>
              <w:t>3</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投标人信誉情况</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投标人获得地级市或以上“守合同重信用”称号得2分，无得0分；</w:t>
            </w:r>
          </w:p>
          <w:p>
            <w:pPr>
              <w:rPr>
                <w:rFonts w:ascii="宋体" w:hAnsi="宋体" w:cs="宋体"/>
                <w:color w:val="auto"/>
                <w:sz w:val="24"/>
              </w:rPr>
            </w:pPr>
            <w:r>
              <w:rPr>
                <w:rFonts w:hint="eastAsia" w:ascii="宋体" w:hAnsi="宋体" w:cs="宋体"/>
                <w:color w:val="auto"/>
                <w:sz w:val="24"/>
              </w:rPr>
              <w:t>投标人获得“企业信用等级3A级”得1分，无得0分；</w:t>
            </w:r>
          </w:p>
          <w:p>
            <w:pPr>
              <w:rPr>
                <w:rFonts w:ascii="宋体" w:hAnsi="宋体" w:cs="宋体"/>
                <w:color w:val="auto"/>
                <w:sz w:val="24"/>
              </w:rPr>
            </w:pPr>
            <w:r>
              <w:rPr>
                <w:rFonts w:hint="eastAsia" w:ascii="宋体" w:hAnsi="宋体" w:cs="宋体"/>
                <w:color w:val="auto"/>
                <w:sz w:val="24"/>
              </w:rPr>
              <w:t>投标人获得“中小企业诚信示范单位”的得1分，无得0分。</w:t>
            </w:r>
          </w:p>
          <w:p>
            <w:pPr>
              <w:rPr>
                <w:rFonts w:ascii="宋体" w:hAnsi="宋体" w:cs="宋体"/>
                <w:color w:val="auto"/>
                <w:sz w:val="24"/>
              </w:rPr>
            </w:pPr>
            <w:r>
              <w:rPr>
                <w:rFonts w:hint="eastAsia" w:ascii="宋体" w:hAnsi="宋体" w:cs="宋体"/>
                <w:color w:val="auto"/>
                <w:sz w:val="24"/>
              </w:rPr>
              <w:t>投标人获得“诚信示范企业”称号，得1分，无得0分；</w:t>
            </w:r>
          </w:p>
          <w:p>
            <w:pPr>
              <w:rPr>
                <w:rFonts w:ascii="宋体" w:hAnsi="宋体" w:cs="宋体"/>
                <w:color w:val="auto"/>
                <w:sz w:val="24"/>
              </w:rPr>
            </w:pPr>
            <w:r>
              <w:rPr>
                <w:rFonts w:hint="eastAsia" w:ascii="宋体" w:hAnsi="宋体" w:cs="宋体"/>
                <w:color w:val="auto"/>
                <w:sz w:val="24"/>
              </w:rPr>
              <w:t>【注：发证机构需为政府或者由政府相关部门授权确认、监制的相关组织，同时证书需在有效期内并能在相关官网进行查询，否则视为无效，提供证书复印件及网站查询页面截图】</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5分</w:t>
            </w:r>
          </w:p>
        </w:tc>
      </w:tr>
      <w:tr>
        <w:tblPrEx>
          <w:tblLayout w:type="fixed"/>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4</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投标人质量认证体系</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通过ISO9001 质量管理体系认证的，得1分，无0分；</w:t>
            </w:r>
          </w:p>
          <w:p>
            <w:pPr>
              <w:rPr>
                <w:rFonts w:ascii="宋体" w:hAnsi="宋体" w:cs="宋体"/>
                <w:color w:val="auto"/>
                <w:sz w:val="24"/>
              </w:rPr>
            </w:pPr>
            <w:r>
              <w:rPr>
                <w:rFonts w:hint="eastAsia" w:ascii="宋体" w:hAnsi="宋体" w:cs="宋体"/>
                <w:color w:val="auto"/>
                <w:sz w:val="24"/>
              </w:rPr>
              <w:t>通过GB/T28001职业健康管理体系认证得1分，无0分；</w:t>
            </w:r>
          </w:p>
          <w:p>
            <w:pPr>
              <w:rPr>
                <w:rFonts w:ascii="宋体" w:hAnsi="宋体" w:cs="宋体"/>
                <w:color w:val="auto"/>
                <w:sz w:val="24"/>
              </w:rPr>
            </w:pPr>
            <w:r>
              <w:rPr>
                <w:rFonts w:hint="eastAsia" w:ascii="宋体" w:hAnsi="宋体" w:cs="宋体"/>
                <w:color w:val="auto"/>
                <w:sz w:val="24"/>
              </w:rPr>
              <w:t>通过ISO14001环境管理体系认证的，得1分，无0分。</w:t>
            </w:r>
          </w:p>
          <w:p>
            <w:pPr>
              <w:rPr>
                <w:rFonts w:ascii="宋体" w:hAnsi="宋体" w:cs="宋体"/>
                <w:color w:val="auto"/>
                <w:sz w:val="24"/>
              </w:rPr>
            </w:pPr>
            <w:r>
              <w:rPr>
                <w:rFonts w:hint="eastAsia" w:ascii="宋体" w:hAnsi="宋体" w:cs="宋体"/>
                <w:color w:val="auto"/>
                <w:sz w:val="24"/>
              </w:rPr>
              <w:t>【注：需提供认证证书复印件和在全国认证认可信息公共服务平台进行查询页面截图，不提供不得分】</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3分</w:t>
            </w:r>
          </w:p>
        </w:tc>
      </w:tr>
      <w:tr>
        <w:tblPrEx>
          <w:tblLayout w:type="fixed"/>
          <w:tblCellMar>
            <w:top w:w="0" w:type="dxa"/>
            <w:left w:w="108" w:type="dxa"/>
            <w:bottom w:w="0" w:type="dxa"/>
            <w:right w:w="108" w:type="dxa"/>
          </w:tblCellMar>
        </w:tblPrEx>
        <w:trPr>
          <w:trHeight w:val="454"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5</w:t>
            </w:r>
          </w:p>
        </w:tc>
        <w:tc>
          <w:tcPr>
            <w:tcW w:w="1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配送车辆及仓储能力情况</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投标人拟投入本项目2台或以上送货车辆，得2分；有1台得1分；其它得0分。</w:t>
            </w:r>
          </w:p>
          <w:p>
            <w:pPr>
              <w:rPr>
                <w:rFonts w:ascii="宋体" w:hAnsi="宋体" w:cs="宋体"/>
                <w:color w:val="auto"/>
                <w:sz w:val="24"/>
              </w:rPr>
            </w:pPr>
            <w:r>
              <w:rPr>
                <w:rFonts w:hint="eastAsia" w:ascii="宋体" w:hAnsi="宋体" w:cs="宋体"/>
                <w:color w:val="auto"/>
                <w:sz w:val="24"/>
              </w:rPr>
              <w:t>【注：①属于自有车辆，同时提供购车发票及机动车行驶证复印件；②属于租用车辆，同时提供本项目服务期内有效的租用合同以及机动车行驶证复印件。不提供或不符合上述要求的不得分】</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Merge w:val="continue"/>
            <w:tcBorders>
              <w:top w:val="single" w:color="auto" w:sz="4" w:space="0"/>
            </w:tcBorders>
            <w:vAlign w:val="center"/>
          </w:tcPr>
          <w:p>
            <w:pPr>
              <w:jc w:val="center"/>
              <w:rPr>
                <w:rFonts w:ascii="宋体" w:hAnsi="宋体" w:cs="宋体"/>
                <w:color w:val="auto"/>
                <w:sz w:val="24"/>
              </w:rPr>
            </w:pPr>
          </w:p>
        </w:tc>
        <w:tc>
          <w:tcPr>
            <w:tcW w:w="1481" w:type="dxa"/>
            <w:vMerge w:val="continue"/>
            <w:tcBorders>
              <w:top w:val="single" w:color="auto" w:sz="4" w:space="0"/>
            </w:tcBorders>
            <w:vAlign w:val="center"/>
          </w:tcPr>
          <w:p>
            <w:pPr>
              <w:jc w:val="center"/>
              <w:rPr>
                <w:rFonts w:ascii="宋体" w:hAnsi="宋体" w:cs="宋体"/>
                <w:color w:val="auto"/>
                <w:sz w:val="24"/>
              </w:rPr>
            </w:pPr>
          </w:p>
        </w:tc>
        <w:tc>
          <w:tcPr>
            <w:tcW w:w="7229" w:type="dxa"/>
            <w:tcBorders>
              <w:top w:val="single" w:color="auto" w:sz="4" w:space="0"/>
            </w:tcBorders>
            <w:vAlign w:val="center"/>
          </w:tcPr>
          <w:p>
            <w:pPr>
              <w:rPr>
                <w:rFonts w:hint="eastAsia" w:ascii="宋体" w:hAnsi="宋体" w:cs="宋体"/>
                <w:color w:val="auto"/>
                <w:sz w:val="24"/>
              </w:rPr>
            </w:pPr>
            <w:r>
              <w:rPr>
                <w:rFonts w:hint="eastAsia" w:ascii="宋体" w:hAnsi="宋体" w:cs="宋体"/>
                <w:color w:val="auto"/>
                <w:sz w:val="24"/>
              </w:rPr>
              <w:t>根据投标人具备的仓储能力进行综合评审。</w:t>
            </w:r>
          </w:p>
          <w:p>
            <w:pPr>
              <w:rPr>
                <w:rFonts w:hint="eastAsia" w:ascii="宋体" w:hAnsi="宋体" w:cs="宋体"/>
                <w:color w:val="auto"/>
                <w:sz w:val="24"/>
              </w:rPr>
            </w:pPr>
            <w:r>
              <w:rPr>
                <w:rFonts w:hint="eastAsia" w:ascii="宋体" w:hAnsi="宋体" w:cs="宋体"/>
                <w:color w:val="auto"/>
                <w:sz w:val="24"/>
              </w:rPr>
              <w:t>仓库存储能力强，保障措施完善合理得6分；</w:t>
            </w:r>
          </w:p>
          <w:p>
            <w:pPr>
              <w:rPr>
                <w:rFonts w:hint="eastAsia" w:ascii="宋体" w:hAnsi="宋体" w:cs="宋体"/>
                <w:color w:val="auto"/>
                <w:sz w:val="24"/>
              </w:rPr>
            </w:pPr>
            <w:r>
              <w:rPr>
                <w:rFonts w:hint="eastAsia" w:ascii="宋体" w:hAnsi="宋体" w:cs="宋体"/>
                <w:color w:val="auto"/>
                <w:sz w:val="24"/>
              </w:rPr>
              <w:t>仓库存储能力弱，保障措施完善合理得4分；</w:t>
            </w:r>
          </w:p>
          <w:p>
            <w:pPr>
              <w:rPr>
                <w:rFonts w:hint="eastAsia" w:ascii="宋体" w:hAnsi="宋体" w:cs="宋体"/>
                <w:color w:val="auto"/>
                <w:sz w:val="24"/>
              </w:rPr>
            </w:pPr>
            <w:r>
              <w:rPr>
                <w:rFonts w:hint="eastAsia" w:ascii="宋体" w:hAnsi="宋体" w:cs="宋体"/>
                <w:color w:val="auto"/>
                <w:sz w:val="24"/>
              </w:rPr>
              <w:t>仓库存储能力差，保障措施简单合理得2分；</w:t>
            </w:r>
          </w:p>
          <w:p>
            <w:pPr>
              <w:rPr>
                <w:rFonts w:ascii="宋体" w:hAnsi="宋体" w:cs="宋体"/>
                <w:color w:val="auto"/>
                <w:sz w:val="24"/>
              </w:rPr>
            </w:pPr>
            <w:r>
              <w:rPr>
                <w:rFonts w:hint="eastAsia" w:ascii="宋体" w:hAnsi="宋体" w:cs="宋体"/>
                <w:color w:val="auto"/>
                <w:sz w:val="24"/>
              </w:rPr>
              <w:t>【注：提供房产证明或租赁合同（如提供租赁合同的，则其有效租赁期必须包括202</w:t>
            </w:r>
            <w:r>
              <w:rPr>
                <w:rFonts w:ascii="宋体" w:hAnsi="宋体" w:cs="宋体"/>
                <w:color w:val="auto"/>
                <w:sz w:val="24"/>
              </w:rPr>
              <w:t>1</w:t>
            </w:r>
            <w:r>
              <w:rPr>
                <w:rFonts w:hint="eastAsia" w:ascii="宋体" w:hAnsi="宋体" w:cs="宋体"/>
                <w:color w:val="auto"/>
                <w:sz w:val="24"/>
              </w:rPr>
              <w:t>整年在内，否则视为无效）复印件，不提供不得分。】</w:t>
            </w:r>
          </w:p>
        </w:tc>
        <w:tc>
          <w:tcPr>
            <w:tcW w:w="788" w:type="dxa"/>
            <w:tcBorders>
              <w:top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11" w:type="dxa"/>
            <w:gridSpan w:val="3"/>
            <w:shd w:val="clear" w:color="auto" w:fill="EAEAEA"/>
            <w:vAlign w:val="center"/>
          </w:tcPr>
          <w:p>
            <w:pPr>
              <w:jc w:val="center"/>
              <w:rPr>
                <w:rFonts w:ascii="宋体" w:hAnsi="宋体" w:cs="宋体"/>
                <w:b/>
                <w:bCs/>
                <w:color w:val="auto"/>
                <w:sz w:val="24"/>
              </w:rPr>
            </w:pPr>
            <w:r>
              <w:rPr>
                <w:rFonts w:hint="eastAsia" w:ascii="宋体" w:hAnsi="宋体" w:cs="宋体"/>
                <w:b/>
                <w:bCs/>
                <w:color w:val="auto"/>
                <w:sz w:val="24"/>
              </w:rPr>
              <w:t>合计</w:t>
            </w:r>
          </w:p>
        </w:tc>
        <w:tc>
          <w:tcPr>
            <w:tcW w:w="788" w:type="dxa"/>
            <w:shd w:val="clear" w:color="auto" w:fill="EAEAEA"/>
            <w:vAlign w:val="center"/>
          </w:tcPr>
          <w:p>
            <w:pPr>
              <w:jc w:val="center"/>
              <w:rPr>
                <w:rFonts w:ascii="宋体" w:hAnsi="宋体" w:cs="宋体"/>
                <w:b/>
                <w:bCs/>
                <w:color w:val="auto"/>
                <w:sz w:val="24"/>
              </w:rPr>
            </w:pPr>
            <w:r>
              <w:rPr>
                <w:rFonts w:hint="eastAsia" w:ascii="宋体" w:hAnsi="宋体" w:cs="宋体"/>
                <w:b/>
                <w:bCs/>
                <w:color w:val="auto"/>
                <w:sz w:val="24"/>
              </w:rPr>
              <w:t>25分</w:t>
            </w:r>
          </w:p>
        </w:tc>
      </w:tr>
    </w:tbl>
    <w:p>
      <w:pPr>
        <w:rPr>
          <w:b/>
          <w:color w:val="auto"/>
        </w:rPr>
      </w:pPr>
      <w:r>
        <w:rPr>
          <w:b/>
          <w:color w:val="auto"/>
        </w:rPr>
        <w:br w:type="page"/>
      </w:r>
    </w:p>
    <w:p>
      <w:pPr>
        <w:jc w:val="center"/>
        <w:rPr>
          <w:color w:val="auto"/>
          <w:sz w:val="24"/>
          <w:szCs w:val="24"/>
        </w:rPr>
      </w:pPr>
      <w:r>
        <w:rPr>
          <w:color w:val="auto"/>
          <w:sz w:val="24"/>
          <w:szCs w:val="24"/>
        </w:rPr>
        <w:t>技术评分</w:t>
      </w:r>
    </w:p>
    <w:tbl>
      <w:tblPr>
        <w:tblStyle w:val="22"/>
        <w:tblpPr w:leftFromText="180" w:rightFromText="180" w:vertAnchor="text" w:horzAnchor="margin" w:tblpXSpec="center" w:tblpY="224"/>
        <w:tblOverlap w:val="never"/>
        <w:tblW w:w="102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946"/>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shd w:val="clear" w:color="auto" w:fill="EAEAEA"/>
            <w:vAlign w:val="center"/>
          </w:tcPr>
          <w:p>
            <w:pPr>
              <w:autoSpaceDE w:val="0"/>
              <w:autoSpaceDN w:val="0"/>
              <w:jc w:val="center"/>
              <w:rPr>
                <w:rFonts w:ascii="宋体" w:hAnsi="宋体" w:cs="宋体"/>
                <w:b/>
                <w:color w:val="auto"/>
                <w:sz w:val="24"/>
              </w:rPr>
            </w:pPr>
            <w:r>
              <w:rPr>
                <w:rFonts w:hint="eastAsia" w:ascii="宋体" w:hAnsi="宋体" w:cs="宋体"/>
                <w:b/>
                <w:color w:val="auto"/>
                <w:sz w:val="24"/>
              </w:rPr>
              <w:t>序号</w:t>
            </w:r>
          </w:p>
        </w:tc>
        <w:tc>
          <w:tcPr>
            <w:tcW w:w="1701" w:type="dxa"/>
            <w:shd w:val="clear" w:color="auto" w:fill="EAEAEA"/>
            <w:vAlign w:val="center"/>
          </w:tcPr>
          <w:p>
            <w:pPr>
              <w:jc w:val="center"/>
              <w:rPr>
                <w:rFonts w:ascii="宋体" w:hAnsi="宋体" w:cs="宋体"/>
                <w:b/>
                <w:color w:val="auto"/>
                <w:sz w:val="24"/>
              </w:rPr>
            </w:pPr>
            <w:r>
              <w:rPr>
                <w:rFonts w:hint="eastAsia" w:ascii="宋体" w:hAnsi="宋体" w:cs="宋体"/>
                <w:b/>
                <w:color w:val="auto"/>
                <w:sz w:val="24"/>
              </w:rPr>
              <w:t>评审项目</w:t>
            </w:r>
          </w:p>
        </w:tc>
        <w:tc>
          <w:tcPr>
            <w:tcW w:w="6946" w:type="dxa"/>
            <w:shd w:val="clear" w:color="auto" w:fill="EAEAEA"/>
            <w:vAlign w:val="center"/>
          </w:tcPr>
          <w:p>
            <w:pPr>
              <w:jc w:val="center"/>
              <w:rPr>
                <w:rFonts w:ascii="宋体" w:hAnsi="宋体" w:cs="宋体"/>
                <w:b/>
                <w:color w:val="auto"/>
                <w:sz w:val="24"/>
              </w:rPr>
            </w:pPr>
            <w:r>
              <w:rPr>
                <w:rFonts w:hint="eastAsia" w:ascii="宋体" w:hAnsi="宋体" w:cs="宋体"/>
                <w:b/>
                <w:color w:val="auto"/>
                <w:sz w:val="24"/>
              </w:rPr>
              <w:t>评审内容</w:t>
            </w:r>
          </w:p>
        </w:tc>
        <w:tc>
          <w:tcPr>
            <w:tcW w:w="790" w:type="dxa"/>
            <w:shd w:val="clear" w:color="auto" w:fill="EAEAEA"/>
            <w:vAlign w:val="center"/>
          </w:tcPr>
          <w:p>
            <w:pPr>
              <w:jc w:val="center"/>
              <w:rPr>
                <w:rFonts w:ascii="宋体" w:hAnsi="宋体" w:cs="宋体"/>
                <w:b/>
                <w:color w:val="auto"/>
                <w:sz w:val="24"/>
              </w:rPr>
            </w:pPr>
            <w:r>
              <w:rPr>
                <w:rFonts w:hint="eastAsia" w:ascii="宋体" w:hAnsi="宋体" w:cs="宋体"/>
                <w:b/>
                <w:color w:val="auto"/>
                <w:sz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s="宋体"/>
                <w:color w:val="auto"/>
                <w:sz w:val="24"/>
              </w:rPr>
            </w:pPr>
            <w:r>
              <w:rPr>
                <w:rFonts w:hint="eastAsia" w:ascii="宋体" w:hAnsi="宋体" w:cs="宋体"/>
                <w:color w:val="auto"/>
                <w:sz w:val="24"/>
              </w:rPr>
              <w:t>1</w:t>
            </w:r>
          </w:p>
        </w:tc>
        <w:tc>
          <w:tcPr>
            <w:tcW w:w="1701" w:type="dxa"/>
            <w:vAlign w:val="center"/>
          </w:tcPr>
          <w:p>
            <w:pPr>
              <w:jc w:val="center"/>
              <w:rPr>
                <w:rFonts w:ascii="宋体" w:hAnsi="宋体" w:cs="宋体"/>
                <w:color w:val="auto"/>
                <w:sz w:val="24"/>
              </w:rPr>
            </w:pPr>
            <w:r>
              <w:rPr>
                <w:rFonts w:hint="eastAsia" w:ascii="宋体" w:hAnsi="宋体" w:cs="宋体"/>
                <w:color w:val="auto"/>
                <w:sz w:val="24"/>
              </w:rPr>
              <w:t>货物技术参数响应情况</w:t>
            </w:r>
          </w:p>
        </w:tc>
        <w:tc>
          <w:tcPr>
            <w:tcW w:w="6946" w:type="dxa"/>
            <w:vAlign w:val="center"/>
          </w:tcPr>
          <w:p>
            <w:pPr>
              <w:rPr>
                <w:rFonts w:ascii="宋体" w:hAnsi="宋体" w:cs="宋体"/>
                <w:color w:val="auto"/>
                <w:sz w:val="24"/>
              </w:rPr>
            </w:pPr>
            <w:r>
              <w:rPr>
                <w:rFonts w:hint="eastAsia" w:ascii="宋体" w:hAnsi="宋体" w:cs="宋体"/>
                <w:color w:val="auto"/>
                <w:sz w:val="24"/>
              </w:rPr>
              <w:t>此项根据投标人提供的技术规格响应情况评审：</w:t>
            </w:r>
          </w:p>
          <w:p>
            <w:pPr>
              <w:rPr>
                <w:rFonts w:ascii="宋体" w:hAnsi="宋体" w:cs="宋体"/>
                <w:color w:val="auto"/>
                <w:sz w:val="24"/>
              </w:rPr>
            </w:pPr>
            <w:r>
              <w:rPr>
                <w:rFonts w:hint="eastAsia" w:ascii="宋体" w:hAnsi="宋体" w:cs="宋体"/>
                <w:color w:val="auto"/>
                <w:sz w:val="24"/>
              </w:rPr>
              <w:t>根据投标提供货物技术参数满足技术规格响应情况综合评审，每偏离一项“▲”条款，扣1分，扣完为止。</w:t>
            </w:r>
          </w:p>
        </w:tc>
        <w:tc>
          <w:tcPr>
            <w:tcW w:w="790" w:type="dxa"/>
            <w:vAlign w:val="center"/>
          </w:tcPr>
          <w:p>
            <w:pPr>
              <w:jc w:val="center"/>
              <w:rPr>
                <w:rFonts w:ascii="宋体" w:hAnsi="宋体" w:cs="宋体"/>
                <w:color w:val="auto"/>
                <w:sz w:val="24"/>
              </w:rPr>
            </w:pPr>
            <w:r>
              <w:rPr>
                <w:rFonts w:hint="eastAsia" w:ascii="宋体" w:hAnsi="宋体" w:cs="宋体"/>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Merge w:val="restart"/>
            <w:vAlign w:val="center"/>
          </w:tcPr>
          <w:p>
            <w:pPr>
              <w:jc w:val="center"/>
              <w:rPr>
                <w:rFonts w:ascii="宋体" w:hAnsi="宋体" w:cs="宋体"/>
                <w:color w:val="auto"/>
                <w:sz w:val="24"/>
              </w:rPr>
            </w:pPr>
            <w:r>
              <w:rPr>
                <w:rFonts w:hint="eastAsia" w:ascii="宋体" w:hAnsi="宋体" w:cs="宋体"/>
                <w:color w:val="auto"/>
                <w:sz w:val="24"/>
              </w:rPr>
              <w:t>2</w:t>
            </w:r>
          </w:p>
        </w:tc>
        <w:tc>
          <w:tcPr>
            <w:tcW w:w="1701" w:type="dxa"/>
            <w:vMerge w:val="restart"/>
            <w:vAlign w:val="center"/>
          </w:tcPr>
          <w:p>
            <w:pPr>
              <w:jc w:val="center"/>
              <w:rPr>
                <w:rFonts w:ascii="宋体" w:hAnsi="宋体" w:cs="宋体"/>
                <w:color w:val="auto"/>
                <w:sz w:val="24"/>
              </w:rPr>
            </w:pPr>
            <w:r>
              <w:rPr>
                <w:rFonts w:hint="eastAsia" w:ascii="宋体" w:hAnsi="宋体" w:cs="宋体"/>
                <w:color w:val="auto"/>
                <w:sz w:val="24"/>
              </w:rPr>
              <w:t>投标人本项目配备专业技术人员情况</w:t>
            </w:r>
          </w:p>
        </w:tc>
        <w:tc>
          <w:tcPr>
            <w:tcW w:w="6946" w:type="dxa"/>
            <w:vAlign w:val="center"/>
          </w:tcPr>
          <w:p>
            <w:pPr>
              <w:rPr>
                <w:rFonts w:ascii="宋体" w:hAnsi="宋体"/>
                <w:color w:val="auto"/>
                <w:sz w:val="24"/>
              </w:rPr>
            </w:pPr>
            <w:r>
              <w:rPr>
                <w:rFonts w:hint="eastAsia" w:ascii="宋体" w:hAnsi="宋体"/>
                <w:color w:val="auto"/>
                <w:sz w:val="24"/>
              </w:rPr>
              <w:t>评价各有效投标人拟投入本项目的售后服务人员数量：</w:t>
            </w:r>
          </w:p>
          <w:p>
            <w:pPr>
              <w:adjustRightInd w:val="0"/>
              <w:snapToGrid w:val="0"/>
              <w:rPr>
                <w:rFonts w:hint="eastAsia" w:ascii="宋体" w:hAnsi="宋体"/>
                <w:color w:val="auto"/>
                <w:sz w:val="24"/>
              </w:rPr>
            </w:pPr>
            <w:r>
              <w:rPr>
                <w:rFonts w:hint="eastAsia" w:ascii="宋体" w:hAnsi="宋体"/>
                <w:color w:val="auto"/>
                <w:sz w:val="24"/>
              </w:rPr>
              <w:t>售后服务人员配置合理充足，得</w:t>
            </w:r>
            <w:r>
              <w:rPr>
                <w:rFonts w:ascii="宋体" w:hAnsi="宋体"/>
                <w:color w:val="auto"/>
                <w:sz w:val="24"/>
              </w:rPr>
              <w:t>6</w:t>
            </w:r>
            <w:r>
              <w:rPr>
                <w:rFonts w:hint="eastAsia" w:ascii="宋体" w:hAnsi="宋体"/>
                <w:color w:val="auto"/>
                <w:sz w:val="24"/>
              </w:rPr>
              <w:t>分；</w:t>
            </w:r>
          </w:p>
          <w:p>
            <w:pPr>
              <w:adjustRightInd w:val="0"/>
              <w:snapToGrid w:val="0"/>
              <w:rPr>
                <w:rFonts w:hint="eastAsia" w:ascii="宋体" w:hAnsi="宋体"/>
                <w:color w:val="auto"/>
                <w:sz w:val="24"/>
              </w:rPr>
            </w:pPr>
            <w:r>
              <w:rPr>
                <w:rFonts w:hint="eastAsia" w:ascii="宋体" w:hAnsi="宋体"/>
                <w:color w:val="auto"/>
                <w:sz w:val="24"/>
              </w:rPr>
              <w:t>售后服务人员人员配置较充足，得3分；</w:t>
            </w:r>
          </w:p>
          <w:p>
            <w:pPr>
              <w:rPr>
                <w:rFonts w:ascii="宋体" w:hAnsi="宋体"/>
                <w:color w:val="auto"/>
                <w:sz w:val="24"/>
              </w:rPr>
            </w:pPr>
            <w:r>
              <w:rPr>
                <w:rFonts w:hint="eastAsia" w:ascii="宋体" w:hAnsi="宋体"/>
                <w:color w:val="auto"/>
                <w:sz w:val="24"/>
              </w:rPr>
              <w:t>售后服务人员人员配置不充足，得1分。</w:t>
            </w:r>
          </w:p>
          <w:p>
            <w:pPr>
              <w:rPr>
                <w:rFonts w:ascii="宋体" w:hAnsi="宋体" w:cs="宋体"/>
                <w:color w:val="auto"/>
                <w:sz w:val="24"/>
              </w:rPr>
            </w:pPr>
            <w:r>
              <w:rPr>
                <w:rFonts w:hint="eastAsia" w:ascii="宋体" w:hAnsi="宋体" w:cs="宋体"/>
                <w:color w:val="auto"/>
                <w:sz w:val="24"/>
              </w:rPr>
              <w:t>【注：提供在本项目投标时间截止前3个月连续在投标人单位购买的社保证明不提供或拟投入的售后服务人员数量少于3人，均不得分。】</w:t>
            </w:r>
          </w:p>
        </w:tc>
        <w:tc>
          <w:tcPr>
            <w:tcW w:w="790" w:type="dxa"/>
            <w:vAlign w:val="center"/>
          </w:tcPr>
          <w:p>
            <w:pPr>
              <w:jc w:val="center"/>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Merge w:val="continue"/>
            <w:vAlign w:val="center"/>
          </w:tcPr>
          <w:p>
            <w:pPr>
              <w:jc w:val="center"/>
              <w:rPr>
                <w:rFonts w:ascii="宋体" w:hAnsi="宋体" w:cs="宋体"/>
                <w:color w:val="auto"/>
                <w:sz w:val="24"/>
              </w:rPr>
            </w:pPr>
          </w:p>
        </w:tc>
        <w:tc>
          <w:tcPr>
            <w:tcW w:w="1701" w:type="dxa"/>
            <w:vMerge w:val="continue"/>
            <w:vAlign w:val="center"/>
          </w:tcPr>
          <w:p>
            <w:pPr>
              <w:jc w:val="center"/>
              <w:rPr>
                <w:rFonts w:ascii="宋体" w:hAnsi="宋体" w:cs="宋体"/>
                <w:color w:val="auto"/>
                <w:sz w:val="24"/>
              </w:rPr>
            </w:pPr>
          </w:p>
        </w:tc>
        <w:tc>
          <w:tcPr>
            <w:tcW w:w="6946" w:type="dxa"/>
            <w:vAlign w:val="center"/>
          </w:tcPr>
          <w:p>
            <w:pPr>
              <w:rPr>
                <w:rFonts w:ascii="宋体" w:hAnsi="宋体" w:cs="宋体"/>
                <w:color w:val="auto"/>
                <w:sz w:val="24"/>
              </w:rPr>
            </w:pPr>
            <w:r>
              <w:rPr>
                <w:rFonts w:hint="eastAsia" w:ascii="宋体" w:hAnsi="宋体" w:cs="宋体"/>
                <w:color w:val="auto"/>
                <w:sz w:val="24"/>
              </w:rPr>
              <w:t>专门为本项目服务的售后服务人员：</w:t>
            </w:r>
          </w:p>
          <w:p>
            <w:pPr>
              <w:rPr>
                <w:rFonts w:ascii="宋体" w:hAnsi="宋体" w:cs="宋体"/>
                <w:color w:val="auto"/>
                <w:sz w:val="24"/>
              </w:rPr>
            </w:pPr>
            <w:r>
              <w:rPr>
                <w:rFonts w:hint="eastAsia" w:ascii="宋体" w:hAnsi="宋体" w:cs="宋体"/>
                <w:color w:val="auto"/>
                <w:sz w:val="24"/>
              </w:rPr>
              <w:t>全部具备相应资质且具有该行业从业经验3年或以上的得</w:t>
            </w:r>
            <w:r>
              <w:rPr>
                <w:rFonts w:ascii="宋体" w:hAnsi="宋体" w:cs="宋体"/>
                <w:color w:val="auto"/>
                <w:sz w:val="24"/>
              </w:rPr>
              <w:t>7</w:t>
            </w:r>
            <w:r>
              <w:rPr>
                <w:rFonts w:hint="eastAsia" w:ascii="宋体" w:hAnsi="宋体" w:cs="宋体"/>
                <w:color w:val="auto"/>
                <w:sz w:val="24"/>
              </w:rPr>
              <w:t>分；</w:t>
            </w:r>
          </w:p>
          <w:p>
            <w:pPr>
              <w:rPr>
                <w:rFonts w:ascii="宋体" w:hAnsi="宋体" w:cs="宋体"/>
                <w:color w:val="auto"/>
                <w:sz w:val="24"/>
              </w:rPr>
            </w:pPr>
            <w:r>
              <w:rPr>
                <w:rFonts w:hint="eastAsia" w:ascii="宋体" w:hAnsi="宋体" w:cs="宋体"/>
                <w:color w:val="auto"/>
                <w:sz w:val="24"/>
              </w:rPr>
              <w:t>全部具备相应资质且具有该行业从业经验1年或以上的得</w:t>
            </w:r>
            <w:r>
              <w:rPr>
                <w:rFonts w:ascii="宋体" w:hAnsi="宋体" w:cs="宋体"/>
                <w:color w:val="auto"/>
                <w:sz w:val="24"/>
              </w:rPr>
              <w:t>4</w:t>
            </w:r>
            <w:r>
              <w:rPr>
                <w:rFonts w:hint="eastAsia" w:ascii="宋体" w:hAnsi="宋体" w:cs="宋体"/>
                <w:color w:val="auto"/>
                <w:sz w:val="24"/>
              </w:rPr>
              <w:t>分；</w:t>
            </w:r>
          </w:p>
          <w:p>
            <w:pPr>
              <w:rPr>
                <w:rFonts w:ascii="宋体" w:hAnsi="宋体" w:cs="宋体"/>
                <w:color w:val="auto"/>
                <w:sz w:val="24"/>
              </w:rPr>
            </w:pPr>
            <w:r>
              <w:rPr>
                <w:rFonts w:hint="eastAsia" w:ascii="宋体" w:hAnsi="宋体" w:cs="宋体"/>
                <w:color w:val="auto"/>
                <w:sz w:val="24"/>
              </w:rPr>
              <w:t>全部具备相应资质且具有该行业从业经验半年或以上的得1分；</w:t>
            </w:r>
          </w:p>
          <w:p>
            <w:pPr>
              <w:rPr>
                <w:rFonts w:ascii="宋体" w:hAnsi="宋体" w:cs="宋体"/>
                <w:color w:val="auto"/>
                <w:sz w:val="24"/>
              </w:rPr>
            </w:pPr>
            <w:r>
              <w:rPr>
                <w:rFonts w:hint="eastAsia" w:ascii="宋体" w:hAnsi="宋体" w:cs="宋体"/>
                <w:color w:val="auto"/>
                <w:sz w:val="24"/>
              </w:rPr>
              <w:t>无资质或无从业经验半年以下的得0分。</w:t>
            </w:r>
          </w:p>
          <w:p>
            <w:pPr>
              <w:rPr>
                <w:rFonts w:ascii="宋体" w:hAnsi="宋体" w:cs="宋体"/>
                <w:color w:val="auto"/>
                <w:sz w:val="24"/>
              </w:rPr>
            </w:pPr>
            <w:r>
              <w:rPr>
                <w:rFonts w:hint="eastAsia" w:ascii="宋体" w:hAnsi="宋体" w:cs="宋体"/>
                <w:color w:val="auto"/>
                <w:sz w:val="24"/>
              </w:rPr>
              <w:t>【注：从业经验以获得（相应资质是指：汽车维修及检测从业人员职业资格或以上资格）之日起算并提供资质证书复印件（证书需在有效期内并在国家职业资格证书查询网址或指定职业技能培训机构查询真伪）及在本项目投标时间截止前6个月连续在投标人单位购买的社保证明。</w:t>
            </w:r>
            <w:r>
              <w:rPr>
                <w:rFonts w:hint="eastAsia" w:ascii="宋体" w:hAnsi="宋体" w:cs="宋体"/>
                <w:color w:val="auto"/>
                <w:sz w:val="24"/>
                <w:highlight w:val="yellow"/>
              </w:rPr>
              <w:t>资格证书及社保证明原件核查</w:t>
            </w:r>
            <w:r>
              <w:rPr>
                <w:rFonts w:hint="eastAsia" w:ascii="宋体" w:hAnsi="宋体" w:cs="宋体"/>
                <w:color w:val="auto"/>
                <w:sz w:val="24"/>
              </w:rPr>
              <w:t>】</w:t>
            </w:r>
          </w:p>
        </w:tc>
        <w:tc>
          <w:tcPr>
            <w:tcW w:w="790" w:type="dxa"/>
            <w:vAlign w:val="center"/>
          </w:tcPr>
          <w:p>
            <w:pPr>
              <w:jc w:val="center"/>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s="宋体"/>
                <w:bCs/>
                <w:color w:val="auto"/>
                <w:sz w:val="24"/>
              </w:rPr>
            </w:pPr>
            <w:r>
              <w:rPr>
                <w:rFonts w:hint="eastAsia" w:ascii="宋体" w:hAnsi="宋体" w:cs="宋体"/>
                <w:bCs/>
                <w:color w:val="auto"/>
                <w:sz w:val="24"/>
              </w:rPr>
              <w:t>3</w:t>
            </w:r>
          </w:p>
        </w:tc>
        <w:tc>
          <w:tcPr>
            <w:tcW w:w="1701" w:type="dxa"/>
            <w:vAlign w:val="center"/>
          </w:tcPr>
          <w:p>
            <w:pPr>
              <w:jc w:val="center"/>
              <w:rPr>
                <w:rFonts w:ascii="宋体" w:hAnsi="宋体" w:cs="宋体"/>
                <w:color w:val="auto"/>
                <w:sz w:val="24"/>
              </w:rPr>
            </w:pPr>
            <w:r>
              <w:rPr>
                <w:rFonts w:hint="eastAsia" w:ascii="宋体" w:hAnsi="宋体" w:cs="宋体"/>
                <w:color w:val="auto"/>
                <w:sz w:val="24"/>
              </w:rPr>
              <w:t>投标主要货物情况（各类汽车配件）</w:t>
            </w:r>
          </w:p>
        </w:tc>
        <w:tc>
          <w:tcPr>
            <w:tcW w:w="6946" w:type="dxa"/>
            <w:vAlign w:val="center"/>
          </w:tcPr>
          <w:p>
            <w:pPr>
              <w:rPr>
                <w:rFonts w:ascii="宋体" w:hAnsi="宋体" w:cs="宋体"/>
                <w:color w:val="auto"/>
                <w:sz w:val="24"/>
              </w:rPr>
            </w:pPr>
            <w:r>
              <w:rPr>
                <w:rFonts w:hint="eastAsia" w:ascii="宋体" w:hAnsi="宋体" w:cs="宋体"/>
                <w:color w:val="auto"/>
                <w:sz w:val="24"/>
              </w:rPr>
              <w:t>评价投标货物的质量、品牌、档次、产品来源、途径、性能指标：</w:t>
            </w:r>
          </w:p>
          <w:p>
            <w:pPr>
              <w:adjustRightInd w:val="0"/>
              <w:contextualSpacing/>
              <w:rPr>
                <w:rFonts w:hint="eastAsia" w:ascii="宋体" w:hAnsi="宋体"/>
                <w:color w:val="auto"/>
                <w:sz w:val="24"/>
              </w:rPr>
            </w:pPr>
            <w:r>
              <w:rPr>
                <w:rFonts w:hint="eastAsia" w:ascii="宋体" w:hAnsi="宋体"/>
                <w:color w:val="auto"/>
                <w:sz w:val="24"/>
              </w:rPr>
              <w:t>货物质量好，品牌美誉度高，产品来源可靠，性能优越，明显优于同类产品得4分；</w:t>
            </w:r>
          </w:p>
          <w:p>
            <w:pPr>
              <w:adjustRightInd w:val="0"/>
              <w:contextualSpacing/>
              <w:rPr>
                <w:rFonts w:hint="eastAsia" w:ascii="宋体" w:hAnsi="宋体"/>
                <w:color w:val="auto"/>
                <w:sz w:val="24"/>
              </w:rPr>
            </w:pPr>
            <w:r>
              <w:rPr>
                <w:rFonts w:hint="eastAsia" w:ascii="宋体" w:hAnsi="宋体"/>
                <w:color w:val="auto"/>
                <w:sz w:val="24"/>
              </w:rPr>
              <w:t>货物质量较好，品牌美誉度较高好，产品来源可靠，性能较好，略优于同类产品得2分；</w:t>
            </w:r>
          </w:p>
          <w:p>
            <w:pPr>
              <w:rPr>
                <w:rFonts w:hint="eastAsia" w:ascii="宋体" w:hAnsi="宋体"/>
                <w:color w:val="auto"/>
                <w:sz w:val="24"/>
              </w:rPr>
            </w:pPr>
            <w:r>
              <w:rPr>
                <w:rFonts w:hint="eastAsia" w:ascii="宋体" w:hAnsi="宋体"/>
                <w:color w:val="auto"/>
                <w:sz w:val="24"/>
              </w:rPr>
              <w:t>货物质量一般，产品来源基本可靠，性能一般得1分；</w:t>
            </w:r>
          </w:p>
          <w:p>
            <w:pPr>
              <w:rPr>
                <w:rFonts w:ascii="宋体" w:hAnsi="宋体" w:cs="宋体"/>
                <w:color w:val="auto"/>
                <w:sz w:val="24"/>
              </w:rPr>
            </w:pPr>
            <w:r>
              <w:rPr>
                <w:rFonts w:hint="eastAsia" w:ascii="宋体" w:hAnsi="宋体"/>
                <w:color w:val="auto"/>
                <w:sz w:val="24"/>
              </w:rPr>
              <w:t>货物质量、性能差得0分。</w:t>
            </w:r>
          </w:p>
        </w:tc>
        <w:tc>
          <w:tcPr>
            <w:tcW w:w="790" w:type="dxa"/>
            <w:vAlign w:val="center"/>
          </w:tcPr>
          <w:p>
            <w:pPr>
              <w:jc w:val="center"/>
              <w:rPr>
                <w:rFonts w:ascii="宋体" w:hAnsi="宋体" w:cs="宋体"/>
                <w:color w:val="auto"/>
                <w:sz w:val="24"/>
              </w:rPr>
            </w:pPr>
            <w:r>
              <w:rPr>
                <w:rFonts w:hint="eastAsia" w:ascii="宋体" w:hAnsi="宋体" w:cs="宋体"/>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s="宋体"/>
                <w:color w:val="auto"/>
                <w:sz w:val="24"/>
              </w:rPr>
            </w:pPr>
            <w:r>
              <w:rPr>
                <w:rFonts w:hint="eastAsia" w:ascii="宋体" w:hAnsi="宋体" w:cs="宋体"/>
                <w:color w:val="auto"/>
                <w:sz w:val="24"/>
              </w:rPr>
              <w:t>4</w:t>
            </w:r>
          </w:p>
        </w:tc>
        <w:tc>
          <w:tcPr>
            <w:tcW w:w="1701" w:type="dxa"/>
            <w:vAlign w:val="center"/>
          </w:tcPr>
          <w:p>
            <w:pPr>
              <w:jc w:val="center"/>
              <w:rPr>
                <w:rFonts w:ascii="宋体" w:hAnsi="宋体" w:cs="宋体"/>
                <w:color w:val="auto"/>
                <w:sz w:val="24"/>
              </w:rPr>
            </w:pPr>
            <w:r>
              <w:rPr>
                <w:rFonts w:hint="eastAsia" w:ascii="宋体" w:hAnsi="宋体" w:cs="宋体"/>
                <w:color w:val="auto"/>
                <w:sz w:val="24"/>
              </w:rPr>
              <w:t>质量保证承诺声明</w:t>
            </w:r>
          </w:p>
        </w:tc>
        <w:tc>
          <w:tcPr>
            <w:tcW w:w="6946" w:type="dxa"/>
            <w:vAlign w:val="center"/>
          </w:tcPr>
          <w:p>
            <w:pPr>
              <w:rPr>
                <w:rFonts w:ascii="宋体" w:hAnsi="宋体" w:cs="宋体"/>
                <w:color w:val="auto"/>
                <w:sz w:val="24"/>
              </w:rPr>
            </w:pPr>
            <w:r>
              <w:rPr>
                <w:rFonts w:hint="eastAsia" w:ascii="宋体" w:hAnsi="宋体" w:cs="宋体"/>
                <w:color w:val="auto"/>
                <w:sz w:val="24"/>
              </w:rPr>
              <w:t>承诺声明包括产品的质量、因产品质量问题造成事故的责任承担及赔偿方案、产品的三包、供货服务等内容。根据声明的详细性、合理可行性、切合实际等各方面情况进行综合评价：</w:t>
            </w:r>
          </w:p>
          <w:p>
            <w:pPr>
              <w:rPr>
                <w:rFonts w:hint="eastAsia" w:ascii="宋体" w:hAnsi="宋体" w:cs="宋体"/>
                <w:color w:val="auto"/>
                <w:sz w:val="24"/>
              </w:rPr>
            </w:pPr>
            <w:r>
              <w:rPr>
                <w:rFonts w:hint="eastAsia" w:ascii="宋体" w:hAnsi="宋体" w:cs="宋体"/>
                <w:color w:val="auto"/>
                <w:sz w:val="24"/>
              </w:rPr>
              <w:t>声明详细完整、合理可行，针对性强，得4分；</w:t>
            </w:r>
          </w:p>
          <w:p>
            <w:pPr>
              <w:rPr>
                <w:rFonts w:hint="eastAsia" w:ascii="宋体" w:hAnsi="宋体" w:cs="宋体"/>
                <w:color w:val="auto"/>
                <w:sz w:val="24"/>
              </w:rPr>
            </w:pPr>
            <w:r>
              <w:rPr>
                <w:rFonts w:hint="eastAsia" w:ascii="宋体" w:hAnsi="宋体" w:cs="宋体"/>
                <w:color w:val="auto"/>
                <w:sz w:val="24"/>
              </w:rPr>
              <w:t>声明基本完整、可行性较高，得2分；</w:t>
            </w:r>
          </w:p>
          <w:p>
            <w:pPr>
              <w:rPr>
                <w:rFonts w:hint="eastAsia" w:ascii="宋体" w:hAnsi="宋体" w:cs="宋体"/>
                <w:color w:val="auto"/>
                <w:sz w:val="24"/>
              </w:rPr>
            </w:pPr>
            <w:r>
              <w:rPr>
                <w:rFonts w:hint="eastAsia" w:ascii="宋体" w:hAnsi="宋体" w:cs="宋体"/>
                <w:color w:val="auto"/>
                <w:sz w:val="24"/>
              </w:rPr>
              <w:t>声明不完整、可行性较差，得1分；</w:t>
            </w:r>
          </w:p>
          <w:p>
            <w:pPr>
              <w:rPr>
                <w:rFonts w:ascii="宋体" w:hAnsi="宋体" w:cs="宋体"/>
                <w:color w:val="auto"/>
                <w:sz w:val="24"/>
              </w:rPr>
            </w:pPr>
            <w:r>
              <w:rPr>
                <w:rFonts w:hint="eastAsia" w:ascii="宋体" w:hAnsi="宋体" w:cs="宋体"/>
                <w:color w:val="auto"/>
                <w:sz w:val="24"/>
              </w:rPr>
              <w:t>无声明不得分。</w:t>
            </w:r>
          </w:p>
        </w:tc>
        <w:tc>
          <w:tcPr>
            <w:tcW w:w="790" w:type="dxa"/>
            <w:vAlign w:val="center"/>
          </w:tcPr>
          <w:p>
            <w:pPr>
              <w:jc w:val="center"/>
              <w:rPr>
                <w:rFonts w:ascii="宋体" w:hAnsi="宋体" w:cs="宋体"/>
                <w:color w:val="auto"/>
                <w:sz w:val="24"/>
              </w:rPr>
            </w:pPr>
            <w:r>
              <w:rPr>
                <w:rFonts w:hint="eastAsia" w:ascii="宋体" w:hAnsi="宋体" w:cs="宋体"/>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s="宋体"/>
                <w:color w:val="auto"/>
                <w:sz w:val="24"/>
              </w:rPr>
            </w:pPr>
            <w:r>
              <w:rPr>
                <w:rFonts w:hint="eastAsia" w:ascii="宋体" w:hAnsi="宋体" w:cs="宋体"/>
                <w:color w:val="auto"/>
                <w:sz w:val="24"/>
              </w:rPr>
              <w:t>5</w:t>
            </w:r>
          </w:p>
        </w:tc>
        <w:tc>
          <w:tcPr>
            <w:tcW w:w="1701" w:type="dxa"/>
            <w:vAlign w:val="center"/>
          </w:tcPr>
          <w:p>
            <w:pPr>
              <w:jc w:val="center"/>
              <w:rPr>
                <w:rFonts w:ascii="宋体" w:hAnsi="宋体" w:cs="宋体"/>
                <w:color w:val="auto"/>
                <w:sz w:val="24"/>
              </w:rPr>
            </w:pPr>
            <w:r>
              <w:rPr>
                <w:rFonts w:hint="eastAsia" w:ascii="宋体" w:hAnsi="宋体" w:cs="宋体"/>
                <w:color w:val="auto"/>
                <w:sz w:val="24"/>
              </w:rPr>
              <w:t>应急响应方案、配送计划、安全保证措施</w:t>
            </w:r>
          </w:p>
        </w:tc>
        <w:tc>
          <w:tcPr>
            <w:tcW w:w="6946" w:type="dxa"/>
            <w:vAlign w:val="center"/>
          </w:tcPr>
          <w:p>
            <w:pPr>
              <w:rPr>
                <w:rFonts w:ascii="宋体" w:hAnsi="宋体" w:cs="宋体"/>
                <w:color w:val="auto"/>
                <w:sz w:val="24"/>
              </w:rPr>
            </w:pPr>
            <w:r>
              <w:rPr>
                <w:rFonts w:hint="eastAsia" w:ascii="宋体" w:hAnsi="宋体" w:cs="宋体"/>
                <w:color w:val="auto"/>
                <w:sz w:val="24"/>
              </w:rPr>
              <w:t>根据投标人提供的应急响应方案、配送计划、安全保证措施，综合评价：</w:t>
            </w:r>
          </w:p>
          <w:p>
            <w:pPr>
              <w:rPr>
                <w:rFonts w:ascii="宋体" w:hAnsi="宋体" w:cs="宋体"/>
                <w:color w:val="auto"/>
                <w:sz w:val="24"/>
              </w:rPr>
            </w:pPr>
            <w:r>
              <w:rPr>
                <w:rFonts w:hint="eastAsia" w:ascii="宋体" w:hAnsi="宋体" w:cs="宋体"/>
                <w:color w:val="auto"/>
                <w:sz w:val="24"/>
              </w:rPr>
              <w:t>应急方案完整合理，配送计划详细完整，能够完全满足配送要求，安全保障措施具体可行，得11分；</w:t>
            </w:r>
          </w:p>
          <w:p>
            <w:pPr>
              <w:rPr>
                <w:rFonts w:ascii="宋体" w:hAnsi="宋体" w:cs="宋体"/>
                <w:color w:val="auto"/>
                <w:sz w:val="24"/>
              </w:rPr>
            </w:pPr>
            <w:r>
              <w:rPr>
                <w:rFonts w:hint="eastAsia" w:ascii="宋体" w:hAnsi="宋体" w:cs="宋体"/>
                <w:color w:val="auto"/>
                <w:sz w:val="24"/>
              </w:rPr>
              <w:t>方案基本完整，配送计划基本满足配送要求，安全保障措施具有一定可行性得7分；</w:t>
            </w:r>
          </w:p>
          <w:p>
            <w:pPr>
              <w:rPr>
                <w:rFonts w:ascii="宋体" w:hAnsi="宋体" w:cs="宋体"/>
                <w:color w:val="auto"/>
                <w:sz w:val="24"/>
              </w:rPr>
            </w:pPr>
            <w:r>
              <w:rPr>
                <w:rFonts w:hint="eastAsia" w:ascii="宋体" w:hAnsi="宋体" w:cs="宋体"/>
                <w:color w:val="auto"/>
                <w:sz w:val="24"/>
              </w:rPr>
              <w:t>方案内容简单，配送计划部分满足配送要求，安全保障措施可行性差得3分；</w:t>
            </w:r>
          </w:p>
          <w:p>
            <w:pPr>
              <w:rPr>
                <w:rFonts w:ascii="宋体" w:hAnsi="宋体" w:cs="宋体"/>
                <w:color w:val="auto"/>
                <w:sz w:val="24"/>
              </w:rPr>
            </w:pPr>
            <w:r>
              <w:rPr>
                <w:rFonts w:hint="eastAsia" w:ascii="新宋体" w:hAnsi="新宋体" w:eastAsia="新宋体" w:cs="仿宋"/>
                <w:color w:val="auto"/>
                <w:sz w:val="24"/>
              </w:rPr>
              <w:t>无方案，不得分。</w:t>
            </w:r>
          </w:p>
        </w:tc>
        <w:tc>
          <w:tcPr>
            <w:tcW w:w="790" w:type="dxa"/>
            <w:vAlign w:val="center"/>
          </w:tcPr>
          <w:p>
            <w:pPr>
              <w:jc w:val="center"/>
              <w:rPr>
                <w:rFonts w:ascii="宋体" w:hAnsi="宋体" w:cs="宋体"/>
                <w:color w:val="auto"/>
                <w:sz w:val="24"/>
              </w:rPr>
            </w:pPr>
            <w:r>
              <w:rPr>
                <w:rFonts w:hint="eastAsia" w:ascii="宋体" w:hAnsi="宋体" w:cs="宋体"/>
                <w:color w:val="auto"/>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Merge w:val="restart"/>
            <w:vAlign w:val="center"/>
          </w:tcPr>
          <w:p>
            <w:pPr>
              <w:jc w:val="center"/>
              <w:rPr>
                <w:rFonts w:ascii="宋体" w:hAnsi="宋体" w:cs="宋体"/>
                <w:color w:val="auto"/>
                <w:sz w:val="24"/>
              </w:rPr>
            </w:pPr>
            <w:r>
              <w:rPr>
                <w:rFonts w:hint="eastAsia" w:ascii="宋体" w:hAnsi="宋体" w:cs="宋体"/>
                <w:color w:val="auto"/>
                <w:sz w:val="24"/>
              </w:rPr>
              <w:t>6</w:t>
            </w:r>
          </w:p>
        </w:tc>
        <w:tc>
          <w:tcPr>
            <w:tcW w:w="1701" w:type="dxa"/>
            <w:vMerge w:val="restart"/>
            <w:vAlign w:val="center"/>
          </w:tcPr>
          <w:p>
            <w:pPr>
              <w:jc w:val="center"/>
              <w:rPr>
                <w:rFonts w:ascii="宋体" w:hAnsi="宋体" w:cs="宋体"/>
                <w:color w:val="auto"/>
                <w:sz w:val="24"/>
              </w:rPr>
            </w:pPr>
            <w:r>
              <w:rPr>
                <w:rFonts w:hint="eastAsia" w:ascii="宋体" w:hAnsi="宋体" w:cs="宋体"/>
                <w:color w:val="auto"/>
                <w:sz w:val="24"/>
              </w:rPr>
              <w:t>售后服务点</w:t>
            </w:r>
          </w:p>
        </w:tc>
        <w:tc>
          <w:tcPr>
            <w:tcW w:w="6946" w:type="dxa"/>
            <w:vAlign w:val="center"/>
          </w:tcPr>
          <w:p>
            <w:pPr>
              <w:rPr>
                <w:rFonts w:ascii="宋体" w:hAnsi="宋体" w:cs="宋体"/>
                <w:color w:val="auto"/>
                <w:sz w:val="24"/>
              </w:rPr>
            </w:pPr>
            <w:r>
              <w:rPr>
                <w:rFonts w:hint="eastAsia" w:ascii="宋体" w:hAnsi="宋体" w:cs="宋体"/>
                <w:color w:val="auto"/>
                <w:sz w:val="24"/>
              </w:rPr>
              <w:t>投标人在广州地区设有工商部门备案的售后服务机构，可保证现场响应时间在2小时（含2小时）之内。</w:t>
            </w:r>
          </w:p>
        </w:tc>
        <w:tc>
          <w:tcPr>
            <w:tcW w:w="790" w:type="dxa"/>
            <w:vAlign w:val="center"/>
          </w:tcPr>
          <w:p>
            <w:pPr>
              <w:jc w:val="center"/>
              <w:rPr>
                <w:rFonts w:ascii="宋体" w:hAnsi="宋体" w:cs="宋体"/>
                <w:color w:val="auto"/>
                <w:sz w:val="24"/>
              </w:rPr>
            </w:pPr>
            <w:r>
              <w:rPr>
                <w:rFonts w:hint="eastAsia" w:ascii="宋体" w:hAnsi="宋体" w:cs="宋体"/>
                <w:color w:val="auto"/>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Merge w:val="continue"/>
            <w:vAlign w:val="center"/>
          </w:tcPr>
          <w:p>
            <w:pPr>
              <w:jc w:val="center"/>
              <w:rPr>
                <w:rFonts w:ascii="宋体" w:hAnsi="宋体" w:cs="宋体"/>
                <w:color w:val="auto"/>
                <w:sz w:val="24"/>
              </w:rPr>
            </w:pPr>
          </w:p>
        </w:tc>
        <w:tc>
          <w:tcPr>
            <w:tcW w:w="1701" w:type="dxa"/>
            <w:vMerge w:val="continue"/>
            <w:vAlign w:val="center"/>
          </w:tcPr>
          <w:p>
            <w:pPr>
              <w:jc w:val="center"/>
              <w:rPr>
                <w:rFonts w:ascii="宋体" w:hAnsi="宋体" w:cs="宋体"/>
                <w:color w:val="auto"/>
                <w:sz w:val="24"/>
              </w:rPr>
            </w:pPr>
          </w:p>
        </w:tc>
        <w:tc>
          <w:tcPr>
            <w:tcW w:w="6946" w:type="dxa"/>
            <w:vAlign w:val="center"/>
          </w:tcPr>
          <w:p>
            <w:pPr>
              <w:rPr>
                <w:rFonts w:hint="eastAsia" w:ascii="宋体" w:hAnsi="宋体" w:cs="宋体"/>
                <w:color w:val="auto"/>
                <w:sz w:val="24"/>
              </w:rPr>
            </w:pPr>
            <w:r>
              <w:rPr>
                <w:rFonts w:hint="eastAsia" w:ascii="宋体" w:hAnsi="宋体" w:cs="宋体"/>
                <w:color w:val="auto"/>
                <w:sz w:val="24"/>
              </w:rPr>
              <w:t>质保期限达到</w:t>
            </w:r>
            <w:r>
              <w:rPr>
                <w:rFonts w:ascii="宋体" w:hAnsi="宋体" w:cs="宋体"/>
                <w:color w:val="auto"/>
                <w:sz w:val="24"/>
              </w:rPr>
              <w:t>12个月得3分</w:t>
            </w:r>
            <w:r>
              <w:rPr>
                <w:rFonts w:hint="eastAsia" w:ascii="宋体" w:hAnsi="宋体" w:cs="宋体"/>
                <w:color w:val="auto"/>
                <w:sz w:val="24"/>
              </w:rPr>
              <w:t>，6-</w:t>
            </w:r>
            <w:r>
              <w:rPr>
                <w:rFonts w:ascii="宋体" w:hAnsi="宋体" w:cs="宋体"/>
                <w:color w:val="auto"/>
                <w:sz w:val="24"/>
              </w:rPr>
              <w:t>12月得</w:t>
            </w:r>
            <w:r>
              <w:rPr>
                <w:rFonts w:hint="eastAsia" w:ascii="宋体" w:hAnsi="宋体" w:cs="宋体"/>
                <w:color w:val="auto"/>
                <w:sz w:val="24"/>
              </w:rPr>
              <w:t>1分，低于6个月不得分。</w:t>
            </w:r>
          </w:p>
        </w:tc>
        <w:tc>
          <w:tcPr>
            <w:tcW w:w="790" w:type="dxa"/>
            <w:vAlign w:val="center"/>
          </w:tcPr>
          <w:p>
            <w:pPr>
              <w:jc w:val="center"/>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4" w:type="dxa"/>
            <w:gridSpan w:val="3"/>
            <w:shd w:val="clear" w:color="auto" w:fill="EAEAEA"/>
            <w:vAlign w:val="center"/>
          </w:tcPr>
          <w:p>
            <w:pPr>
              <w:jc w:val="center"/>
              <w:rPr>
                <w:rFonts w:ascii="宋体" w:hAnsi="宋体" w:cs="宋体"/>
                <w:b/>
                <w:bCs/>
                <w:color w:val="auto"/>
                <w:sz w:val="24"/>
              </w:rPr>
            </w:pPr>
            <w:r>
              <w:rPr>
                <w:rFonts w:hint="eastAsia" w:ascii="宋体" w:hAnsi="宋体" w:cs="宋体"/>
                <w:b/>
                <w:bCs/>
                <w:color w:val="auto"/>
                <w:sz w:val="24"/>
              </w:rPr>
              <w:t>合计</w:t>
            </w:r>
          </w:p>
        </w:tc>
        <w:tc>
          <w:tcPr>
            <w:tcW w:w="790" w:type="dxa"/>
            <w:shd w:val="clear" w:color="auto" w:fill="EAEAEA"/>
            <w:vAlign w:val="center"/>
          </w:tcPr>
          <w:p>
            <w:pPr>
              <w:jc w:val="center"/>
              <w:rPr>
                <w:rFonts w:ascii="宋体" w:hAnsi="宋体" w:cs="宋体"/>
                <w:b/>
                <w:bCs/>
                <w:color w:val="auto"/>
                <w:sz w:val="24"/>
              </w:rPr>
            </w:pPr>
            <w:r>
              <w:rPr>
                <w:rFonts w:hint="eastAsia" w:ascii="宋体" w:hAnsi="宋体" w:cs="宋体"/>
                <w:b/>
                <w:bCs/>
                <w:color w:val="auto"/>
                <w:sz w:val="24"/>
              </w:rPr>
              <w:t>40分</w:t>
            </w:r>
          </w:p>
        </w:tc>
      </w:tr>
    </w:tbl>
    <w:p>
      <w:pPr>
        <w:ind w:left="-13" w:leftChars="-6" w:firstLine="105" w:firstLineChars="50"/>
        <w:rPr>
          <w:rFonts w:ascii="宋体" w:hAnsi="宋体"/>
          <w:color w:val="auto"/>
          <w:szCs w:val="21"/>
        </w:rPr>
      </w:pPr>
    </w:p>
    <w:p>
      <w:pPr>
        <w:ind w:left="-13" w:leftChars="-6" w:firstLine="105" w:firstLineChars="50"/>
        <w:rPr>
          <w:rFonts w:ascii="宋体" w:hAnsi="宋体"/>
          <w:color w:val="auto"/>
          <w:szCs w:val="21"/>
        </w:rPr>
      </w:pPr>
      <w:r>
        <w:rPr>
          <w:rFonts w:hint="eastAsia" w:ascii="宋体" w:hAnsi="宋体"/>
          <w:color w:val="auto"/>
          <w:szCs w:val="21"/>
        </w:rPr>
        <w:t>注：1、评委按分项的规定分数范围内给各投标人进行打分，并统计总分。</w:t>
      </w:r>
    </w:p>
    <w:p>
      <w:pPr>
        <w:ind w:left="-13" w:leftChars="-6" w:firstLine="525" w:firstLineChars="250"/>
        <w:rPr>
          <w:rFonts w:ascii="宋体" w:hAnsi="宋体"/>
          <w:bCs/>
          <w:color w:val="auto"/>
          <w:szCs w:val="21"/>
        </w:rPr>
      </w:pPr>
      <w:r>
        <w:rPr>
          <w:rFonts w:hint="eastAsia" w:ascii="宋体" w:hAnsi="宋体"/>
          <w:color w:val="auto"/>
          <w:szCs w:val="21"/>
        </w:rPr>
        <w:t>2、</w:t>
      </w:r>
      <w:r>
        <w:rPr>
          <w:rFonts w:hint="eastAsia" w:ascii="宋体" w:hAnsi="宋体"/>
          <w:bCs/>
          <w:color w:val="auto"/>
          <w:szCs w:val="21"/>
        </w:rPr>
        <w:t>招标文件要求提交的与评价指标体系相关的各类有效资料，投标人如未按要求提交的，该项评分为零分。</w:t>
      </w:r>
    </w:p>
    <w:p>
      <w:pPr>
        <w:rPr>
          <w:color w:val="auto"/>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spacing w:line="360" w:lineRule="auto"/>
        <w:jc w:val="center"/>
        <w:outlineLvl w:val="0"/>
        <w:rPr>
          <w:rFonts w:ascii="宋体" w:hAnsi="宋体"/>
          <w:b/>
          <w:bCs/>
          <w:color w:val="auto"/>
          <w:sz w:val="28"/>
          <w:szCs w:val="28"/>
        </w:rPr>
      </w:pPr>
      <w:bookmarkStart w:id="9" w:name="_Toc26151"/>
      <w:r>
        <w:rPr>
          <w:rFonts w:hint="eastAsia" w:ascii="宋体" w:hAnsi="宋体"/>
          <w:b/>
          <w:bCs/>
          <w:color w:val="auto"/>
          <w:sz w:val="28"/>
          <w:szCs w:val="28"/>
        </w:rPr>
        <w:t>价格评分表(</w:t>
      </w:r>
      <w:r>
        <w:rPr>
          <w:rFonts w:hint="eastAsia" w:ascii="宋体" w:hAnsi="宋体"/>
          <w:b/>
          <w:bCs/>
          <w:color w:val="auto"/>
          <w:sz w:val="28"/>
          <w:szCs w:val="28"/>
          <w:lang w:val="en-US" w:eastAsia="zh-CN"/>
        </w:rPr>
        <w:t>30</w:t>
      </w:r>
      <w:r>
        <w:rPr>
          <w:rFonts w:hint="eastAsia" w:ascii="宋体" w:hAnsi="宋体" w:eastAsia="宋体" w:cs="Times New Roman"/>
          <w:b/>
          <w:bCs/>
          <w:color w:val="auto"/>
          <w:sz w:val="28"/>
          <w:szCs w:val="28"/>
        </w:rPr>
        <w:t>分)</w:t>
      </w:r>
      <w:bookmarkEnd w:id="9"/>
      <w:r>
        <w:rPr>
          <w:rFonts w:hint="eastAsia" w:ascii="宋体" w:hAnsi="宋体" w:eastAsia="宋体" w:cs="Times New Roman"/>
          <w:b/>
          <w:bCs/>
          <w:color w:val="auto"/>
          <w:sz w:val="28"/>
          <w:szCs w:val="28"/>
          <w:lang w:eastAsia="zh-CN"/>
        </w:rPr>
        <w:t>（包一、二、三）</w:t>
      </w:r>
    </w:p>
    <w:p>
      <w:pPr>
        <w:numPr>
          <w:ilvl w:val="0"/>
          <w:numId w:val="12"/>
        </w:numPr>
        <w:adjustRightInd w:val="0"/>
        <w:snapToGrid w:val="0"/>
        <w:spacing w:line="360" w:lineRule="auto"/>
        <w:rPr>
          <w:rFonts w:ascii="宋体" w:hAnsi="宋体"/>
          <w:bCs/>
          <w:color w:val="auto"/>
        </w:rPr>
      </w:pPr>
      <w:r>
        <w:rPr>
          <w:rFonts w:hint="eastAsia" w:ascii="宋体" w:hAnsi="宋体"/>
          <w:bCs/>
          <w:color w:val="auto"/>
        </w:rPr>
        <w:t>价格核准：</w:t>
      </w:r>
    </w:p>
    <w:p>
      <w:pPr>
        <w:numPr>
          <w:ilvl w:val="1"/>
          <w:numId w:val="12"/>
        </w:numPr>
        <w:adjustRightInd w:val="0"/>
        <w:snapToGrid w:val="0"/>
        <w:spacing w:line="360" w:lineRule="auto"/>
        <w:rPr>
          <w:rFonts w:ascii="宋体" w:hAnsi="宋体"/>
          <w:color w:val="auto"/>
        </w:rPr>
      </w:pPr>
      <w:r>
        <w:rPr>
          <w:rFonts w:hint="eastAsia" w:ascii="宋体" w:hAnsi="宋体"/>
          <w:bCs/>
          <w:color w:val="auto"/>
        </w:rPr>
        <w:t>评标委员会详细分析、核准价格表，检查其是否存在计算上或累加上的算术错误，修正错误的原则如下：</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开标时，投标文件中开标一览表(报价表)内容与投标文件中明细表内容不一致的，以开标一览表(报价表)为准。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投标文件中的大写金额和小写金额不一致的，以大写金额为准；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总价金额与按单价汇总金额不一致的，以单价金额计算结果为准；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单价金额小数点有明显错位的，应以总价为准，并修改单价；</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color w:val="auto"/>
          <w:szCs w:val="21"/>
        </w:rPr>
      </w:pPr>
      <w:r>
        <w:rPr>
          <w:rFonts w:hint="eastAsia" w:ascii="宋体" w:hAnsi="宋体" w:cs="宋体"/>
          <w:color w:val="auto"/>
          <w:szCs w:val="21"/>
        </w:rPr>
        <w:t>同时出现两种以上不一致的，按照前款规定的顺序修正。</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评标委员会将按照上述修正错误的方法调整投标文件中的投标报价，调整后的价格对投标人具有约束力。如果投标人不接受对其错误的更正，其投标将被确定为投标无效。</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按下列第3点</w:t>
      </w:r>
      <w:r>
        <w:rPr>
          <w:rFonts w:hint="eastAsia" w:ascii="宋体" w:hAnsi="宋体"/>
          <w:color w:val="auto"/>
        </w:rPr>
        <w:t>小型和微型企业产品价格进行价格扣除。</w:t>
      </w:r>
    </w:p>
    <w:p>
      <w:pPr>
        <w:numPr>
          <w:ilvl w:val="0"/>
          <w:numId w:val="12"/>
        </w:numPr>
        <w:adjustRightInd w:val="0"/>
        <w:snapToGrid w:val="0"/>
        <w:spacing w:line="360" w:lineRule="auto"/>
        <w:rPr>
          <w:rFonts w:ascii="宋体" w:hAnsi="宋体"/>
          <w:bCs/>
          <w:color w:val="auto"/>
        </w:rPr>
      </w:pPr>
      <w:r>
        <w:rPr>
          <w:rFonts w:ascii="宋体" w:hAnsi="宋体"/>
          <w:bCs/>
          <w:color w:val="auto"/>
        </w:rPr>
        <w:t>综合评分法中的价格分统一采用低价优先法计算，即满足招标文件要求</w:t>
      </w:r>
      <w:r>
        <w:rPr>
          <w:rFonts w:hint="eastAsia" w:ascii="宋体" w:hAnsi="宋体"/>
          <w:bCs/>
          <w:color w:val="auto"/>
        </w:rPr>
        <w:t>（通过资格性、符合性审查）</w:t>
      </w:r>
      <w:r>
        <w:rPr>
          <w:rFonts w:ascii="宋体" w:hAnsi="宋体"/>
          <w:bCs/>
          <w:color w:val="auto"/>
        </w:rPr>
        <w:t>且投标价格最低的</w:t>
      </w:r>
      <w:r>
        <w:rPr>
          <w:rFonts w:hint="eastAsia" w:ascii="宋体" w:hAnsi="宋体"/>
          <w:bCs/>
          <w:color w:val="auto"/>
        </w:rPr>
        <w:t>有效</w:t>
      </w:r>
      <w:r>
        <w:rPr>
          <w:rFonts w:ascii="宋体" w:hAnsi="宋体"/>
          <w:bCs/>
          <w:color w:val="auto"/>
        </w:rPr>
        <w:t>投标报价</w:t>
      </w:r>
      <w:r>
        <w:rPr>
          <w:rFonts w:hint="eastAsia" w:ascii="宋体" w:hAnsi="宋体"/>
          <w:bCs/>
          <w:color w:val="auto"/>
        </w:rPr>
        <w:t>（指价格核准后的价格，下同）</w:t>
      </w:r>
      <w:r>
        <w:rPr>
          <w:rFonts w:ascii="宋体" w:hAnsi="宋体"/>
          <w:bCs/>
          <w:color w:val="auto"/>
        </w:rPr>
        <w:t>为评标基准价，其价格分为满分。其他投标人的价格分统一按照下列公式计算：</w:t>
      </w:r>
    </w:p>
    <w:p>
      <w:pPr>
        <w:adjustRightInd w:val="0"/>
        <w:snapToGrid w:val="0"/>
        <w:spacing w:line="360" w:lineRule="auto"/>
        <w:ind w:firstLine="413" w:firstLineChars="196"/>
        <w:rPr>
          <w:rFonts w:ascii="宋体" w:hAnsi="宋体"/>
          <w:b/>
          <w:bCs/>
          <w:color w:val="auto"/>
        </w:rPr>
      </w:pPr>
      <w:r>
        <w:rPr>
          <w:rFonts w:hint="eastAsia" w:ascii="宋体" w:hAnsi="宋体"/>
          <w:b/>
          <w:bCs/>
          <w:color w:val="auto"/>
        </w:rPr>
        <w:t>投标报价得分=(评标基准价/投标报价)×价格权值×100</w:t>
      </w:r>
    </w:p>
    <w:p>
      <w:pPr>
        <w:adjustRightInd w:val="0"/>
        <w:snapToGrid w:val="0"/>
        <w:spacing w:line="360" w:lineRule="auto"/>
        <w:ind w:firstLine="411" w:firstLineChars="196"/>
        <w:rPr>
          <w:rFonts w:ascii="宋体" w:hAnsi="宋体"/>
          <w:bCs/>
          <w:color w:val="auto"/>
        </w:rPr>
      </w:pPr>
      <w:r>
        <w:rPr>
          <w:rFonts w:hint="eastAsia" w:ascii="宋体" w:hAnsi="宋体"/>
          <w:bCs/>
          <w:color w:val="auto"/>
        </w:rPr>
        <w:t>备注：投标报价得分四舍五入后，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2"/>
        </w:numPr>
        <w:adjustRightInd w:val="0"/>
        <w:snapToGrid w:val="0"/>
        <w:spacing w:line="360" w:lineRule="auto"/>
        <w:rPr>
          <w:rFonts w:ascii="宋体" w:hAnsi="宋体"/>
          <w:color w:val="auto"/>
        </w:rPr>
      </w:pPr>
      <w:r>
        <w:rPr>
          <w:rFonts w:hint="eastAsia" w:ascii="宋体" w:hAnsi="宋体"/>
          <w:color w:val="auto"/>
        </w:rPr>
        <w:t>小型和微型企业产品价格扣除</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 xml:space="preserve">根据财政部、工业和信息化部印发的《政府采购促进中小企业发展暂行办法》（财库[2011]181号）的规定，对小型和微型企业产品的价格给予8%的扣除，用扣除后的价格参与评审； </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《政府采购促进中小企业发展暂行办法》所称中小企业（含中型、小型、微型企业，下同）应当同时符合以下条件：</w:t>
      </w:r>
    </w:p>
    <w:p>
      <w:pPr>
        <w:numPr>
          <w:ilvl w:val="2"/>
          <w:numId w:val="12"/>
        </w:numPr>
        <w:adjustRightInd w:val="0"/>
        <w:snapToGrid w:val="0"/>
        <w:spacing w:line="360" w:lineRule="auto"/>
        <w:rPr>
          <w:rFonts w:ascii="宋体" w:hAnsi="宋体"/>
          <w:bCs/>
          <w:color w:val="auto"/>
        </w:rPr>
      </w:pPr>
      <w:r>
        <w:rPr>
          <w:rFonts w:hint="eastAsia" w:ascii="宋体" w:hAnsi="宋体"/>
          <w:bCs/>
          <w:color w:val="auto"/>
        </w:rPr>
        <w:t xml:space="preserve">符合中小企业划分标准； </w:t>
      </w:r>
    </w:p>
    <w:p>
      <w:pPr>
        <w:numPr>
          <w:ilvl w:val="2"/>
          <w:numId w:val="12"/>
        </w:numPr>
        <w:adjustRightInd w:val="0"/>
        <w:snapToGrid w:val="0"/>
        <w:spacing w:line="360" w:lineRule="auto"/>
        <w:rPr>
          <w:rFonts w:ascii="宋体" w:hAnsi="宋体"/>
          <w:bCs/>
          <w:color w:val="auto"/>
        </w:rPr>
      </w:pPr>
      <w:r>
        <w:rPr>
          <w:rFonts w:hint="eastAsia" w:ascii="宋体" w:hAnsi="宋体"/>
          <w:bCs/>
          <w:color w:val="auto"/>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参加政府采购活动的中小企业应当提供《中小企业声明函》（格式见第六章投标文件格式）</w:t>
      </w:r>
    </w:p>
    <w:p>
      <w:pPr>
        <w:numPr>
          <w:ilvl w:val="1"/>
          <w:numId w:val="12"/>
        </w:numPr>
        <w:adjustRightInd w:val="0"/>
        <w:snapToGrid w:val="0"/>
        <w:spacing w:line="360" w:lineRule="auto"/>
        <w:rPr>
          <w:rFonts w:ascii="宋体" w:hAnsi="宋体"/>
          <w:color w:val="auto"/>
        </w:rPr>
      </w:pPr>
      <w:r>
        <w:rPr>
          <w:rFonts w:hint="eastAsia" w:ascii="宋体" w:hAnsi="宋体"/>
          <w:color w:val="auto"/>
        </w:rPr>
        <w:t>监狱企业视同小型、微型企业，享受评审中价格扣除。</w:t>
      </w:r>
    </w:p>
    <w:p>
      <w:pPr>
        <w:numPr>
          <w:ilvl w:val="2"/>
          <w:numId w:val="12"/>
        </w:numPr>
        <w:adjustRightInd w:val="0"/>
        <w:snapToGrid w:val="0"/>
        <w:spacing w:line="360" w:lineRule="auto"/>
        <w:rPr>
          <w:rFonts w:ascii="宋体" w:hAnsi="宋体"/>
          <w:color w:val="auto"/>
        </w:rPr>
      </w:pPr>
      <w:r>
        <w:rPr>
          <w:rFonts w:hint="eastAsia" w:ascii="宋体"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2"/>
        </w:numPr>
        <w:adjustRightInd w:val="0"/>
        <w:snapToGrid w:val="0"/>
        <w:spacing w:line="360" w:lineRule="auto"/>
        <w:rPr>
          <w:rFonts w:ascii="宋体" w:hAnsi="宋体"/>
          <w:color w:val="auto"/>
        </w:rPr>
      </w:pPr>
      <w:r>
        <w:rPr>
          <w:rFonts w:hint="eastAsia" w:ascii="宋体" w:hAnsi="宋体"/>
          <w:color w:val="auto"/>
        </w:rPr>
        <w:t>监狱企业参加政府采购活动时，应当提供由省级以上监狱管理局、戒毒管理局（含新疆生产建设兵团）出具的属于监狱企业的证明文件，</w:t>
      </w:r>
      <w:r>
        <w:rPr>
          <w:rFonts w:hint="eastAsia" w:ascii="宋体" w:hAnsi="宋体" w:cs="宋体"/>
          <w:color w:val="auto"/>
          <w:kern w:val="0"/>
          <w:szCs w:val="21"/>
        </w:rPr>
        <w:t>否则不予认可</w:t>
      </w:r>
      <w:r>
        <w:rPr>
          <w:rFonts w:hint="eastAsia" w:ascii="宋体" w:hAnsi="宋体"/>
          <w:color w:val="auto"/>
        </w:rPr>
        <w:t>。</w:t>
      </w:r>
    </w:p>
    <w:p>
      <w:pPr>
        <w:numPr>
          <w:ilvl w:val="1"/>
          <w:numId w:val="12"/>
        </w:numPr>
        <w:adjustRightInd w:val="0"/>
        <w:snapToGrid w:val="0"/>
        <w:spacing w:line="360" w:lineRule="auto"/>
        <w:ind w:left="425"/>
        <w:rPr>
          <w:rFonts w:ascii="宋体" w:hAnsi="宋体"/>
          <w:color w:val="auto"/>
        </w:rPr>
      </w:pPr>
      <w:r>
        <w:rPr>
          <w:rFonts w:hint="eastAsia" w:ascii="宋体" w:hAnsi="宋体"/>
          <w:color w:val="auto"/>
        </w:rPr>
        <w:t>投标人同时为小型、微型企业和监狱企业的，评审中只享受一次价格扣除。不重复进行价格扣除。</w:t>
      </w:r>
    </w:p>
    <w:p>
      <w:pPr>
        <w:numPr>
          <w:ilvl w:val="0"/>
          <w:numId w:val="12"/>
        </w:numPr>
        <w:adjustRightInd w:val="0"/>
        <w:snapToGrid w:val="0"/>
        <w:spacing w:line="360" w:lineRule="auto"/>
        <w:rPr>
          <w:rFonts w:ascii="宋体" w:hAnsi="宋体"/>
          <w:color w:val="auto"/>
        </w:rPr>
      </w:pPr>
      <w:r>
        <w:rPr>
          <w:rFonts w:hint="eastAsia" w:ascii="宋体" w:hAnsi="宋体"/>
          <w:color w:val="auto"/>
        </w:rPr>
        <w:t>疾人福利性单位产品价格扣除</w:t>
      </w:r>
    </w:p>
    <w:p>
      <w:pPr>
        <w:numPr>
          <w:ilvl w:val="2"/>
          <w:numId w:val="14"/>
        </w:numPr>
        <w:spacing w:line="360" w:lineRule="auto"/>
        <w:ind w:left="567" w:hanging="567"/>
        <w:rPr>
          <w:rFonts w:ascii="宋体" w:hAnsi="宋体" w:cs="宋体"/>
          <w:color w:val="auto"/>
          <w:szCs w:val="21"/>
        </w:rPr>
      </w:pPr>
      <w:r>
        <w:rPr>
          <w:rFonts w:hint="eastAsia" w:ascii="宋体" w:hAnsi="宋体" w:cs="宋体"/>
          <w:color w:val="auto"/>
          <w:szCs w:val="21"/>
        </w:rPr>
        <w:t>残疾人福利性单位视同小型、微型企业，按上述第（一）条款享受评审中价格扣除。</w:t>
      </w:r>
    </w:p>
    <w:p>
      <w:pPr>
        <w:numPr>
          <w:ilvl w:val="2"/>
          <w:numId w:val="14"/>
        </w:numPr>
        <w:spacing w:line="360" w:lineRule="auto"/>
        <w:ind w:left="567" w:hanging="567"/>
        <w:rPr>
          <w:rFonts w:ascii="宋体" w:hAnsi="宋体" w:cs="宋体"/>
          <w:color w:val="auto"/>
          <w:szCs w:val="21"/>
        </w:rPr>
      </w:pPr>
      <w:r>
        <w:rPr>
          <w:rFonts w:hint="eastAsia" w:ascii="宋体" w:hAnsi="宋体" w:cs="宋体"/>
          <w:bCs/>
          <w:color w:val="auto"/>
          <w:szCs w:val="21"/>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color w:val="auto"/>
          <w:szCs w:val="21"/>
        </w:rPr>
        <w:t>声明的真实性负责。一旦中标将在中标公告中公告其声明函，接受社会监督。投标人提供的《残疾人福利性单位声明函》与事实不符的，依照《</w:t>
      </w:r>
      <w:r>
        <w:rPr>
          <w:rFonts w:hint="eastAsia" w:ascii="宋体" w:hAnsi="宋体" w:cs="宋体"/>
          <w:bCs/>
          <w:color w:val="auto"/>
          <w:szCs w:val="21"/>
        </w:rPr>
        <w:t>中华人民共和国政府采购法</w:t>
      </w:r>
      <w:r>
        <w:rPr>
          <w:rFonts w:hint="eastAsia" w:ascii="宋体" w:hAnsi="宋体" w:cs="宋体"/>
          <w:color w:val="auto"/>
          <w:szCs w:val="21"/>
        </w:rPr>
        <w:t>》第七十七条第一款的规定追究法律责任。</w:t>
      </w:r>
    </w:p>
    <w:p>
      <w:pPr>
        <w:numPr>
          <w:ilvl w:val="2"/>
          <w:numId w:val="14"/>
        </w:numPr>
        <w:spacing w:line="360" w:lineRule="auto"/>
        <w:ind w:left="567" w:hanging="567"/>
        <w:rPr>
          <w:rFonts w:ascii="宋体" w:hAnsi="宋体" w:cs="宋体"/>
          <w:color w:val="auto"/>
          <w:szCs w:val="21"/>
        </w:rPr>
      </w:pPr>
      <w:r>
        <w:rPr>
          <w:rFonts w:hint="eastAsia" w:ascii="宋体" w:hAnsi="宋体" w:cs="宋体"/>
          <w:color w:val="auto"/>
          <w:szCs w:val="21"/>
        </w:rPr>
        <w:t>投标人同时为小型、微型企业、监狱企业、残疾人福利性单位任两种或以上情况的，评审中只享受一次价格扣除，不重复进行价格扣除。</w:t>
      </w:r>
    </w:p>
    <w:p>
      <w:pPr>
        <w:numPr>
          <w:ilvl w:val="0"/>
          <w:numId w:val="12"/>
        </w:numPr>
        <w:adjustRightInd w:val="0"/>
        <w:snapToGrid w:val="0"/>
        <w:spacing w:line="360" w:lineRule="auto"/>
        <w:rPr>
          <w:rFonts w:ascii="宋体" w:hAnsi="宋体" w:cs="宋体"/>
          <w:color w:val="auto"/>
          <w:szCs w:val="21"/>
        </w:rPr>
      </w:pPr>
      <w:r>
        <w:rPr>
          <w:rFonts w:hint="eastAsia" w:ascii="宋体" w:hAnsi="宋体" w:cs="宋体"/>
          <w:color w:val="auto"/>
          <w:szCs w:val="21"/>
        </w:rPr>
        <w:t>节能产品、环境标志产品价格扣除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拟采购产品属于节能产品政府采购品目清单规定必须强制采购的，实行强制采购。</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hint="eastAsia" w:ascii="宋体" w:hAnsi="宋体" w:cs="宋体"/>
          <w:color w:val="auto"/>
          <w:szCs w:val="21"/>
          <w:u w:val="single"/>
        </w:rPr>
        <w:t>1</w:t>
      </w:r>
      <w:r>
        <w:rPr>
          <w:rFonts w:hint="eastAsia" w:ascii="宋体" w:hAnsi="宋体" w:cs="宋体"/>
          <w:color w:val="auto"/>
          <w:szCs w:val="21"/>
        </w:rPr>
        <w:t>%的价格扣除。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属于品目清单范围内的节能或环境标志产品，应当提供国家确定的认证机构出具的、处于有效期之内的节能产品或环境标志产品认证证书复印件，并加盖投标人单位的公章。</w:t>
      </w:r>
    </w:p>
    <w:p>
      <w:pPr>
        <w:numPr>
          <w:ilvl w:val="0"/>
          <w:numId w:val="12"/>
        </w:numPr>
        <w:adjustRightInd w:val="0"/>
        <w:snapToGrid w:val="0"/>
        <w:spacing w:line="360" w:lineRule="auto"/>
        <w:rPr>
          <w:rFonts w:ascii="宋体" w:hAnsi="宋体" w:cs="宋体"/>
          <w:color w:val="auto"/>
          <w:szCs w:val="21"/>
        </w:rPr>
      </w:pPr>
      <w:r>
        <w:rPr>
          <w:rFonts w:hint="eastAsia" w:ascii="宋体" w:hAnsi="宋体" w:cs="宋体"/>
          <w:color w:val="auto"/>
          <w:szCs w:val="21"/>
        </w:rPr>
        <w:t>国家级贫困地区农副产品价格扣除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供应商注册地在832个国家级贫困县域内，且所投农副产品属于《国家级贫困县重点扶贫产品供应商名录》的供应商，对所投农副产品的价格给予</w:t>
      </w:r>
      <w:r>
        <w:rPr>
          <w:rFonts w:hint="eastAsia" w:ascii="宋体" w:hAnsi="宋体" w:cs="宋体"/>
          <w:color w:val="auto"/>
          <w:szCs w:val="21"/>
          <w:u w:val="single"/>
        </w:rPr>
        <w:t>1</w:t>
      </w:r>
      <w:r>
        <w:rPr>
          <w:rFonts w:hint="eastAsia" w:ascii="宋体" w:hAnsi="宋体" w:cs="宋体"/>
          <w:color w:val="auto"/>
          <w:szCs w:val="21"/>
        </w:rPr>
        <w:t>%的价格扣除。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pPr>
        <w:numPr>
          <w:ilvl w:val="0"/>
          <w:numId w:val="12"/>
        </w:numPr>
        <w:adjustRightInd w:val="0"/>
        <w:snapToGrid w:val="0"/>
        <w:spacing w:line="360" w:lineRule="auto"/>
        <w:rPr>
          <w:rFonts w:ascii="宋体" w:hAnsi="宋体" w:cs="宋体"/>
          <w:color w:val="auto"/>
          <w:szCs w:val="21"/>
        </w:rPr>
      </w:pPr>
      <w:r>
        <w:rPr>
          <w:rFonts w:hint="eastAsia" w:ascii="宋体" w:hAnsi="宋体" w:cs="宋体"/>
          <w:color w:val="auto"/>
          <w:szCs w:val="21"/>
        </w:rPr>
        <w:t>国家级贫困地区物业服务价格扣除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供应商注册地在832个国家级贫困县域内，且聘用建档立卡贫困人员，对供应商的投标报价给予</w:t>
      </w:r>
      <w:r>
        <w:rPr>
          <w:rFonts w:hint="eastAsia" w:ascii="宋体" w:hAnsi="宋体" w:cs="宋体"/>
          <w:color w:val="auto"/>
          <w:szCs w:val="21"/>
          <w:u w:val="single"/>
        </w:rPr>
        <w:t>1</w:t>
      </w:r>
      <w:r>
        <w:rPr>
          <w:rFonts w:hint="eastAsia" w:ascii="宋体" w:hAnsi="宋体" w:cs="宋体"/>
          <w:color w:val="auto"/>
          <w:szCs w:val="21"/>
        </w:rPr>
        <w:t>%的价格扣除。</w:t>
      </w:r>
    </w:p>
    <w:p>
      <w:pPr>
        <w:numPr>
          <w:ilvl w:val="1"/>
          <w:numId w:val="14"/>
        </w:numPr>
        <w:snapToGrid w:val="0"/>
        <w:spacing w:line="360" w:lineRule="auto"/>
        <w:rPr>
          <w:rFonts w:ascii="宋体" w:hAnsi="宋体" w:cs="宋体"/>
          <w:color w:val="auto"/>
          <w:szCs w:val="21"/>
        </w:rPr>
      </w:pPr>
      <w:r>
        <w:rPr>
          <w:rFonts w:hint="eastAsia" w:ascii="宋体" w:hAnsi="宋体" w:cs="宋体"/>
          <w:color w:val="auto"/>
          <w:szCs w:val="21"/>
        </w:rPr>
        <w:t>贫困县域物业公司参与物业服务政府采购,享受上述优惠政策时，应提供以下佐证材料：</w:t>
      </w:r>
    </w:p>
    <w:p>
      <w:pPr>
        <w:numPr>
          <w:ilvl w:val="2"/>
          <w:numId w:val="14"/>
        </w:numPr>
        <w:snapToGrid w:val="0"/>
        <w:spacing w:line="360" w:lineRule="auto"/>
        <w:ind w:left="567" w:hanging="567"/>
        <w:rPr>
          <w:rFonts w:ascii="宋体" w:hAnsi="宋体" w:cs="宋体"/>
          <w:color w:val="auto"/>
          <w:szCs w:val="21"/>
        </w:rPr>
      </w:pPr>
      <w:r>
        <w:rPr>
          <w:rFonts w:hint="eastAsia" w:ascii="宋体" w:hAnsi="宋体" w:cs="宋体"/>
          <w:color w:val="auto"/>
          <w:szCs w:val="21"/>
        </w:rPr>
        <w:t>供应商注册所在地县扶贫部门出具的本公司聘用建档立卡贫困人员具体数量证明，并加盖供应商单位公章。</w:t>
      </w:r>
    </w:p>
    <w:p>
      <w:pPr>
        <w:numPr>
          <w:ilvl w:val="2"/>
          <w:numId w:val="14"/>
        </w:numPr>
        <w:snapToGrid w:val="0"/>
        <w:spacing w:line="360" w:lineRule="auto"/>
        <w:ind w:left="567" w:hanging="567"/>
        <w:rPr>
          <w:rFonts w:ascii="宋体" w:hAnsi="宋体" w:cs="宋体"/>
          <w:color w:val="auto"/>
          <w:szCs w:val="21"/>
        </w:rPr>
      </w:pPr>
      <w:r>
        <w:rPr>
          <w:rFonts w:hint="eastAsia" w:ascii="宋体" w:hAnsi="宋体" w:cs="宋体"/>
          <w:color w:val="auto"/>
          <w:szCs w:val="21"/>
        </w:rPr>
        <w:t>劳动合同或保险缴纳凭证、工资发放凭证等证实本公司聘用建档立卡贫困人员的材料，并加盖供应商单位公章。</w:t>
      </w:r>
    </w:p>
    <w:p>
      <w:pPr>
        <w:numPr>
          <w:ilvl w:val="2"/>
          <w:numId w:val="14"/>
        </w:numPr>
        <w:snapToGrid w:val="0"/>
        <w:spacing w:line="360" w:lineRule="auto"/>
        <w:ind w:left="567" w:hanging="567"/>
        <w:rPr>
          <w:rFonts w:ascii="宋体" w:hAnsi="宋体" w:cs="宋体"/>
          <w:color w:val="auto"/>
          <w:szCs w:val="21"/>
        </w:rPr>
      </w:pPr>
      <w:r>
        <w:rPr>
          <w:rFonts w:hint="eastAsia" w:ascii="宋体" w:hAnsi="宋体" w:cs="宋体"/>
          <w:color w:val="auto"/>
          <w:szCs w:val="21"/>
        </w:rPr>
        <w:t>如公司通过服务外包工方式聘用了建档立卡贫困人员，还应提供公司与服务外包公司签订的合同或协议，以及扶贫部门出具的该服务外包聘用建档立卡贫困人员具体数量证明，并加盖供应商单位公章。</w:t>
      </w:r>
    </w:p>
    <w:p>
      <w:pPr>
        <w:pStyle w:val="24"/>
        <w:ind w:firstLine="560"/>
        <w:rPr>
          <w:color w:val="auto"/>
        </w:rPr>
      </w:pPr>
    </w:p>
    <w:p>
      <w:pPr>
        <w:spacing w:beforeLines="50" w:afterLines="50" w:line="360" w:lineRule="auto"/>
        <w:ind w:firstLine="562" w:firstLineChars="200"/>
        <w:jc w:val="center"/>
        <w:outlineLvl w:val="0"/>
        <w:rPr>
          <w:rFonts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ind w:firstLine="562" w:firstLineChars="200"/>
        <w:jc w:val="center"/>
        <w:outlineLvl w:val="0"/>
        <w:rPr>
          <w:rFonts w:ascii="宋体" w:hAnsi="宋体"/>
          <w:color w:val="auto"/>
          <w:szCs w:val="21"/>
        </w:rPr>
      </w:pPr>
      <w:bookmarkStart w:id="10" w:name="_Toc20368"/>
      <w:r>
        <w:rPr>
          <w:rFonts w:hint="eastAsia" w:ascii="宋体" w:hAnsi="宋体"/>
          <w:b/>
          <w:bCs/>
          <w:color w:val="auto"/>
          <w:sz w:val="28"/>
          <w:szCs w:val="28"/>
        </w:rPr>
        <w:t>第四章  用户需求书</w:t>
      </w:r>
      <w:bookmarkEnd w:id="10"/>
    </w:p>
    <w:p>
      <w:pPr>
        <w:numPr>
          <w:ilvl w:val="0"/>
          <w:numId w:val="15"/>
        </w:numPr>
        <w:snapToGrid w:val="0"/>
        <w:spacing w:line="360" w:lineRule="auto"/>
        <w:ind w:left="422" w:hanging="422" w:hangingChars="200"/>
        <w:rPr>
          <w:rFonts w:ascii="宋体" w:hAnsi="宋体"/>
          <w:b/>
          <w:bCs/>
          <w:color w:val="auto"/>
          <w:szCs w:val="21"/>
        </w:rPr>
      </w:pPr>
      <w:r>
        <w:rPr>
          <w:rFonts w:hint="eastAsia" w:ascii="宋体" w:hAnsi="宋体"/>
          <w:b/>
          <w:bCs/>
          <w:color w:val="auto"/>
          <w:szCs w:val="21"/>
        </w:rPr>
        <w:t>说明：投标人须对同一采购项目为单位的货物及服务进行整体响应，任何只对其中一部分内容进行的响应都被视为无效投标。</w:t>
      </w:r>
    </w:p>
    <w:p>
      <w:pPr>
        <w:numPr>
          <w:ilvl w:val="0"/>
          <w:numId w:val="15"/>
        </w:numPr>
        <w:snapToGrid w:val="0"/>
        <w:spacing w:line="360" w:lineRule="auto"/>
        <w:ind w:left="422" w:hanging="422" w:hangingChars="200"/>
        <w:rPr>
          <w:rFonts w:hint="eastAsia" w:ascii="宋体" w:hAnsi="宋体"/>
          <w:b/>
          <w:bCs/>
          <w:color w:val="auto"/>
          <w:szCs w:val="21"/>
        </w:rPr>
      </w:pPr>
      <w:r>
        <w:rPr>
          <w:rFonts w:hint="eastAsia" w:ascii="宋体" w:hAnsi="宋体"/>
          <w:b/>
          <w:bCs/>
          <w:color w:val="auto"/>
          <w:szCs w:val="21"/>
        </w:rPr>
        <w:t>用户需求书中打“★”号条款为实质性条款，投标人如有任何一条负偏离则导致投标无效。</w:t>
      </w:r>
    </w:p>
    <w:p>
      <w:pPr>
        <w:numPr>
          <w:ilvl w:val="0"/>
          <w:numId w:val="15"/>
        </w:numPr>
        <w:snapToGrid w:val="0"/>
        <w:spacing w:line="360" w:lineRule="auto"/>
        <w:ind w:left="422" w:hanging="422" w:hangingChars="200"/>
        <w:rPr>
          <w:rFonts w:hint="eastAsia" w:ascii="宋体" w:hAnsi="宋体"/>
          <w:b/>
          <w:bCs/>
          <w:color w:val="auto"/>
          <w:szCs w:val="21"/>
        </w:rPr>
      </w:pPr>
      <w:r>
        <w:rPr>
          <w:rFonts w:hint="eastAsia" w:ascii="宋体" w:hAnsi="宋体"/>
          <w:b/>
          <w:bCs/>
          <w:color w:val="auto"/>
          <w:szCs w:val="21"/>
        </w:rPr>
        <w:t>用户需求书中打“▲”号条款为重要技术参数，但不作为无效投标条款。</w:t>
      </w:r>
    </w:p>
    <w:p>
      <w:pPr>
        <w:numPr>
          <w:ilvl w:val="0"/>
          <w:numId w:val="16"/>
        </w:numPr>
        <w:tabs>
          <w:tab w:val="left" w:pos="210"/>
          <w:tab w:val="clear" w:pos="1134"/>
        </w:tabs>
        <w:spacing w:line="360" w:lineRule="auto"/>
        <w:ind w:left="280" w:hanging="280"/>
        <w:jc w:val="left"/>
        <w:rPr>
          <w:rFonts w:ascii="宋体" w:hAnsi="宋体"/>
          <w:b/>
          <w:bCs/>
          <w:color w:val="auto"/>
          <w:szCs w:val="21"/>
        </w:rPr>
      </w:pPr>
      <w:r>
        <w:rPr>
          <w:rFonts w:hint="eastAsia" w:ascii="宋体" w:hAnsi="宋体"/>
          <w:b/>
          <w:bCs/>
          <w:color w:val="auto"/>
          <w:szCs w:val="21"/>
        </w:rPr>
        <w:t>项目概述：</w:t>
      </w:r>
    </w:p>
    <w:p>
      <w:pPr>
        <w:spacing w:line="360" w:lineRule="auto"/>
        <w:ind w:firstLine="420" w:firstLineChars="200"/>
        <w:jc w:val="left"/>
        <w:rPr>
          <w:rFonts w:ascii="宋体" w:hAnsi="宋体"/>
          <w:b/>
          <w:bCs/>
          <w:color w:val="auto"/>
          <w:szCs w:val="21"/>
        </w:rPr>
      </w:pPr>
      <w:r>
        <w:rPr>
          <w:rFonts w:hint="eastAsia" w:ascii="宋体" w:hAnsi="宋体"/>
          <w:color w:val="auto"/>
          <w:szCs w:val="21"/>
        </w:rPr>
        <w:t>本项目分3个</w:t>
      </w:r>
      <w:r>
        <w:rPr>
          <w:rFonts w:hint="eastAsia" w:ascii="宋体" w:hAnsi="宋体"/>
          <w:color w:val="auto"/>
          <w:szCs w:val="21"/>
          <w:lang w:val="en-US" w:eastAsia="zh-CN"/>
        </w:rPr>
        <w:t>子</w:t>
      </w:r>
      <w:r>
        <w:rPr>
          <w:rFonts w:hint="eastAsia" w:ascii="宋体" w:hAnsi="宋体"/>
          <w:color w:val="auto"/>
          <w:szCs w:val="21"/>
        </w:rPr>
        <w:t>包，投标人可以对一个子包投标，也可以对多个子包投标，本项目允许兼投不兼中，最多只能中一个子包，每个包确定一家服务</w:t>
      </w:r>
      <w:r>
        <w:rPr>
          <w:rFonts w:hint="eastAsia" w:ascii="宋体" w:hAnsi="宋体"/>
          <w:color w:val="auto"/>
          <w:szCs w:val="21"/>
          <w:lang w:val="en-US" w:eastAsia="zh-CN"/>
        </w:rPr>
        <w:t>供应</w:t>
      </w:r>
      <w:r>
        <w:rPr>
          <w:rFonts w:hint="eastAsia" w:ascii="宋体" w:hAnsi="宋体"/>
          <w:color w:val="auto"/>
          <w:szCs w:val="21"/>
        </w:rPr>
        <w:t>商，为采购人提供货物供货。</w:t>
      </w:r>
    </w:p>
    <w:p>
      <w:pPr>
        <w:numPr>
          <w:ilvl w:val="0"/>
          <w:numId w:val="16"/>
        </w:numPr>
        <w:tabs>
          <w:tab w:val="left" w:pos="210"/>
          <w:tab w:val="clear" w:pos="1134"/>
        </w:tabs>
        <w:spacing w:line="360" w:lineRule="auto"/>
        <w:ind w:left="280" w:hanging="280"/>
        <w:jc w:val="left"/>
        <w:rPr>
          <w:rFonts w:ascii="宋体" w:hAnsi="宋体"/>
          <w:b/>
          <w:bCs/>
          <w:color w:val="auto"/>
          <w:szCs w:val="21"/>
        </w:rPr>
      </w:pPr>
      <w:r>
        <w:rPr>
          <w:rFonts w:hint="eastAsia" w:ascii="宋体" w:hAnsi="宋体"/>
          <w:b/>
          <w:bCs/>
          <w:color w:val="auto"/>
          <w:szCs w:val="21"/>
        </w:rPr>
        <w:t>采购项目内容：</w:t>
      </w:r>
    </w:p>
    <w:tbl>
      <w:tblPr>
        <w:tblStyle w:val="22"/>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3628"/>
        <w:gridCol w:w="1629"/>
        <w:gridCol w:w="2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1632" w:type="dxa"/>
            <w:vAlign w:val="center"/>
          </w:tcPr>
          <w:p>
            <w:pPr>
              <w:jc w:val="center"/>
              <w:rPr>
                <w:rFonts w:ascii="宋体" w:hAnsi="宋体"/>
                <w:b/>
                <w:color w:val="auto"/>
                <w:szCs w:val="21"/>
              </w:rPr>
            </w:pPr>
            <w:r>
              <w:rPr>
                <w:rFonts w:hint="eastAsia" w:ascii="宋体" w:hAnsi="宋体"/>
                <w:b/>
                <w:color w:val="auto"/>
                <w:szCs w:val="21"/>
              </w:rPr>
              <w:t>包组号</w:t>
            </w:r>
          </w:p>
        </w:tc>
        <w:tc>
          <w:tcPr>
            <w:tcW w:w="3628" w:type="dxa"/>
            <w:vAlign w:val="center"/>
          </w:tcPr>
          <w:p>
            <w:pPr>
              <w:jc w:val="center"/>
              <w:rPr>
                <w:rFonts w:ascii="宋体" w:hAnsi="宋体"/>
                <w:b/>
                <w:color w:val="auto"/>
                <w:szCs w:val="21"/>
              </w:rPr>
            </w:pPr>
            <w:r>
              <w:rPr>
                <w:rFonts w:hint="eastAsia" w:ascii="宋体" w:hAnsi="宋体"/>
                <w:b/>
                <w:color w:val="auto"/>
                <w:szCs w:val="21"/>
              </w:rPr>
              <w:t>项目内容</w:t>
            </w:r>
          </w:p>
        </w:tc>
        <w:tc>
          <w:tcPr>
            <w:tcW w:w="1629" w:type="dxa"/>
            <w:vAlign w:val="center"/>
          </w:tcPr>
          <w:p>
            <w:pPr>
              <w:jc w:val="center"/>
              <w:rPr>
                <w:rFonts w:ascii="宋体" w:hAnsi="宋体"/>
                <w:b/>
                <w:color w:val="auto"/>
                <w:szCs w:val="21"/>
              </w:rPr>
            </w:pPr>
            <w:r>
              <w:rPr>
                <w:rFonts w:hint="eastAsia" w:ascii="宋体" w:hAnsi="宋体"/>
                <w:b/>
                <w:color w:val="auto"/>
                <w:szCs w:val="21"/>
              </w:rPr>
              <w:t>数量</w:t>
            </w:r>
          </w:p>
        </w:tc>
        <w:tc>
          <w:tcPr>
            <w:tcW w:w="2471" w:type="dxa"/>
            <w:vAlign w:val="center"/>
          </w:tcPr>
          <w:p>
            <w:pPr>
              <w:jc w:val="center"/>
              <w:rPr>
                <w:rFonts w:ascii="宋体" w:hAnsi="宋体"/>
                <w:b/>
                <w:color w:val="auto"/>
                <w:szCs w:val="21"/>
              </w:rPr>
            </w:pPr>
            <w:r>
              <w:rPr>
                <w:rFonts w:hint="eastAsia" w:ascii="宋体" w:hAnsi="宋体"/>
                <w:b/>
                <w:color w:val="auto"/>
                <w:szCs w:val="21"/>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trPr>
        <w:tc>
          <w:tcPr>
            <w:tcW w:w="1632" w:type="dxa"/>
            <w:vAlign w:val="center"/>
          </w:tcPr>
          <w:p>
            <w:pPr>
              <w:spacing w:line="380" w:lineRule="exact"/>
              <w:jc w:val="center"/>
              <w:rPr>
                <w:rFonts w:ascii="宋体" w:hAnsi="宋体"/>
                <w:color w:val="auto"/>
                <w:szCs w:val="21"/>
              </w:rPr>
            </w:pPr>
            <w:r>
              <w:rPr>
                <w:rFonts w:hint="eastAsia" w:ascii="宋体" w:hAnsi="宋体"/>
                <w:color w:val="auto"/>
                <w:szCs w:val="21"/>
              </w:rPr>
              <w:t>包组一</w:t>
            </w:r>
          </w:p>
        </w:tc>
        <w:tc>
          <w:tcPr>
            <w:tcW w:w="362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环卫车辆易损件和用品类</w:t>
            </w:r>
          </w:p>
        </w:tc>
        <w:tc>
          <w:tcPr>
            <w:tcW w:w="1629"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471"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w:t>
            </w:r>
            <w:r>
              <w:rPr>
                <w:rFonts w:ascii="宋体" w:hAnsi="宋体"/>
                <w:color w:val="auto"/>
                <w:szCs w:val="21"/>
              </w:rPr>
              <w:t>293</w:t>
            </w: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trPr>
        <w:tc>
          <w:tcPr>
            <w:tcW w:w="1632" w:type="dxa"/>
            <w:vAlign w:val="center"/>
          </w:tcPr>
          <w:p>
            <w:pPr>
              <w:spacing w:line="380" w:lineRule="exact"/>
              <w:jc w:val="center"/>
              <w:rPr>
                <w:rFonts w:ascii="宋体" w:hAnsi="宋体"/>
                <w:color w:val="auto"/>
                <w:szCs w:val="21"/>
              </w:rPr>
            </w:pPr>
            <w:r>
              <w:rPr>
                <w:rFonts w:hint="eastAsia" w:ascii="宋体" w:hAnsi="宋体"/>
                <w:color w:val="auto"/>
                <w:szCs w:val="21"/>
              </w:rPr>
              <w:t>包组二</w:t>
            </w:r>
          </w:p>
        </w:tc>
        <w:tc>
          <w:tcPr>
            <w:tcW w:w="362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轮胎</w:t>
            </w:r>
          </w:p>
        </w:tc>
        <w:tc>
          <w:tcPr>
            <w:tcW w:w="1629"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471"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人民币5</w:t>
            </w:r>
            <w:r>
              <w:rPr>
                <w:rFonts w:ascii="宋体" w:hAnsi="宋体"/>
                <w:color w:val="auto"/>
                <w:szCs w:val="21"/>
              </w:rPr>
              <w:t>0</w:t>
            </w:r>
            <w:r>
              <w:rPr>
                <w:rFonts w:hint="eastAsia" w:ascii="宋体" w:hAnsi="宋体"/>
                <w:color w:val="auto"/>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trPr>
        <w:tc>
          <w:tcPr>
            <w:tcW w:w="1632" w:type="dxa"/>
            <w:vAlign w:val="center"/>
          </w:tcPr>
          <w:p>
            <w:pPr>
              <w:spacing w:line="380" w:lineRule="exact"/>
              <w:jc w:val="center"/>
              <w:rPr>
                <w:rFonts w:ascii="宋体" w:hAnsi="宋体"/>
                <w:color w:val="auto"/>
                <w:szCs w:val="21"/>
              </w:rPr>
            </w:pPr>
            <w:r>
              <w:rPr>
                <w:rFonts w:hint="eastAsia" w:ascii="宋体" w:hAnsi="宋体"/>
                <w:color w:val="auto"/>
                <w:szCs w:val="21"/>
              </w:rPr>
              <w:t>包组三</w:t>
            </w:r>
          </w:p>
        </w:tc>
        <w:tc>
          <w:tcPr>
            <w:tcW w:w="3628" w:type="dxa"/>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润滑油</w:t>
            </w:r>
          </w:p>
        </w:tc>
        <w:tc>
          <w:tcPr>
            <w:tcW w:w="1629" w:type="dxa"/>
            <w:vAlign w:val="center"/>
          </w:tcPr>
          <w:p>
            <w:pPr>
              <w:spacing w:line="380" w:lineRule="exact"/>
              <w:jc w:val="center"/>
              <w:rPr>
                <w:rFonts w:ascii="宋体" w:hAnsi="宋体"/>
                <w:color w:val="auto"/>
                <w:szCs w:val="21"/>
              </w:rPr>
            </w:pPr>
            <w:r>
              <w:rPr>
                <w:rFonts w:hint="eastAsia" w:ascii="宋体" w:hAnsi="宋体"/>
                <w:color w:val="auto"/>
                <w:szCs w:val="21"/>
              </w:rPr>
              <w:t>一批</w:t>
            </w:r>
          </w:p>
        </w:tc>
        <w:tc>
          <w:tcPr>
            <w:tcW w:w="2471" w:type="dxa"/>
            <w:vAlign w:val="center"/>
          </w:tcPr>
          <w:p>
            <w:pPr>
              <w:spacing w:line="380" w:lineRule="exact"/>
              <w:ind w:left="-2" w:leftChars="-1" w:firstLine="2" w:firstLineChars="1"/>
              <w:jc w:val="center"/>
              <w:rPr>
                <w:rFonts w:ascii="宋体" w:hAnsi="宋体"/>
                <w:color w:val="auto"/>
                <w:szCs w:val="21"/>
              </w:rPr>
            </w:pPr>
            <w:r>
              <w:rPr>
                <w:rFonts w:hint="eastAsia" w:ascii="宋体" w:hAnsi="宋体"/>
                <w:color w:val="auto"/>
                <w:szCs w:val="21"/>
              </w:rPr>
              <w:t>人民币</w:t>
            </w:r>
            <w:r>
              <w:rPr>
                <w:rFonts w:ascii="宋体" w:hAnsi="宋体"/>
                <w:color w:val="auto"/>
                <w:szCs w:val="21"/>
              </w:rPr>
              <w:t>40</w:t>
            </w:r>
            <w:r>
              <w:rPr>
                <w:rFonts w:hint="eastAsia" w:ascii="宋体" w:hAnsi="宋体"/>
                <w:color w:val="auto"/>
                <w:szCs w:val="21"/>
              </w:rPr>
              <w:t xml:space="preserve"> 万元</w:t>
            </w:r>
          </w:p>
        </w:tc>
      </w:tr>
    </w:tbl>
    <w:p>
      <w:pPr>
        <w:numPr>
          <w:ilvl w:val="0"/>
          <w:numId w:val="16"/>
        </w:numPr>
        <w:tabs>
          <w:tab w:val="left" w:pos="210"/>
          <w:tab w:val="clear" w:pos="1134"/>
        </w:tabs>
        <w:spacing w:beforeLines="50" w:line="360" w:lineRule="auto"/>
        <w:ind w:left="278" w:hanging="278"/>
        <w:jc w:val="left"/>
        <w:rPr>
          <w:rFonts w:ascii="宋体" w:hAnsi="宋体"/>
          <w:b/>
          <w:bCs/>
          <w:color w:val="auto"/>
          <w:szCs w:val="21"/>
        </w:rPr>
      </w:pPr>
      <w:r>
        <w:rPr>
          <w:rFonts w:hint="eastAsia" w:ascii="宋体" w:hAnsi="宋体"/>
          <w:b/>
          <w:bCs/>
          <w:color w:val="auto"/>
          <w:szCs w:val="21"/>
        </w:rPr>
        <w:t>采购项目基本要求：</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1. 投标人必须承诺提供厂商原装、全新的、符合用户提出的有关质量、安全标准的货物。</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2. 所有货物在开箱检验时必须完好，无破损，配置与装箱单相符。货物外观清洁。数量、质量及性能不低于本需求书中提出的要求。</w:t>
      </w:r>
    </w:p>
    <w:p>
      <w:pPr>
        <w:adjustRightInd w:val="0"/>
        <w:spacing w:line="360" w:lineRule="auto"/>
        <w:ind w:left="315" w:hanging="315" w:hangingChars="150"/>
        <w:rPr>
          <w:rFonts w:hint="eastAsia" w:ascii="宋体" w:hAnsi="宋体" w:cs="仿宋"/>
          <w:color w:val="auto"/>
          <w:szCs w:val="21"/>
        </w:rPr>
      </w:pPr>
      <w:r>
        <w:rPr>
          <w:rFonts w:hint="eastAsia" w:ascii="宋体" w:hAnsi="宋体" w:cs="仿宋"/>
          <w:color w:val="auto"/>
          <w:szCs w:val="21"/>
        </w:rPr>
        <w:t>3. 供应商按采购清单，对清单内物品根据所投产品实际情况进行技术参数描述响应。</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4. 投标人投标时所提供的货物如在实际供货时已经停产（不列入该厂家当时的产品系统），如果未能按原价提供更优质的货物，则按违约处理。</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5. 投标人在实际供货时，若被发现提供的货物未能达到招标文件和投标文件中的有关要求，将按有关法规进行处罚，采购人将有权单方面终止合同的执行,并追究因中标方所提供的未达到所承诺准确率产品而产生的所有损失和责任。</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6. 由中标人负责按国家相关标准进行货物包装，设备的包装均应有良好的防湿、防锈、防潮、防雨、防腐及防碰撞的措施，</w:t>
      </w:r>
      <w:r>
        <w:rPr>
          <w:rFonts w:hint="eastAsia" w:ascii="宋体" w:hAnsi="宋体"/>
          <w:bCs/>
          <w:color w:val="auto"/>
          <w:szCs w:val="21"/>
        </w:rPr>
        <w:t>并适宜本项目实施地点的气候条件</w:t>
      </w:r>
      <w:r>
        <w:rPr>
          <w:rFonts w:hint="eastAsia" w:ascii="宋体" w:hAnsi="宋体" w:cs="仿宋"/>
          <w:color w:val="auto"/>
          <w:szCs w:val="21"/>
        </w:rPr>
        <w:t>。凡由于包装不良造成的损失和由此产生的费用均由中标人承担。</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7. 因产品的质量问题发生争议，由广东省或广州市质检部门进行质量鉴定。采购人与中标人认为有需要，可以共同提出或分别提出质量鉴定，广东省质检部门与广州市质检部门的鉴定结论不一致的，以广东省质检部门的鉴定结论为准。产品符合质量标准的，鉴定费由采购人承担；产品不符合质量标准的，鉴定费由中标人承担。</w:t>
      </w:r>
    </w:p>
    <w:p>
      <w:pPr>
        <w:tabs>
          <w:tab w:val="left" w:pos="540"/>
        </w:tabs>
        <w:spacing w:line="360" w:lineRule="auto"/>
        <w:ind w:left="315" w:hanging="315" w:hangingChars="150"/>
        <w:rPr>
          <w:rFonts w:ascii="宋体" w:hAnsi="宋体" w:cs="仿宋"/>
          <w:color w:val="auto"/>
          <w:szCs w:val="21"/>
        </w:rPr>
      </w:pPr>
      <w:r>
        <w:rPr>
          <w:rFonts w:hint="eastAsia" w:ascii="宋体" w:hAnsi="宋体" w:cs="仿宋"/>
          <w:color w:val="auto"/>
          <w:szCs w:val="21"/>
        </w:rPr>
        <w:t>8. 本项目为交钥匙项目，中标人承包及负责招标文件对中标人要求的一切事宜及责任。包括项目方案、货物供货、软件提供、运输、保管、安装、调试、验收、培训及相关服务等。</w:t>
      </w:r>
    </w:p>
    <w:p>
      <w:pPr>
        <w:spacing w:line="360" w:lineRule="auto"/>
        <w:rPr>
          <w:rFonts w:ascii="宋体" w:hAnsi="宋体" w:cs="仿宋"/>
          <w:color w:val="auto"/>
          <w:szCs w:val="21"/>
        </w:rPr>
      </w:pPr>
      <w:r>
        <w:rPr>
          <w:rFonts w:hint="eastAsia" w:ascii="宋体" w:hAnsi="宋体" w:cs="仿宋"/>
          <w:color w:val="auto"/>
          <w:szCs w:val="21"/>
        </w:rPr>
        <w:t>9. 除采购人有明确规定外，中标人不得以任何方式转包或分包本项目。</w:t>
      </w:r>
    </w:p>
    <w:p>
      <w:pPr>
        <w:spacing w:line="360" w:lineRule="auto"/>
        <w:ind w:left="422" w:hanging="422" w:hangingChars="200"/>
        <w:rPr>
          <w:b/>
          <w:color w:val="auto"/>
        </w:rPr>
      </w:pPr>
      <w:r>
        <w:rPr>
          <w:rFonts w:hint="eastAsia"/>
          <w:b/>
          <w:color w:val="auto"/>
        </w:rPr>
        <w:t>★</w:t>
      </w:r>
      <w:r>
        <w:rPr>
          <w:rFonts w:hint="eastAsia" w:ascii="宋体" w:hAnsi="宋体"/>
          <w:b/>
          <w:bCs/>
          <w:color w:val="auto"/>
          <w:szCs w:val="21"/>
        </w:rPr>
        <w:t xml:space="preserve">10. </w:t>
      </w:r>
      <w:r>
        <w:rPr>
          <w:rFonts w:hint="eastAsia"/>
          <w:b/>
          <w:color w:val="auto"/>
        </w:rPr>
        <w:t>因</w:t>
      </w:r>
      <w:r>
        <w:rPr>
          <w:rFonts w:hint="eastAsia"/>
          <w:b/>
          <w:color w:val="auto"/>
          <w:lang w:val="en-US" w:eastAsia="zh-CN"/>
        </w:rPr>
        <w:t>上级</w:t>
      </w:r>
      <w:r>
        <w:rPr>
          <w:rFonts w:hint="eastAsia"/>
          <w:b/>
          <w:color w:val="auto"/>
        </w:rPr>
        <w:t>政策</w:t>
      </w:r>
      <w:r>
        <w:rPr>
          <w:rFonts w:hint="eastAsia"/>
          <w:b/>
          <w:color w:val="auto"/>
          <w:lang w:val="en-US" w:eastAsia="zh-CN"/>
        </w:rPr>
        <w:t>调整</w:t>
      </w:r>
      <w:r>
        <w:rPr>
          <w:rFonts w:hint="eastAsia"/>
          <w:b/>
          <w:color w:val="auto"/>
        </w:rPr>
        <w:t>等原因导致</w:t>
      </w:r>
      <w:r>
        <w:rPr>
          <w:rFonts w:hint="eastAsia"/>
          <w:b/>
          <w:color w:val="auto"/>
          <w:lang w:val="en-US" w:eastAsia="zh-CN"/>
        </w:rPr>
        <w:t>本项目采购人</w:t>
      </w:r>
      <w:r>
        <w:rPr>
          <w:rFonts w:hint="eastAsia"/>
          <w:b/>
          <w:color w:val="auto"/>
        </w:rPr>
        <w:t>改变的，采购人在服务期内有权单方面终止合同</w:t>
      </w:r>
      <w:r>
        <w:rPr>
          <w:rFonts w:hint="eastAsia"/>
          <w:b/>
          <w:color w:val="auto"/>
          <w:lang w:eastAsia="zh-CN"/>
        </w:rPr>
        <w:t>，</w:t>
      </w:r>
      <w:r>
        <w:rPr>
          <w:rFonts w:hint="eastAsia"/>
          <w:b/>
          <w:color w:val="auto"/>
          <w:lang w:val="en-US" w:eastAsia="zh-CN"/>
        </w:rPr>
        <w:t>而不作任何补偿</w:t>
      </w:r>
      <w:r>
        <w:rPr>
          <w:rFonts w:hint="eastAsia"/>
          <w:b/>
          <w:color w:val="auto"/>
        </w:rPr>
        <w:t>。（投标人</w:t>
      </w:r>
      <w:r>
        <w:rPr>
          <w:rFonts w:hint="eastAsia"/>
          <w:b/>
          <w:color w:val="auto"/>
          <w:lang w:val="en-US" w:eastAsia="zh-CN"/>
        </w:rPr>
        <w:t>在投标时</w:t>
      </w:r>
      <w:r>
        <w:rPr>
          <w:rFonts w:hint="eastAsia"/>
          <w:b/>
          <w:color w:val="auto"/>
        </w:rPr>
        <w:t>需提供承诺函）</w:t>
      </w:r>
    </w:p>
    <w:p>
      <w:pPr>
        <w:spacing w:line="360" w:lineRule="auto"/>
        <w:ind w:left="422" w:hanging="422" w:hangingChars="200"/>
        <w:rPr>
          <w:b/>
          <w:color w:val="auto"/>
        </w:rPr>
      </w:pPr>
      <w:r>
        <w:rPr>
          <w:rFonts w:hint="eastAsia"/>
          <w:b/>
          <w:color w:val="auto"/>
        </w:rPr>
        <w:t>11.带“★”号条款为实质性响应条款，不满足将导致投标无效。</w:t>
      </w:r>
    </w:p>
    <w:p>
      <w:pPr>
        <w:numPr>
          <w:ilvl w:val="0"/>
          <w:numId w:val="16"/>
        </w:numPr>
        <w:tabs>
          <w:tab w:val="left" w:pos="210"/>
          <w:tab w:val="clear" w:pos="1134"/>
        </w:tabs>
        <w:spacing w:line="360" w:lineRule="auto"/>
        <w:ind w:left="278" w:hanging="278"/>
        <w:jc w:val="left"/>
        <w:rPr>
          <w:rFonts w:ascii="宋体" w:hAnsi="宋体"/>
          <w:b/>
          <w:bCs/>
          <w:color w:val="auto"/>
          <w:szCs w:val="21"/>
        </w:rPr>
      </w:pPr>
      <w:r>
        <w:rPr>
          <w:rFonts w:hint="eastAsia" w:ascii="宋体" w:hAnsi="宋体" w:cs="宋体"/>
          <w:b/>
          <w:bCs/>
          <w:color w:val="auto"/>
          <w:szCs w:val="21"/>
        </w:rPr>
        <w:t>采购清单及技术参数要求</w:t>
      </w:r>
      <w:r>
        <w:rPr>
          <w:rFonts w:hint="eastAsia" w:ascii="宋体" w:hAnsi="宋体"/>
          <w:b/>
          <w:bCs/>
          <w:color w:val="auto"/>
          <w:szCs w:val="21"/>
        </w:rPr>
        <w:t>：</w:t>
      </w:r>
    </w:p>
    <w:p>
      <w:pPr>
        <w:outlineLvl w:val="0"/>
        <w:rPr>
          <w:rFonts w:ascii="宋体" w:hAnsi="宋体"/>
          <w:b/>
          <w:bCs/>
          <w:color w:val="auto"/>
          <w:szCs w:val="21"/>
        </w:rPr>
      </w:pPr>
      <w:r>
        <w:rPr>
          <w:rFonts w:hint="eastAsia" w:ascii="宋体" w:hAnsi="宋体"/>
          <w:b/>
          <w:bCs/>
          <w:color w:val="auto"/>
          <w:szCs w:val="21"/>
        </w:rPr>
        <w:t>包组一：环卫车辆易损件和用品类：</w:t>
      </w:r>
    </w:p>
    <w:tbl>
      <w:tblPr>
        <w:tblStyle w:val="22"/>
        <w:tblW w:w="978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244"/>
        <w:gridCol w:w="818"/>
        <w:gridCol w:w="2280"/>
        <w:gridCol w:w="1734"/>
        <w:gridCol w:w="881"/>
        <w:gridCol w:w="1415"/>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类别</w:t>
            </w:r>
          </w:p>
        </w:tc>
        <w:tc>
          <w:tcPr>
            <w:tcW w:w="818"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2280"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名称</w:t>
            </w:r>
          </w:p>
        </w:tc>
        <w:tc>
          <w:tcPr>
            <w:tcW w:w="1734"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型号/规格</w:t>
            </w:r>
          </w:p>
        </w:tc>
        <w:tc>
          <w:tcPr>
            <w:tcW w:w="881"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单位</w:t>
            </w:r>
          </w:p>
        </w:tc>
        <w:tc>
          <w:tcPr>
            <w:tcW w:w="1415" w:type="dxa"/>
            <w:shd w:val="clear" w:color="auto" w:fill="A4A4A4"/>
            <w:vAlign w:val="center"/>
          </w:tcPr>
          <w:p>
            <w:pPr>
              <w:pStyle w:val="2"/>
              <w:spacing w:line="288" w:lineRule="auto"/>
              <w:ind w:firstLine="0"/>
              <w:jc w:val="center"/>
              <w:rPr>
                <w:b/>
                <w:color w:val="auto"/>
                <w:sz w:val="21"/>
                <w:szCs w:val="21"/>
              </w:rPr>
            </w:pPr>
            <w:r>
              <w:rPr>
                <w:rFonts w:hint="eastAsia"/>
                <w:b/>
                <w:color w:val="auto"/>
                <w:sz w:val="21"/>
                <w:szCs w:val="21"/>
              </w:rPr>
              <w:t>单价最高限价</w:t>
            </w:r>
          </w:p>
          <w:p>
            <w:pPr>
              <w:widowControl/>
              <w:jc w:val="center"/>
              <w:textAlignment w:val="center"/>
              <w:rPr>
                <w:rFonts w:ascii="宋体" w:hAnsi="宋体" w:cs="宋体"/>
                <w:b/>
                <w:bCs/>
                <w:color w:val="auto"/>
                <w:szCs w:val="21"/>
              </w:rPr>
            </w:pPr>
            <w:r>
              <w:rPr>
                <w:rFonts w:hint="eastAsia"/>
                <w:b/>
                <w:color w:val="auto"/>
                <w:szCs w:val="21"/>
              </w:rPr>
              <w:t>（元）</w:t>
            </w:r>
          </w:p>
        </w:tc>
        <w:tc>
          <w:tcPr>
            <w:tcW w:w="1415" w:type="dxa"/>
            <w:shd w:val="clear" w:color="auto" w:fill="A4A4A4"/>
            <w:vAlign w:val="center"/>
          </w:tcPr>
          <w:p>
            <w:pPr>
              <w:widowControl/>
              <w:jc w:val="center"/>
              <w:textAlignment w:val="center"/>
              <w:rPr>
                <w:b/>
                <w:color w:val="auto"/>
                <w:szCs w:val="21"/>
              </w:rPr>
            </w:pPr>
            <w:r>
              <w:rPr>
                <w:rFonts w:hint="eastAsia"/>
                <w:b/>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w:t>
            </w:r>
          </w:p>
          <w:p>
            <w:pPr>
              <w:widowControl/>
              <w:jc w:val="center"/>
              <w:textAlignment w:val="center"/>
              <w:rPr>
                <w:rFonts w:ascii="宋体" w:hAnsi="宋体" w:cs="宋体"/>
                <w:color w:val="auto"/>
                <w:szCs w:val="21"/>
              </w:rPr>
            </w:pPr>
            <w:r>
              <w:rPr>
                <w:rFonts w:hint="eastAsia" w:ascii="宋体" w:hAnsi="宋体" w:cs="宋体"/>
                <w:color w:val="auto"/>
                <w:kern w:val="0"/>
                <w:szCs w:val="21"/>
              </w:rPr>
              <w:t>电动扫路车易损件</w:t>
            </w: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保险丝（线束）</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线束5A/10A/30A/50A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普通20A/30A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940A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20A（线束）</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主刷（滚筒）</w:t>
            </w:r>
          </w:p>
        </w:tc>
        <w:tc>
          <w:tcPr>
            <w:tcW w:w="1734" w:type="dxa"/>
            <w:vAlign w:val="center"/>
          </w:tcPr>
          <w:p>
            <w:pPr>
              <w:widowControl/>
              <w:jc w:val="center"/>
              <w:textAlignment w:val="center"/>
              <w:rPr>
                <w:color w:val="auto"/>
              </w:rPr>
            </w:pPr>
            <w:r>
              <w:rPr>
                <w:rFonts w:hint="eastAsia"/>
                <w:color w:val="auto"/>
              </w:rPr>
              <w:t>半软半硬</w:t>
            </w:r>
          </w:p>
          <w:p>
            <w:pPr>
              <w:pStyle w:val="8"/>
              <w:jc w:val="center"/>
              <w:rPr>
                <w:color w:val="auto"/>
              </w:rPr>
            </w:pPr>
            <w:r>
              <w:rPr>
                <w:rFonts w:hint="eastAsia" w:ascii="宋体" w:hAnsi="宋体" w:cs="宋体"/>
                <w:color w:val="auto"/>
                <w:kern w:val="0"/>
                <w:szCs w:val="21"/>
              </w:rPr>
              <w:t>（通用型）</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边刷</w:t>
            </w:r>
          </w:p>
        </w:tc>
        <w:tc>
          <w:tcPr>
            <w:tcW w:w="1734" w:type="dxa"/>
            <w:vAlign w:val="center"/>
          </w:tcPr>
          <w:p>
            <w:pPr>
              <w:widowControl/>
              <w:jc w:val="center"/>
              <w:textAlignment w:val="center"/>
              <w:rPr>
                <w:color w:val="auto"/>
              </w:rPr>
            </w:pPr>
            <w:r>
              <w:rPr>
                <w:rFonts w:hint="eastAsia"/>
                <w:color w:val="auto"/>
              </w:rPr>
              <w:t>半软半硬</w:t>
            </w:r>
          </w:p>
          <w:p>
            <w:pPr>
              <w:pStyle w:val="8"/>
              <w:jc w:val="center"/>
              <w:rPr>
                <w:color w:val="auto"/>
              </w:rPr>
            </w:pPr>
            <w:r>
              <w:rPr>
                <w:rFonts w:hint="eastAsia" w:ascii="宋体" w:hAnsi="宋体" w:cs="宋体"/>
                <w:color w:val="auto"/>
                <w:kern w:val="0"/>
                <w:szCs w:val="21"/>
              </w:rPr>
              <w:t>（通用型）</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四周挡皮（四块）</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1.8公斤/台</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空气滤清器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6006、6205、6204</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6个/套</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边刷电机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主刷电机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行程开关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后轮轴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皮带张紧器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垃圾箱小轮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电动推杆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警示灯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前档皮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前摇臂套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钥匙开关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DC接触器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链条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链条轮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（二）</w:t>
            </w:r>
          </w:p>
          <w:p>
            <w:pPr>
              <w:jc w:val="center"/>
              <w:rPr>
                <w:rFonts w:ascii="宋体" w:hAnsi="宋体" w:cs="宋体"/>
                <w:color w:val="auto"/>
                <w:szCs w:val="21"/>
              </w:rPr>
            </w:pPr>
            <w:r>
              <w:rPr>
                <w:rFonts w:hint="eastAsia" w:ascii="宋体" w:hAnsi="宋体" w:cs="宋体"/>
                <w:color w:val="auto"/>
                <w:kern w:val="0"/>
                <w:szCs w:val="21"/>
              </w:rPr>
              <w:t>扫路车及洒水车耗材</w:t>
            </w: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高压水管</w:t>
            </w:r>
          </w:p>
        </w:tc>
        <w:tc>
          <w:tcPr>
            <w:tcW w:w="1734"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15米/条</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电子风扇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脚轮支架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伸缩套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扫把盘及盖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扫路车轮</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铁</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扫车挡胶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油马达联座总成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消防管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65#</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风机皮带轮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音乐喇叭</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扫路车胶轮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调压阀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后喷枪总成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环形喷水支架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吸盘风管/吸盘旁边风管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气阀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水滤器总成</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大</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工具箱锁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100A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机油传感器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发动机水泵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大</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中</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小</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柴油格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冷却液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4L/桶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专用尿素液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20L/桶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处理器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离合器总成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遥控开关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电机继电器总成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498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4655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制动液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2L/瓶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尿素泵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刹车套装</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干燥器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汽车冷媒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空调蒸发器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动力转向泵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扫路车气阀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NR200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FS36253</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310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扫路车扫把铁夹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档泥板吊耳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污水盖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扫路车工具箱锁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扫路车轮轴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多路阀手柄</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油马达联座总成</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860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扫路车胶粒喷水咀</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扫路车环形喷水支架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充电胶条</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670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油封</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防尘</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挖板油缸</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515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2260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扫盘总成</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副机输出轴</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扫盘调节杆</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调节支架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538</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扫盘提升气缸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吸盘提升油缸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1275</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副机油门接线</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1000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副机死火接线</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风机皮带</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扫盘支架销</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摆动桥</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345</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扫盘喷水轮架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508</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尾门油缸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953</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风机胶垫</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风机刹车片</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155</w:t>
            </w:r>
          </w:p>
        </w:tc>
        <w:tc>
          <w:tcPr>
            <w:tcW w:w="1415"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吸盘总成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14450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水炮总成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电磁气阀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4V230C-</w:t>
            </w:r>
            <w:r>
              <w:rPr>
                <w:rFonts w:ascii="Arial" w:hAnsi="Arial" w:cs="Arial"/>
                <w:color w:val="auto"/>
                <w:szCs w:val="21"/>
              </w:rPr>
              <w:t>θ</w:t>
            </w:r>
            <w:r>
              <w:rPr>
                <w:rFonts w:hint="eastAsia" w:ascii="宋体" w:hAnsi="宋体" w:cs="宋体"/>
                <w:color w:val="auto"/>
                <w:szCs w:val="21"/>
              </w:rPr>
              <w:t>8</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洒水车球阀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洒水车气动切断阀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洒水车后喷水咀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水泵叶轮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水泵密封垫</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07多路阀片</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洒水车放水阀</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GF-3Z</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水车水管</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szCs w:val="21"/>
              </w:rPr>
              <w:t>90*105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洒水车传动轴</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760#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洒水车前喷咀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万向</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车门双向阀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车门内饰板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刹车蹄销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车牌灯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车厢边灯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车厢顶灯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大灯插座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倒车灯开关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方向机油壶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法兰轴承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99</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后轮螺母</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后轮螺丝</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灭火器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3kg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三角架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消防水带</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卷</w:t>
            </w:r>
          </w:p>
        </w:tc>
        <w:tc>
          <w:tcPr>
            <w:tcW w:w="1415"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580 </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高压水枪</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把</w:t>
            </w:r>
          </w:p>
        </w:tc>
        <w:tc>
          <w:tcPr>
            <w:tcW w:w="1415"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高压喷头</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个</w:t>
            </w:r>
          </w:p>
        </w:tc>
        <w:tc>
          <w:tcPr>
            <w:tcW w:w="1415"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w:t>
            </w:r>
          </w:p>
          <w:p>
            <w:pPr>
              <w:widowControl/>
              <w:jc w:val="center"/>
              <w:textAlignment w:val="center"/>
              <w:rPr>
                <w:rFonts w:ascii="宋体" w:hAnsi="宋体" w:cs="宋体"/>
                <w:color w:val="auto"/>
                <w:szCs w:val="21"/>
              </w:rPr>
            </w:pPr>
            <w:r>
              <w:rPr>
                <w:rFonts w:hint="eastAsia" w:ascii="宋体" w:hAnsi="宋体" w:cs="宋体"/>
                <w:color w:val="auto"/>
                <w:kern w:val="0"/>
                <w:szCs w:val="21"/>
              </w:rPr>
              <w:t>垃圾桶装车耗材</w:t>
            </w: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离合器总成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处理器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遥控开关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电机继电器总成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498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尿素泵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刹车套装</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真空助力器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玻璃升降机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传感器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空调蒸发器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水箱电子扇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空调干燥器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启动机水泵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1900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动力转向泵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柴油格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电池头</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铜</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刹车鼓</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离合器压盘</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离合器分器拨叉</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离合器分离拨叉轴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涡轮增压器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发电机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启动机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离合器总泵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离合器分离拨叉</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真空助力器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付</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雾灯开关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点火开关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传动轴十字头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上车扶手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后轮内油封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后轮外油封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后灯总成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83</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冷气机皮带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玻璃升降搞手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冷气机压带轮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半轴油封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w:t>
            </w:r>
          </w:p>
          <w:p>
            <w:pPr>
              <w:widowControl/>
              <w:jc w:val="center"/>
              <w:textAlignment w:val="center"/>
              <w:rPr>
                <w:rFonts w:ascii="宋体" w:hAnsi="宋体" w:cs="宋体"/>
                <w:color w:val="auto"/>
                <w:szCs w:val="21"/>
              </w:rPr>
            </w:pPr>
            <w:r>
              <w:rPr>
                <w:rFonts w:hint="eastAsia" w:ascii="宋体" w:hAnsi="宋体" w:cs="宋体"/>
                <w:color w:val="auto"/>
                <w:kern w:val="0"/>
                <w:szCs w:val="21"/>
                <w:lang w:eastAsia="zh-CN"/>
              </w:rPr>
              <w:t>垃圾</w:t>
            </w:r>
            <w:r>
              <w:rPr>
                <w:rFonts w:hint="eastAsia" w:ascii="宋体" w:hAnsi="宋体" w:cs="宋体"/>
                <w:color w:val="auto"/>
                <w:kern w:val="0"/>
                <w:szCs w:val="21"/>
              </w:rPr>
              <w:t>压缩箱易损件</w:t>
            </w: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密封条</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13米/箱</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推铲缸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翻转缸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4360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单相断路器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电脑总成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接触器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排水胶圈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排水塞</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（五）</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碎树机</w:t>
            </w:r>
          </w:p>
          <w:p>
            <w:pPr>
              <w:widowControl/>
              <w:jc w:val="center"/>
              <w:textAlignment w:val="center"/>
              <w:rPr>
                <w:rFonts w:ascii="宋体" w:hAnsi="宋体" w:cs="宋体"/>
                <w:color w:val="auto"/>
                <w:szCs w:val="21"/>
              </w:rPr>
            </w:pPr>
            <w:r>
              <w:rPr>
                <w:rFonts w:hint="eastAsia" w:ascii="宋体" w:hAnsi="宋体" w:cs="宋体"/>
                <w:color w:val="auto"/>
                <w:kern w:val="0"/>
                <w:szCs w:val="21"/>
              </w:rPr>
              <w:t>易损件</w:t>
            </w: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碎树机合金钢刀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（六）</w:t>
            </w:r>
          </w:p>
          <w:p>
            <w:pPr>
              <w:widowControl/>
              <w:jc w:val="center"/>
              <w:textAlignment w:val="center"/>
              <w:rPr>
                <w:rFonts w:ascii="宋体" w:hAnsi="宋体" w:cs="宋体"/>
                <w:color w:val="auto"/>
                <w:szCs w:val="21"/>
              </w:rPr>
            </w:pPr>
            <w:r>
              <w:rPr>
                <w:rFonts w:hint="eastAsia" w:ascii="宋体" w:hAnsi="宋体" w:cs="宋体"/>
                <w:color w:val="auto"/>
                <w:kern w:val="0"/>
                <w:szCs w:val="21"/>
              </w:rPr>
              <w:t>用品类</w:t>
            </w: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马路扫</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水龙头</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氢氧化钠</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路面清洗剂</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4分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大卷纸</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箱</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长形地拖</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90cm</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毛巾</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84#</w:t>
            </w:r>
            <w:r>
              <w:rPr>
                <w:rFonts w:hint="eastAsia" w:ascii="宋体" w:hAnsi="宋体" w:cs="宋体"/>
                <w:color w:val="auto"/>
                <w:kern w:val="0"/>
                <w:szCs w:val="21"/>
              </w:rPr>
              <w:t>消毒水</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洗手液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洁厕宝</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洗衣粉</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5KG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洗衣粉</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20KG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棉纱手套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反光衣</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雨衣（橙色加厚）</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水鞋</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胶手套</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一次性口罩</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防护</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布袖套</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对</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环卫工人反光帽</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救生衣</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救生圈</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水裤</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防毒口罩</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塑料小扫把</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铁制垃圾铲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大胶铲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垃圾夹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洗洁精</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地拖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地拖桶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1.2*1.4m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1*1.2m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0.8*1m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0.58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0.54*0.6m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0.3</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草帽</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油桶</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雪糕桶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生料带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水龙头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4分/50米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6分/50米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手喷壶</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灭火器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消防水带</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切割机</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380V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张</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焊条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包</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电焊机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钢刷</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卫生间纸篓</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稀盐酸</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小卷纸</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维达</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大卷纸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厕所刷</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排气扇</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8寸</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化油器清洗剂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防锈剂</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DW-40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丁晴手套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对</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tcBorders>
              <w:bottom w:val="single" w:color="auto" w:sz="4" w:space="0"/>
            </w:tcBorders>
            <w:vAlign w:val="center"/>
          </w:tcPr>
          <w:p>
            <w:pPr>
              <w:jc w:val="center"/>
              <w:rPr>
                <w:rFonts w:ascii="宋体" w:hAnsi="宋体" w:cs="宋体"/>
                <w:color w:val="auto"/>
                <w:szCs w:val="21"/>
              </w:rPr>
            </w:pPr>
          </w:p>
        </w:tc>
        <w:tc>
          <w:tcPr>
            <w:tcW w:w="818" w:type="dxa"/>
            <w:tcBorders>
              <w:bottom w:val="single" w:color="auto" w:sz="4" w:space="0"/>
            </w:tcBorders>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灭蚊灯</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8w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tcBorders>
              <w:top w:val="single" w:color="auto"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（七）</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四轮电动高压冲洗车及驳运车</w:t>
            </w:r>
          </w:p>
          <w:p>
            <w:pPr>
              <w:jc w:val="center"/>
              <w:rPr>
                <w:rFonts w:ascii="宋体" w:hAnsi="宋体" w:cs="宋体"/>
                <w:color w:val="auto"/>
                <w:szCs w:val="21"/>
              </w:rPr>
            </w:pPr>
            <w:r>
              <w:rPr>
                <w:rFonts w:hint="eastAsia" w:ascii="宋体" w:hAnsi="宋体" w:cs="宋体"/>
                <w:color w:val="auto"/>
                <w:kern w:val="0"/>
                <w:szCs w:val="21"/>
              </w:rPr>
              <w:t>易损件</w:t>
            </w:r>
          </w:p>
        </w:tc>
        <w:tc>
          <w:tcPr>
            <w:tcW w:w="818" w:type="dxa"/>
            <w:tcBorders>
              <w:top w:val="single" w:color="auto" w:sz="4" w:space="0"/>
            </w:tcBorders>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整车电池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6个/套</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空气滤芯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火花塞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机油滤芯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启动马达继电器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点火线圈</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启动开关及钥匙</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拉盘</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widowControl/>
              <w:jc w:val="center"/>
              <w:textAlignment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拉绳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油门控制手柄</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控制线</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化油器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启动电瓶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通用12V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压力表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水封（每套3个）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高压阀（每套6个）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分体式调压阀总成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柱塞陶瓷套（每套3个）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15米</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高压水枪柄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高压水枪杆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旋转喷头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15#</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进水嘴接头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进水过滤器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平面清洗器枪柄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旋转体硬质合金</w:t>
            </w:r>
          </w:p>
        </w:tc>
        <w:tc>
          <w:tcPr>
            <w:tcW w:w="1734" w:type="dxa"/>
            <w:vAlign w:val="center"/>
          </w:tcPr>
          <w:p>
            <w:pPr>
              <w:jc w:val="center"/>
              <w:rPr>
                <w:rFonts w:ascii="宋体" w:hAnsi="宋体" w:cs="宋体"/>
                <w:color w:val="auto"/>
                <w:szCs w:val="21"/>
              </w:rPr>
            </w:pPr>
          </w:p>
        </w:tc>
        <w:tc>
          <w:tcPr>
            <w:tcW w:w="881"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清洗杆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单孔喷嘴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挡水毛边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万向轮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转换接头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充电接头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前轮轴承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转向灯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驳运车方向机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转向节总成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刹车总泵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控制开关总成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普通开关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6V225AH</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12个/组</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72V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加速器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冲洗车方向机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轮辋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仪表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后桥</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侧视镜</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动力线耒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前小灯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尾灯组件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组</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液压尾板总成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动力单元</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加速器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刮片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前挡风玻璃</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刹车蹄片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前减震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组合开关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档位开关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直流换向接触器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72V直流转换器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电喇叭</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左羊角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右羊角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主减速器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半轴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液压单元电机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四轮高压冲洗车充电器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驳运车充电器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72V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（八）</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餐厨设备</w:t>
            </w:r>
          </w:p>
          <w:p>
            <w:pPr>
              <w:widowControl/>
              <w:jc w:val="center"/>
              <w:textAlignment w:val="center"/>
              <w:rPr>
                <w:rFonts w:ascii="宋体" w:hAnsi="宋体" w:cs="宋体"/>
                <w:color w:val="auto"/>
                <w:szCs w:val="21"/>
              </w:rPr>
            </w:pPr>
            <w:r>
              <w:rPr>
                <w:rFonts w:hint="eastAsia" w:ascii="宋体" w:hAnsi="宋体" w:cs="宋体"/>
                <w:color w:val="auto"/>
                <w:kern w:val="0"/>
                <w:szCs w:val="21"/>
              </w:rPr>
              <w:t>易损件</w:t>
            </w: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破碎机动刀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破碎机定刀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密封圈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破碎机调心滚子轴承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电磁阀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弹簧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输送机带座轴承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链板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裙边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大齿轮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小齿轮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发酵仓调心滚子轴承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发酵仓带座球轴承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发酵仓密封圈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发酵仓搅拌叶片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胶水管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水龙头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铜水枪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卷闸门锁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九</w:t>
            </w:r>
            <w:r>
              <w:rPr>
                <w:rFonts w:hint="eastAsia" w:ascii="宋体" w:hAnsi="宋体" w:cs="宋体"/>
                <w:color w:val="auto"/>
                <w:kern w:val="0"/>
                <w:szCs w:val="21"/>
              </w:rPr>
              <w:t>）</w:t>
            </w:r>
          </w:p>
          <w:p>
            <w:pPr>
              <w:widowControl/>
              <w:jc w:val="center"/>
              <w:textAlignment w:val="center"/>
              <w:rPr>
                <w:rFonts w:ascii="宋体" w:hAnsi="宋体" w:cs="宋体"/>
                <w:color w:val="auto"/>
                <w:szCs w:val="21"/>
              </w:rPr>
            </w:pPr>
            <w:r>
              <w:rPr>
                <w:rFonts w:hint="eastAsia" w:ascii="宋体" w:hAnsi="宋体" w:cs="宋体"/>
                <w:color w:val="auto"/>
                <w:kern w:val="0"/>
                <w:szCs w:val="21"/>
              </w:rPr>
              <w:t>自装卸式垃圾车易损件</w:t>
            </w: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反桶架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方向机（电子）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电池头（铜）</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水箱电子风扇</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szCs w:val="21"/>
              </w:rPr>
            </w:pPr>
            <w:r>
              <w:rPr>
                <w:rFonts w:hint="eastAsia" w:ascii="宋体" w:hAnsi="宋体" w:cs="宋体"/>
                <w:color w:val="auto"/>
                <w:szCs w:val="21"/>
              </w:rPr>
              <w:t>（十）</w:t>
            </w:r>
          </w:p>
          <w:p>
            <w:pPr>
              <w:jc w:val="center"/>
              <w:rPr>
                <w:rFonts w:ascii="宋体" w:hAnsi="宋体" w:cs="宋体"/>
                <w:color w:val="auto"/>
                <w:szCs w:val="21"/>
              </w:rPr>
            </w:pPr>
            <w:r>
              <w:rPr>
                <w:rFonts w:hint="eastAsia" w:ascii="宋体" w:hAnsi="宋体" w:cs="宋体"/>
                <w:color w:val="auto"/>
                <w:szCs w:val="21"/>
              </w:rPr>
              <w:t>压缩车</w:t>
            </w:r>
          </w:p>
          <w:p>
            <w:pPr>
              <w:jc w:val="center"/>
              <w:rPr>
                <w:rFonts w:ascii="宋体" w:hAnsi="宋体" w:cs="宋体"/>
                <w:color w:val="auto"/>
                <w:szCs w:val="21"/>
              </w:rPr>
            </w:pPr>
            <w:r>
              <w:rPr>
                <w:rFonts w:hint="eastAsia" w:ascii="宋体" w:hAnsi="宋体" w:cs="宋体"/>
                <w:color w:val="auto"/>
                <w:szCs w:val="21"/>
              </w:rPr>
              <w:t>易损件</w:t>
            </w: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60A/80A/100A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六脚继电器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倒档拨叉</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脚踏板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刹车继动阀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打风泵总成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雨刮连动杆</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车门外锁</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入档防尘套</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高压油管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柴油网管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柴油格感应器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废气管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挂档支架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尾灯总成</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三色</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前雾灯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水温传感器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空调散热网</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组合开关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干燥瓶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空气格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油门回位弹簧</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打</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空调皮带轮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暖风电机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前刹车鼓</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发电机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气压传感器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进气伸缩管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离合片</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430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车门外拉手</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导流板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前轮油封</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消声器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副车箱</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前刹车分泵</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储气筒</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转速传感器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转向助力泵</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驾驶室座椅</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张</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压缩机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刹车风管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前轮板</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车门玻璃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组合仪表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3568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温控开关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车门下护板</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钢圈</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控制单元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刹车皮</w:t>
            </w:r>
          </w:p>
        </w:tc>
        <w:tc>
          <w:tcPr>
            <w:tcW w:w="173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14.5mm</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遮阳罩总成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水箱</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点火开关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倒车镜</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排气接管</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前大灯</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排气门油封</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进气门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转向主销</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高压油泵总成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风扇叶</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车门密封条</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气喇叭电磁阀</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取力器总成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挡风玻璃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雨刮喷水嘴</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后轮毂</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喷水马达</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电源总开关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皮带</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电子调节器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雨刮片</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尿素箱</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电源比例阀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3950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水箱盖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保险杠</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空调控制器面板总成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595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中心螺丝</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尿素盖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油门座</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拉线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拉力杆螺丝</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箱</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膨胀阀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补胎胶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盒</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补胎胶水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瓶</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快速接头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电喇叭</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喇叭线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手刹感应器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一</w:t>
            </w:r>
            <w:r>
              <w:rPr>
                <w:rFonts w:hint="eastAsia" w:ascii="宋体" w:hAnsi="宋体" w:cs="宋体"/>
                <w:color w:val="auto"/>
                <w:szCs w:val="21"/>
              </w:rPr>
              <w:t>）</w:t>
            </w:r>
          </w:p>
          <w:p>
            <w:pPr>
              <w:jc w:val="center"/>
              <w:rPr>
                <w:rFonts w:ascii="宋体" w:hAnsi="宋体" w:cs="宋体"/>
                <w:color w:val="auto"/>
                <w:szCs w:val="21"/>
              </w:rPr>
            </w:pPr>
            <w:r>
              <w:rPr>
                <w:rFonts w:hint="eastAsia" w:ascii="宋体" w:hAnsi="宋体" w:cs="宋体"/>
                <w:color w:val="auto"/>
                <w:szCs w:val="21"/>
              </w:rPr>
              <w:t>电动三轮车易损件</w:t>
            </w:r>
          </w:p>
          <w:p>
            <w:pPr>
              <w:jc w:val="center"/>
              <w:rPr>
                <w:color w:val="auto"/>
              </w:rPr>
            </w:pPr>
          </w:p>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48V800W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60V1500W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48V32A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1560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48V22A</w:t>
            </w:r>
            <w:r>
              <w:rPr>
                <w:rFonts w:hint="eastAsia" w:ascii="宋体" w:hAnsi="宋体" w:cs="宋体"/>
                <w:color w:val="auto"/>
                <w:kern w:val="0"/>
                <w:szCs w:val="21"/>
              </w:rPr>
              <w:t>黑金</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60V35A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48V20A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110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48V32A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60V35A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刹车柄</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76</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前刹车边盖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258</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 xml:space="preserve">后桥 </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加速手柄</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锁胆</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刹车鼓</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刹车片</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前轮半轴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后视镜</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415"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4342" w:type="dxa"/>
            <w:gridSpan w:val="3"/>
            <w:vAlign w:val="center"/>
          </w:tcPr>
          <w:p>
            <w:pPr>
              <w:widowControl/>
              <w:jc w:val="center"/>
              <w:textAlignment w:val="center"/>
              <w:rPr>
                <w:rFonts w:ascii="宋体" w:hAnsi="宋体" w:cs="宋体"/>
                <w:color w:val="auto"/>
                <w:kern w:val="0"/>
                <w:szCs w:val="21"/>
              </w:rPr>
            </w:pPr>
            <w:r>
              <w:rPr>
                <w:rFonts w:hint="eastAsia" w:ascii="宋体" w:hAnsi="宋体" w:cs="宋体"/>
                <w:b/>
                <w:color w:val="auto"/>
                <w:kern w:val="0"/>
                <w:szCs w:val="21"/>
              </w:rPr>
              <w:t>单价合计（元）</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p>
        </w:tc>
        <w:tc>
          <w:tcPr>
            <w:tcW w:w="141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sum(F2:F567) \* MERGEFORMAT </w:instrText>
            </w:r>
            <w:r>
              <w:rPr>
                <w:rFonts w:hint="eastAsia" w:ascii="宋体" w:hAnsi="宋体" w:cs="宋体"/>
                <w:color w:val="auto"/>
                <w:kern w:val="0"/>
                <w:szCs w:val="21"/>
              </w:rPr>
              <w:fldChar w:fldCharType="separate"/>
            </w:r>
            <w:r>
              <w:rPr>
                <w:rFonts w:hint="eastAsia" w:ascii="宋体" w:hAnsi="宋体" w:cs="宋体"/>
                <w:color w:val="auto"/>
                <w:kern w:val="0"/>
                <w:szCs w:val="21"/>
              </w:rPr>
              <w:t>533903.43</w:t>
            </w:r>
            <w:r>
              <w:rPr>
                <w:rFonts w:hint="eastAsia" w:ascii="宋体" w:hAnsi="宋体" w:cs="宋体"/>
                <w:color w:val="auto"/>
                <w:kern w:val="0"/>
                <w:szCs w:val="21"/>
              </w:rPr>
              <w:fldChar w:fldCharType="end"/>
            </w:r>
          </w:p>
        </w:tc>
        <w:tc>
          <w:tcPr>
            <w:tcW w:w="1415" w:type="dxa"/>
            <w:vAlign w:val="center"/>
          </w:tcPr>
          <w:p>
            <w:pPr>
              <w:widowControl/>
              <w:jc w:val="center"/>
              <w:textAlignment w:val="center"/>
              <w:rPr>
                <w:rFonts w:ascii="宋体" w:hAnsi="宋体" w:cs="宋体"/>
                <w:color w:val="auto"/>
                <w:sz w:val="22"/>
                <w:szCs w:val="22"/>
              </w:rPr>
            </w:pPr>
          </w:p>
        </w:tc>
      </w:tr>
    </w:tbl>
    <w:p>
      <w:pPr>
        <w:pStyle w:val="25"/>
        <w:tabs>
          <w:tab w:val="left" w:pos="851"/>
        </w:tabs>
        <w:spacing w:beforeLines="50" w:line="360" w:lineRule="auto"/>
        <w:ind w:firstLine="422"/>
        <w:rPr>
          <w:rFonts w:ascii="宋体" w:hAnsi="宋体"/>
          <w:color w:val="auto"/>
          <w:szCs w:val="21"/>
        </w:rPr>
      </w:pPr>
      <w:r>
        <w:rPr>
          <w:rFonts w:hint="eastAsia" w:ascii="宋体" w:hAnsi="宋体" w:cs="宋体"/>
          <w:b/>
          <w:bCs/>
          <w:color w:val="auto"/>
          <w:szCs w:val="21"/>
        </w:rPr>
        <w:t>★因</w:t>
      </w:r>
      <w:r>
        <w:rPr>
          <w:rFonts w:hint="eastAsia" w:ascii="宋体" w:hAnsi="宋体"/>
          <w:b/>
          <w:bCs/>
          <w:color w:val="auto"/>
          <w:szCs w:val="21"/>
        </w:rPr>
        <w:t>包组一为车辆配件材料，中标人所供的配件材料须能与采购人现有车辆匹配使用，具体实际情况中标人在供货时可提前到采购人现场考察，采购人不再做解释。采购人现使用的车辆品牌如下：</w:t>
      </w:r>
    </w:p>
    <w:tbl>
      <w:tblPr>
        <w:tblStyle w:val="22"/>
        <w:tblW w:w="93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59"/>
        <w:gridCol w:w="3465"/>
        <w:gridCol w:w="2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center"/>
              <w:rPr>
                <w:rFonts w:ascii="宋体" w:hAnsi="宋体" w:cs="宋体"/>
                <w:b/>
                <w:bCs/>
                <w:color w:val="auto"/>
                <w:szCs w:val="21"/>
              </w:rPr>
            </w:pPr>
            <w:r>
              <w:rPr>
                <w:rFonts w:hint="eastAsia" w:ascii="宋体" w:hAnsi="宋体" w:cs="宋体"/>
                <w:b/>
                <w:bCs/>
                <w:color w:val="auto"/>
                <w:szCs w:val="21"/>
              </w:rPr>
              <w:t>类别</w:t>
            </w:r>
          </w:p>
        </w:tc>
        <w:tc>
          <w:tcPr>
            <w:tcW w:w="3465" w:type="dxa"/>
            <w:vAlign w:val="center"/>
          </w:tcPr>
          <w:p>
            <w:pPr>
              <w:jc w:val="center"/>
              <w:rPr>
                <w:rFonts w:ascii="宋体" w:hAnsi="宋体" w:cs="宋体"/>
                <w:b/>
                <w:bCs/>
                <w:color w:val="auto"/>
                <w:szCs w:val="21"/>
              </w:rPr>
            </w:pPr>
            <w:r>
              <w:rPr>
                <w:rFonts w:hint="eastAsia" w:ascii="宋体" w:hAnsi="宋体" w:cs="宋体"/>
                <w:b/>
                <w:bCs/>
                <w:color w:val="auto"/>
                <w:szCs w:val="21"/>
              </w:rPr>
              <w:t>车辆品牌</w:t>
            </w:r>
          </w:p>
        </w:tc>
        <w:tc>
          <w:tcPr>
            <w:tcW w:w="2269" w:type="dxa"/>
            <w:vAlign w:val="center"/>
          </w:tcPr>
          <w:p>
            <w:pPr>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szCs w:val="21"/>
              </w:rPr>
            </w:pPr>
            <w:r>
              <w:rPr>
                <w:rFonts w:hint="eastAsia" w:ascii="宋体" w:hAnsi="宋体" w:cs="宋体"/>
                <w:color w:val="auto"/>
                <w:szCs w:val="21"/>
              </w:rPr>
              <w:t>（一）</w:t>
            </w:r>
            <w:r>
              <w:rPr>
                <w:rFonts w:hint="eastAsia" w:ascii="宋体" w:hAnsi="宋体" w:cs="宋体"/>
                <w:color w:val="auto"/>
                <w:kern w:val="0"/>
                <w:szCs w:val="21"/>
              </w:rPr>
              <w:t>电动扫路车易损件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明诺牌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szCs w:val="21"/>
              </w:rPr>
            </w:pPr>
            <w:r>
              <w:rPr>
                <w:rFonts w:hint="eastAsia" w:ascii="宋体" w:hAnsi="宋体" w:cs="宋体"/>
                <w:color w:val="auto"/>
                <w:kern w:val="0"/>
                <w:szCs w:val="21"/>
              </w:rPr>
              <w:t>（二）扫路车及洒水车耗材</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福龙马牌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Merge w:val="restart"/>
            <w:vAlign w:val="center"/>
          </w:tcPr>
          <w:p>
            <w:pPr>
              <w:jc w:val="left"/>
              <w:rPr>
                <w:rFonts w:ascii="宋体" w:hAnsi="宋体" w:cs="宋体"/>
                <w:color w:val="auto"/>
                <w:szCs w:val="21"/>
              </w:rPr>
            </w:pPr>
            <w:r>
              <w:rPr>
                <w:rFonts w:hint="eastAsia" w:ascii="宋体" w:hAnsi="宋体" w:cs="宋体"/>
                <w:color w:val="auto"/>
                <w:kern w:val="0"/>
                <w:szCs w:val="21"/>
              </w:rPr>
              <w:t>（三）垃圾桶装车耗材</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广环牌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Merge w:val="continue"/>
            <w:vAlign w:val="center"/>
          </w:tcPr>
          <w:p>
            <w:pPr>
              <w:jc w:val="left"/>
              <w:rPr>
                <w:rFonts w:ascii="宋体" w:hAnsi="宋体" w:cs="宋体"/>
                <w:color w:val="auto"/>
                <w:kern w:val="0"/>
                <w:szCs w:val="21"/>
              </w:rPr>
            </w:pPr>
          </w:p>
        </w:tc>
        <w:tc>
          <w:tcPr>
            <w:tcW w:w="3465" w:type="dxa"/>
            <w:vAlign w:val="center"/>
          </w:tcPr>
          <w:p>
            <w:pPr>
              <w:jc w:val="center"/>
              <w:rPr>
                <w:rFonts w:ascii="宋体" w:hAnsi="宋体" w:cs="宋体"/>
                <w:color w:val="auto"/>
                <w:szCs w:val="21"/>
              </w:rPr>
            </w:pPr>
            <w:r>
              <w:rPr>
                <w:rFonts w:hint="eastAsia" w:ascii="宋体" w:hAnsi="宋体" w:cs="宋体"/>
                <w:color w:val="auto"/>
                <w:szCs w:val="21"/>
              </w:rPr>
              <w:t>江铃牌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kern w:val="0"/>
                <w:szCs w:val="21"/>
              </w:rPr>
            </w:pPr>
            <w:r>
              <w:rPr>
                <w:rFonts w:hint="eastAsia" w:ascii="宋体" w:hAnsi="宋体" w:cs="宋体"/>
                <w:color w:val="auto"/>
                <w:kern w:val="0"/>
                <w:szCs w:val="21"/>
              </w:rPr>
              <w:t>（四）</w:t>
            </w:r>
            <w:r>
              <w:rPr>
                <w:rFonts w:hint="eastAsia" w:ascii="宋体" w:hAnsi="宋体" w:cs="宋体"/>
                <w:color w:val="auto"/>
                <w:kern w:val="0"/>
                <w:szCs w:val="21"/>
                <w:lang w:eastAsia="zh-CN"/>
              </w:rPr>
              <w:t>垃圾</w:t>
            </w:r>
            <w:r>
              <w:rPr>
                <w:rFonts w:hint="eastAsia" w:ascii="宋体" w:hAnsi="宋体" w:cs="宋体"/>
                <w:color w:val="auto"/>
                <w:kern w:val="0"/>
                <w:szCs w:val="21"/>
              </w:rPr>
              <w:t>压缩箱易损件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lang w:eastAsia="zh-CN"/>
              </w:rPr>
              <w:t>广环</w:t>
            </w:r>
            <w:r>
              <w:rPr>
                <w:rFonts w:hint="eastAsia" w:ascii="宋体" w:hAnsi="宋体" w:cs="宋体"/>
                <w:color w:val="auto"/>
                <w:szCs w:val="21"/>
              </w:rPr>
              <w:t>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kern w:val="0"/>
                <w:szCs w:val="21"/>
              </w:rPr>
            </w:pPr>
            <w:r>
              <w:rPr>
                <w:rFonts w:hint="eastAsia" w:ascii="宋体" w:hAnsi="宋体" w:cs="宋体"/>
                <w:color w:val="auto"/>
                <w:kern w:val="0"/>
                <w:szCs w:val="21"/>
              </w:rPr>
              <w:t>（五）碎树机易损件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林昂牌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kern w:val="0"/>
                <w:szCs w:val="21"/>
              </w:rPr>
            </w:pPr>
            <w:r>
              <w:rPr>
                <w:rFonts w:hint="eastAsia" w:ascii="宋体" w:hAnsi="宋体" w:cs="宋体"/>
                <w:color w:val="auto"/>
                <w:kern w:val="0"/>
                <w:szCs w:val="21"/>
              </w:rPr>
              <w:t>（六）用品类</w:t>
            </w:r>
          </w:p>
        </w:tc>
        <w:tc>
          <w:tcPr>
            <w:tcW w:w="3465" w:type="dxa"/>
            <w:vAlign w:val="center"/>
          </w:tcPr>
          <w:p>
            <w:pPr>
              <w:jc w:val="center"/>
              <w:rPr>
                <w:rFonts w:ascii="宋体" w:hAnsi="宋体" w:cs="宋体"/>
                <w:color w:val="auto"/>
                <w:szCs w:val="21"/>
              </w:rPr>
            </w:pPr>
            <w:r>
              <w:rPr>
                <w:rFonts w:hint="eastAsia"/>
                <w:color w:val="auto"/>
              </w:rPr>
              <w:t>品牌不限</w:t>
            </w:r>
            <w:r>
              <w:rPr>
                <w:rFonts w:hint="eastAsia" w:ascii="宋体" w:hAnsi="宋体" w:cs="宋体"/>
                <w:color w:val="auto"/>
                <w:szCs w:val="21"/>
              </w:rPr>
              <w:t xml:space="preserve"> </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ind w:left="630" w:hanging="630" w:hangingChars="300"/>
              <w:jc w:val="left"/>
              <w:rPr>
                <w:rFonts w:ascii="宋体" w:hAnsi="宋体" w:cs="宋体"/>
                <w:color w:val="auto"/>
                <w:kern w:val="0"/>
                <w:szCs w:val="21"/>
              </w:rPr>
            </w:pPr>
            <w:r>
              <w:rPr>
                <w:rFonts w:hint="eastAsia" w:ascii="宋体" w:hAnsi="宋体" w:cs="宋体"/>
                <w:color w:val="auto"/>
                <w:kern w:val="0"/>
                <w:szCs w:val="21"/>
              </w:rPr>
              <w:t>（七）四轮电动高压冲洗车及驳运车易损件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玛西尔牌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kern w:val="0"/>
                <w:szCs w:val="21"/>
              </w:rPr>
            </w:pPr>
            <w:r>
              <w:rPr>
                <w:rFonts w:hint="eastAsia" w:ascii="宋体" w:hAnsi="宋体" w:cs="宋体"/>
                <w:color w:val="auto"/>
                <w:kern w:val="0"/>
                <w:szCs w:val="21"/>
              </w:rPr>
              <w:t>（八）餐厨设备易损件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微米牌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九</w:t>
            </w:r>
            <w:r>
              <w:rPr>
                <w:rFonts w:hint="eastAsia" w:ascii="宋体" w:hAnsi="宋体" w:cs="宋体"/>
                <w:color w:val="auto"/>
                <w:kern w:val="0"/>
                <w:szCs w:val="21"/>
              </w:rPr>
              <w:t>）自装卸式垃圾车易损件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中联牌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rPr>
                <w:rFonts w:ascii="宋体" w:hAnsi="宋体" w:cs="宋体"/>
                <w:color w:val="auto"/>
                <w:kern w:val="0"/>
                <w:szCs w:val="21"/>
              </w:rPr>
            </w:pPr>
            <w:r>
              <w:rPr>
                <w:rFonts w:hint="eastAsia" w:ascii="宋体" w:hAnsi="宋体" w:cs="宋体"/>
                <w:color w:val="auto"/>
                <w:szCs w:val="21"/>
              </w:rPr>
              <w:t>（十）压缩车易损件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广环牌</w:t>
            </w:r>
          </w:p>
        </w:tc>
        <w:tc>
          <w:tcPr>
            <w:tcW w:w="226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659" w:type="dxa"/>
            <w:vAlign w:val="center"/>
          </w:tcPr>
          <w:p>
            <w:pPr>
              <w:rPr>
                <w:rFonts w:ascii="宋体" w:hAnsi="宋体" w:cs="宋体"/>
                <w:color w:val="auto"/>
                <w:kern w:val="0"/>
                <w:szCs w:val="21"/>
              </w:rPr>
            </w:pPr>
            <w:r>
              <w:rPr>
                <w:rFonts w:hint="eastAsia" w:ascii="宋体" w:hAnsi="宋体" w:cs="宋体"/>
                <w:color w:val="auto"/>
                <w:szCs w:val="21"/>
              </w:rPr>
              <w:t>（十</w:t>
            </w:r>
            <w:r>
              <w:rPr>
                <w:rFonts w:hint="eastAsia" w:ascii="宋体" w:hAnsi="宋体" w:cs="宋体"/>
                <w:color w:val="auto"/>
                <w:szCs w:val="21"/>
                <w:lang w:eastAsia="zh-CN"/>
              </w:rPr>
              <w:t>一</w:t>
            </w:r>
            <w:r>
              <w:rPr>
                <w:rFonts w:hint="eastAsia" w:ascii="宋体" w:hAnsi="宋体" w:cs="宋体"/>
                <w:color w:val="auto"/>
                <w:szCs w:val="21"/>
              </w:rPr>
              <w:t>）电动三轮车易损件</w:t>
            </w:r>
          </w:p>
        </w:tc>
        <w:tc>
          <w:tcPr>
            <w:tcW w:w="3465" w:type="dxa"/>
            <w:vAlign w:val="center"/>
          </w:tcPr>
          <w:p>
            <w:pPr>
              <w:jc w:val="center"/>
              <w:rPr>
                <w:rFonts w:ascii="宋体" w:hAnsi="宋体" w:cs="宋体"/>
                <w:color w:val="auto"/>
                <w:szCs w:val="21"/>
              </w:rPr>
            </w:pPr>
            <w:r>
              <w:rPr>
                <w:rFonts w:hint="eastAsia" w:ascii="宋体" w:hAnsi="宋体" w:cs="宋体"/>
                <w:color w:val="auto"/>
                <w:szCs w:val="21"/>
              </w:rPr>
              <w:t>玛西尔牌</w:t>
            </w:r>
          </w:p>
        </w:tc>
        <w:tc>
          <w:tcPr>
            <w:tcW w:w="2269" w:type="dxa"/>
            <w:vAlign w:val="center"/>
          </w:tcPr>
          <w:p>
            <w:pPr>
              <w:jc w:val="center"/>
              <w:rPr>
                <w:rFonts w:ascii="宋体" w:hAnsi="宋体" w:cs="宋体"/>
                <w:color w:val="auto"/>
                <w:szCs w:val="21"/>
              </w:rPr>
            </w:pPr>
          </w:p>
        </w:tc>
      </w:tr>
    </w:tbl>
    <w:p>
      <w:pPr>
        <w:spacing w:beforeLines="50" w:line="360" w:lineRule="auto"/>
        <w:jc w:val="left"/>
        <w:outlineLvl w:val="0"/>
        <w:rPr>
          <w:rFonts w:ascii="宋体" w:hAnsi="宋体"/>
          <w:b/>
          <w:bCs/>
          <w:color w:val="auto"/>
          <w:szCs w:val="21"/>
        </w:rPr>
      </w:pPr>
      <w:r>
        <w:rPr>
          <w:rFonts w:hint="eastAsia" w:ascii="宋体" w:hAnsi="宋体"/>
          <w:b/>
          <w:bCs/>
          <w:color w:val="auto"/>
          <w:szCs w:val="21"/>
        </w:rPr>
        <w:t>包组二：</w:t>
      </w:r>
      <w:r>
        <w:rPr>
          <w:rFonts w:hint="eastAsia" w:ascii="宋体" w:hAnsi="宋体" w:cs="宋体"/>
          <w:b/>
          <w:bCs/>
          <w:color w:val="auto"/>
          <w:szCs w:val="21"/>
        </w:rPr>
        <w:t>轮胎：</w:t>
      </w:r>
    </w:p>
    <w:p>
      <w:pPr>
        <w:spacing w:line="360" w:lineRule="auto"/>
        <w:jc w:val="left"/>
        <w:rPr>
          <w:rFonts w:ascii="宋体" w:hAnsi="宋体" w:cs="宋体"/>
          <w:b/>
          <w:bCs/>
          <w:color w:val="auto"/>
          <w:szCs w:val="21"/>
        </w:rPr>
      </w:pPr>
      <w:r>
        <w:rPr>
          <w:rFonts w:hint="eastAsia" w:ascii="宋体" w:hAnsi="宋体" w:cs="宋体"/>
          <w:b/>
          <w:bCs/>
          <w:color w:val="auto"/>
          <w:szCs w:val="21"/>
        </w:rPr>
        <w:t>1. 供货商及货物要求</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（1）投标人须是投标产品的制造商或合法授权的经销（代理）商。（提供授权证明文件或授权函）</w:t>
      </w:r>
    </w:p>
    <w:p>
      <w:pPr>
        <w:spacing w:line="360" w:lineRule="auto"/>
        <w:ind w:left="420" w:hanging="420" w:hangingChars="200"/>
        <w:jc w:val="left"/>
        <w:rPr>
          <w:rFonts w:ascii="宋体" w:hAnsi="宋体" w:cs="宋体"/>
          <w:b/>
          <w:color w:val="auto"/>
          <w:szCs w:val="21"/>
        </w:rPr>
      </w:pPr>
      <w:r>
        <w:rPr>
          <w:rFonts w:hint="eastAsia" w:ascii="宋体" w:hAnsi="宋体" w:cs="宋体"/>
          <w:color w:val="auto"/>
          <w:szCs w:val="21"/>
        </w:rPr>
        <w:t>（2）中标人提供的产品必须为质量上乘、性能稳定可靠、使用广泛的产品。</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（4）中标人所供的轮胎须能与采购人现有车辆匹配使用。</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（5）所提供的载重汽车斜交/子午轮胎应符合 GB9744-2015《载重汽车轮胎》的规定。</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（6）外观质量要求：轮胎外表条纹为横纹或直纹，轮胎和内胎的表面禁止出现老化、翻新、外表工程粗糙、凹凸裂纹、刮痕、磨损等现象。</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（7）中标人应提供产品所列注册商标原厂生产的生产日期、生产厂家、全新的正品等级轮胎；不能提供生产日期超一年的产品；不能提供再生胶产品和废旧翻新产品。</w:t>
      </w:r>
    </w:p>
    <w:p>
      <w:pPr>
        <w:pStyle w:val="2"/>
        <w:spacing w:line="360" w:lineRule="auto"/>
        <w:ind w:left="420" w:hanging="420" w:hangingChars="200"/>
        <w:rPr>
          <w:color w:val="auto"/>
          <w:sz w:val="21"/>
          <w:szCs w:val="21"/>
        </w:rPr>
      </w:pPr>
      <w:r>
        <w:rPr>
          <w:rFonts w:hint="eastAsia" w:cs="宋体"/>
          <w:color w:val="auto"/>
          <w:sz w:val="21"/>
          <w:szCs w:val="21"/>
        </w:rPr>
        <w:t>（8）轮胎产品应有中国国家强制性产品认证 3C 证书。</w:t>
      </w:r>
    </w:p>
    <w:p>
      <w:pPr>
        <w:spacing w:line="360" w:lineRule="auto"/>
        <w:jc w:val="left"/>
        <w:rPr>
          <w:rFonts w:ascii="宋体" w:hAnsi="宋体" w:cs="宋体"/>
          <w:b/>
          <w:bCs/>
          <w:color w:val="auto"/>
          <w:szCs w:val="21"/>
        </w:rPr>
      </w:pPr>
      <w:r>
        <w:rPr>
          <w:rFonts w:hint="eastAsia" w:ascii="宋体" w:hAnsi="宋体" w:cs="宋体"/>
          <w:b/>
          <w:bCs/>
          <w:color w:val="auto"/>
          <w:szCs w:val="21"/>
        </w:rPr>
        <w:t>2. 使用要求</w:t>
      </w:r>
    </w:p>
    <w:p>
      <w:pPr>
        <w:spacing w:line="360" w:lineRule="auto"/>
        <w:jc w:val="left"/>
        <w:rPr>
          <w:rFonts w:ascii="宋体" w:hAnsi="宋体" w:cs="宋体"/>
          <w:color w:val="auto"/>
          <w:szCs w:val="21"/>
        </w:rPr>
      </w:pPr>
      <w:r>
        <w:rPr>
          <w:rFonts w:hint="eastAsia" w:ascii="宋体" w:hAnsi="宋体" w:cs="宋体"/>
          <w:color w:val="auto"/>
          <w:szCs w:val="21"/>
        </w:rPr>
        <w:t>（1）使用寿命长、耐热性能好、耐负荷、耐切割。</w:t>
      </w:r>
    </w:p>
    <w:p>
      <w:pPr>
        <w:spacing w:line="360" w:lineRule="auto"/>
        <w:jc w:val="left"/>
        <w:rPr>
          <w:rFonts w:ascii="宋体" w:hAnsi="宋体" w:cs="宋体"/>
          <w:color w:val="auto"/>
          <w:szCs w:val="21"/>
        </w:rPr>
      </w:pPr>
      <w:r>
        <w:rPr>
          <w:rFonts w:hint="eastAsia" w:ascii="宋体" w:hAnsi="宋体" w:cs="宋体"/>
          <w:color w:val="auto"/>
          <w:szCs w:val="21"/>
        </w:rPr>
        <w:t>（2）附着力强、爬坡性能好。</w:t>
      </w:r>
    </w:p>
    <w:p>
      <w:pPr>
        <w:spacing w:line="360" w:lineRule="auto"/>
        <w:jc w:val="left"/>
        <w:rPr>
          <w:rFonts w:ascii="宋体" w:hAnsi="宋体" w:cs="宋体"/>
          <w:color w:val="auto"/>
          <w:szCs w:val="21"/>
        </w:rPr>
      </w:pPr>
      <w:r>
        <w:rPr>
          <w:rFonts w:hint="eastAsia" w:ascii="宋体" w:hAnsi="宋体" w:cs="宋体"/>
          <w:color w:val="auto"/>
          <w:szCs w:val="21"/>
        </w:rPr>
        <w:t>（3）适合各种路面使用。</w:t>
      </w:r>
    </w:p>
    <w:p>
      <w:pPr>
        <w:pStyle w:val="2"/>
        <w:spacing w:line="360" w:lineRule="auto"/>
        <w:ind w:left="413" w:hanging="413" w:hangingChars="196"/>
        <w:rPr>
          <w:rFonts w:cs="宋体"/>
          <w:b/>
          <w:color w:val="auto"/>
          <w:sz w:val="21"/>
          <w:szCs w:val="21"/>
        </w:rPr>
      </w:pPr>
      <w:r>
        <w:rPr>
          <w:rFonts w:hint="eastAsia" w:cs="宋体"/>
          <w:b/>
          <w:color w:val="auto"/>
          <w:sz w:val="21"/>
          <w:szCs w:val="21"/>
        </w:rPr>
        <w:t>★ （4）投标人应充分考虑到合同期内的价格波动等因素，并保证供货期内能够按时供应。（</w:t>
      </w:r>
      <w:r>
        <w:rPr>
          <w:rFonts w:hint="eastAsia" w:cs="宋体"/>
          <w:b/>
          <w:color w:val="auto"/>
          <w:sz w:val="21"/>
          <w:szCs w:val="21"/>
          <w:lang w:val="en-US" w:eastAsia="zh-CN"/>
        </w:rPr>
        <w:t>投标时需</w:t>
      </w:r>
      <w:r>
        <w:rPr>
          <w:rFonts w:hint="eastAsia" w:cs="宋体"/>
          <w:b/>
          <w:color w:val="auto"/>
          <w:sz w:val="21"/>
          <w:szCs w:val="21"/>
        </w:rPr>
        <w:t>提供承诺书）</w:t>
      </w:r>
    </w:p>
    <w:p>
      <w:pPr>
        <w:jc w:val="left"/>
        <w:rPr>
          <w:rFonts w:ascii="宋体" w:hAnsi="宋体" w:cs="宋体"/>
          <w:b/>
          <w:bCs/>
          <w:color w:val="auto"/>
          <w:szCs w:val="21"/>
        </w:rPr>
      </w:pPr>
      <w:r>
        <w:rPr>
          <w:rFonts w:hint="eastAsia" w:ascii="宋体" w:hAnsi="宋体" w:cs="宋体"/>
          <w:b/>
          <w:bCs/>
          <w:color w:val="auto"/>
          <w:szCs w:val="21"/>
        </w:rPr>
        <w:t>3. 轮胎规格型号及单价最高限价</w:t>
      </w:r>
    </w:p>
    <w:tbl>
      <w:tblPr>
        <w:tblStyle w:val="22"/>
        <w:tblW w:w="93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1982"/>
        <w:gridCol w:w="1310"/>
        <w:gridCol w:w="1148"/>
        <w:gridCol w:w="1047"/>
        <w:gridCol w:w="1554"/>
        <w:gridCol w:w="1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b/>
                <w:color w:val="auto"/>
                <w:sz w:val="21"/>
                <w:szCs w:val="21"/>
              </w:rPr>
            </w:pPr>
            <w:r>
              <w:rPr>
                <w:rFonts w:hint="eastAsia"/>
                <w:b/>
                <w:color w:val="auto"/>
                <w:sz w:val="21"/>
                <w:szCs w:val="21"/>
              </w:rPr>
              <w:t>序号</w:t>
            </w:r>
          </w:p>
        </w:tc>
        <w:tc>
          <w:tcPr>
            <w:tcW w:w="1982" w:type="dxa"/>
            <w:vAlign w:val="center"/>
          </w:tcPr>
          <w:p>
            <w:pPr>
              <w:pStyle w:val="2"/>
              <w:spacing w:line="288" w:lineRule="auto"/>
              <w:ind w:firstLine="0"/>
              <w:jc w:val="center"/>
              <w:rPr>
                <w:b/>
                <w:color w:val="auto"/>
                <w:sz w:val="21"/>
                <w:szCs w:val="21"/>
              </w:rPr>
            </w:pPr>
            <w:r>
              <w:rPr>
                <w:rFonts w:hint="eastAsia"/>
                <w:b/>
                <w:color w:val="auto"/>
                <w:sz w:val="21"/>
                <w:szCs w:val="21"/>
              </w:rPr>
              <w:t>轮胎型号</w:t>
            </w:r>
          </w:p>
        </w:tc>
        <w:tc>
          <w:tcPr>
            <w:tcW w:w="1310" w:type="dxa"/>
            <w:vAlign w:val="center"/>
          </w:tcPr>
          <w:p>
            <w:pPr>
              <w:pStyle w:val="2"/>
              <w:spacing w:line="288" w:lineRule="auto"/>
              <w:ind w:firstLine="0"/>
              <w:jc w:val="center"/>
              <w:rPr>
                <w:b/>
                <w:color w:val="auto"/>
                <w:sz w:val="21"/>
                <w:szCs w:val="21"/>
              </w:rPr>
            </w:pPr>
            <w:r>
              <w:rPr>
                <w:rFonts w:hint="eastAsia"/>
                <w:b/>
                <w:color w:val="auto"/>
                <w:sz w:val="21"/>
                <w:szCs w:val="21"/>
              </w:rPr>
              <w:t>规格</w:t>
            </w:r>
          </w:p>
        </w:tc>
        <w:tc>
          <w:tcPr>
            <w:tcW w:w="1148" w:type="dxa"/>
            <w:vAlign w:val="center"/>
          </w:tcPr>
          <w:p>
            <w:pPr>
              <w:pStyle w:val="2"/>
              <w:spacing w:line="288" w:lineRule="auto"/>
              <w:ind w:firstLine="0"/>
              <w:jc w:val="center"/>
              <w:rPr>
                <w:b/>
                <w:color w:val="auto"/>
                <w:sz w:val="21"/>
                <w:szCs w:val="21"/>
              </w:rPr>
            </w:pPr>
            <w:r>
              <w:rPr>
                <w:rFonts w:hint="eastAsia"/>
                <w:b/>
                <w:color w:val="auto"/>
                <w:sz w:val="21"/>
                <w:szCs w:val="21"/>
              </w:rPr>
              <w:t>单位</w:t>
            </w:r>
          </w:p>
        </w:tc>
        <w:tc>
          <w:tcPr>
            <w:tcW w:w="1047" w:type="dxa"/>
            <w:vAlign w:val="center"/>
          </w:tcPr>
          <w:p>
            <w:pPr>
              <w:pStyle w:val="2"/>
              <w:spacing w:line="288" w:lineRule="auto"/>
              <w:ind w:firstLine="0"/>
              <w:jc w:val="center"/>
              <w:rPr>
                <w:b/>
                <w:color w:val="auto"/>
                <w:sz w:val="21"/>
                <w:szCs w:val="21"/>
              </w:rPr>
            </w:pPr>
            <w:r>
              <w:rPr>
                <w:rFonts w:hint="eastAsia"/>
                <w:b/>
                <w:color w:val="auto"/>
                <w:sz w:val="21"/>
                <w:szCs w:val="21"/>
              </w:rPr>
              <w:t>层级</w:t>
            </w:r>
          </w:p>
        </w:tc>
        <w:tc>
          <w:tcPr>
            <w:tcW w:w="1554" w:type="dxa"/>
            <w:vAlign w:val="center"/>
          </w:tcPr>
          <w:p>
            <w:pPr>
              <w:pStyle w:val="2"/>
              <w:spacing w:line="288" w:lineRule="auto"/>
              <w:ind w:firstLine="0"/>
              <w:jc w:val="center"/>
              <w:rPr>
                <w:b/>
                <w:color w:val="auto"/>
                <w:sz w:val="21"/>
                <w:szCs w:val="21"/>
              </w:rPr>
            </w:pPr>
            <w:r>
              <w:rPr>
                <w:rFonts w:hint="eastAsia"/>
                <w:b/>
                <w:color w:val="auto"/>
                <w:sz w:val="21"/>
                <w:szCs w:val="21"/>
              </w:rPr>
              <w:t>单价最高限价</w:t>
            </w:r>
          </w:p>
          <w:p>
            <w:pPr>
              <w:pStyle w:val="2"/>
              <w:spacing w:line="288" w:lineRule="auto"/>
              <w:ind w:firstLine="0"/>
              <w:jc w:val="center"/>
              <w:rPr>
                <w:b/>
                <w:color w:val="auto"/>
                <w:sz w:val="21"/>
                <w:szCs w:val="21"/>
              </w:rPr>
            </w:pPr>
            <w:r>
              <w:rPr>
                <w:rFonts w:hint="eastAsia"/>
                <w:b/>
                <w:color w:val="auto"/>
                <w:sz w:val="21"/>
                <w:szCs w:val="21"/>
              </w:rPr>
              <w:t>（元）</w:t>
            </w:r>
          </w:p>
        </w:tc>
        <w:tc>
          <w:tcPr>
            <w:tcW w:w="1263" w:type="dxa"/>
            <w:vAlign w:val="center"/>
          </w:tcPr>
          <w:p>
            <w:pPr>
              <w:pStyle w:val="2"/>
              <w:spacing w:line="288" w:lineRule="auto"/>
              <w:ind w:firstLine="0"/>
              <w:jc w:val="center"/>
              <w:rPr>
                <w:b/>
                <w:color w:val="auto"/>
                <w:sz w:val="21"/>
                <w:szCs w:val="21"/>
              </w:rPr>
            </w:pPr>
            <w:r>
              <w:rPr>
                <w:rFonts w:hint="eastAsia"/>
                <w:b/>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11.00R20</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16PR</w:t>
            </w:r>
          </w:p>
        </w:tc>
        <w:tc>
          <w:tcPr>
            <w:tcW w:w="1554" w:type="dxa"/>
            <w:vAlign w:val="center"/>
          </w:tcPr>
          <w:p>
            <w:pPr>
              <w:pStyle w:val="2"/>
              <w:spacing w:line="288" w:lineRule="auto"/>
              <w:ind w:firstLine="0"/>
              <w:jc w:val="center"/>
              <w:rPr>
                <w:color w:val="auto"/>
                <w:sz w:val="21"/>
                <w:szCs w:val="21"/>
              </w:rPr>
            </w:pPr>
            <w:r>
              <w:rPr>
                <w:rFonts w:hint="eastAsia"/>
                <w:color w:val="auto"/>
                <w:sz w:val="21"/>
                <w:szCs w:val="21"/>
              </w:rPr>
              <w:t>2940</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2</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内胎11.00R20</w:t>
            </w:r>
          </w:p>
        </w:tc>
        <w:tc>
          <w:tcPr>
            <w:tcW w:w="1310" w:type="dxa"/>
            <w:vAlign w:val="center"/>
          </w:tcPr>
          <w:p>
            <w:pPr>
              <w:pStyle w:val="2"/>
              <w:spacing w:line="288" w:lineRule="auto"/>
              <w:ind w:firstLine="0"/>
              <w:jc w:val="center"/>
              <w:rPr>
                <w:color w:val="auto"/>
                <w:sz w:val="21"/>
                <w:szCs w:val="21"/>
              </w:rPr>
            </w:pPr>
          </w:p>
        </w:tc>
        <w:tc>
          <w:tcPr>
            <w:tcW w:w="1148" w:type="dxa"/>
            <w:vAlign w:val="center"/>
          </w:tcPr>
          <w:p>
            <w:pPr>
              <w:pStyle w:val="2"/>
              <w:spacing w:line="288" w:lineRule="auto"/>
              <w:ind w:firstLine="0"/>
              <w:jc w:val="center"/>
              <w:rPr>
                <w:color w:val="auto"/>
                <w:sz w:val="21"/>
                <w:szCs w:val="21"/>
              </w:rPr>
            </w:pPr>
          </w:p>
        </w:tc>
        <w:tc>
          <w:tcPr>
            <w:tcW w:w="1047" w:type="dxa"/>
            <w:vAlign w:val="center"/>
          </w:tcPr>
          <w:p>
            <w:pPr>
              <w:pStyle w:val="2"/>
              <w:spacing w:line="288" w:lineRule="auto"/>
              <w:ind w:firstLine="0"/>
              <w:jc w:val="center"/>
              <w:rPr>
                <w:color w:val="auto"/>
                <w:sz w:val="21"/>
                <w:szCs w:val="21"/>
              </w:rPr>
            </w:pPr>
          </w:p>
        </w:tc>
        <w:tc>
          <w:tcPr>
            <w:tcW w:w="1554"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185</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3</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10.00R20</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18PR</w:t>
            </w:r>
          </w:p>
        </w:tc>
        <w:tc>
          <w:tcPr>
            <w:tcW w:w="1554"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2410</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4</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内胎10.00R20</w:t>
            </w:r>
          </w:p>
        </w:tc>
        <w:tc>
          <w:tcPr>
            <w:tcW w:w="1310" w:type="dxa"/>
            <w:vAlign w:val="center"/>
          </w:tcPr>
          <w:p>
            <w:pPr>
              <w:pStyle w:val="2"/>
              <w:spacing w:line="288" w:lineRule="auto"/>
              <w:ind w:firstLine="0"/>
              <w:jc w:val="center"/>
              <w:rPr>
                <w:color w:val="auto"/>
                <w:sz w:val="21"/>
                <w:szCs w:val="21"/>
              </w:rPr>
            </w:pPr>
          </w:p>
        </w:tc>
        <w:tc>
          <w:tcPr>
            <w:tcW w:w="1148" w:type="dxa"/>
            <w:vAlign w:val="center"/>
          </w:tcPr>
          <w:p>
            <w:pPr>
              <w:pStyle w:val="2"/>
              <w:spacing w:line="288" w:lineRule="auto"/>
              <w:ind w:firstLine="0"/>
              <w:jc w:val="center"/>
              <w:rPr>
                <w:color w:val="auto"/>
                <w:sz w:val="21"/>
                <w:szCs w:val="21"/>
              </w:rPr>
            </w:pPr>
          </w:p>
        </w:tc>
        <w:tc>
          <w:tcPr>
            <w:tcW w:w="1047" w:type="dxa"/>
            <w:vAlign w:val="center"/>
          </w:tcPr>
          <w:p>
            <w:pPr>
              <w:pStyle w:val="2"/>
              <w:spacing w:line="288" w:lineRule="auto"/>
              <w:ind w:firstLine="0"/>
              <w:jc w:val="center"/>
              <w:rPr>
                <w:color w:val="auto"/>
                <w:sz w:val="21"/>
                <w:szCs w:val="21"/>
              </w:rPr>
            </w:pPr>
          </w:p>
        </w:tc>
        <w:tc>
          <w:tcPr>
            <w:tcW w:w="1554"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160</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5</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8.25R16</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16PR</w:t>
            </w:r>
          </w:p>
        </w:tc>
        <w:tc>
          <w:tcPr>
            <w:tcW w:w="1554"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1425</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982"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7.00R16</w:t>
            </w:r>
          </w:p>
          <w:p>
            <w:pPr>
              <w:pStyle w:val="2"/>
              <w:spacing w:line="288" w:lineRule="auto"/>
              <w:ind w:firstLine="0"/>
              <w:jc w:val="center"/>
              <w:rPr>
                <w:rFonts w:cs="宋体"/>
                <w:color w:val="auto"/>
                <w:sz w:val="21"/>
                <w:szCs w:val="21"/>
              </w:rPr>
            </w:pPr>
            <w:r>
              <w:rPr>
                <w:rFonts w:hint="eastAsia" w:cs="宋体"/>
                <w:color w:val="auto"/>
                <w:sz w:val="21"/>
                <w:szCs w:val="21"/>
              </w:rPr>
              <w:t>（含内胎及胎垫）</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14PR</w:t>
            </w:r>
          </w:p>
        </w:tc>
        <w:tc>
          <w:tcPr>
            <w:tcW w:w="1554"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1190</w:t>
            </w:r>
          </w:p>
        </w:tc>
        <w:tc>
          <w:tcPr>
            <w:tcW w:w="1263"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98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175R14</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55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650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98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165R13</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55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580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98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155R12</w:t>
            </w:r>
          </w:p>
        </w:tc>
        <w:tc>
          <w:tcPr>
            <w:tcW w:w="1310"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148"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1047"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55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16*3.0</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76</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16*3.0</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14*3.0</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14*3.0</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4.00-12</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4.00-12</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5.00-12</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295</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5.00-12</w:t>
            </w:r>
          </w:p>
        </w:tc>
        <w:tc>
          <w:tcPr>
            <w:tcW w:w="1310" w:type="dxa"/>
            <w:vAlign w:val="center"/>
          </w:tcPr>
          <w:p>
            <w:pPr>
              <w:widowControl/>
              <w:jc w:val="center"/>
              <w:textAlignment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kern w:val="0"/>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39</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7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98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225/55B</w:t>
            </w:r>
          </w:p>
        </w:tc>
        <w:tc>
          <w:tcPr>
            <w:tcW w:w="1310" w:type="dxa"/>
            <w:vAlign w:val="center"/>
          </w:tcPr>
          <w:p>
            <w:pPr>
              <w:jc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47" w:type="dxa"/>
            <w:vAlign w:val="center"/>
          </w:tcPr>
          <w:p>
            <w:pPr>
              <w:widowControl/>
              <w:jc w:val="center"/>
              <w:textAlignment w:val="center"/>
              <w:rPr>
                <w:rFonts w:ascii="宋体" w:hAnsi="宋体" w:cs="宋体"/>
                <w:color w:val="auto"/>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660</w:t>
            </w:r>
          </w:p>
        </w:tc>
        <w:tc>
          <w:tcPr>
            <w:tcW w:w="1263"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58"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b/>
                <w:color w:val="auto"/>
                <w:kern w:val="0"/>
                <w:szCs w:val="21"/>
              </w:rPr>
              <w:t>单价合计（元）</w:t>
            </w:r>
          </w:p>
        </w:tc>
        <w:tc>
          <w:tcPr>
            <w:tcW w:w="1310" w:type="dxa"/>
            <w:vAlign w:val="center"/>
          </w:tcPr>
          <w:p>
            <w:pPr>
              <w:jc w:val="center"/>
              <w:rPr>
                <w:rFonts w:ascii="宋体" w:hAnsi="宋体" w:cs="宋体"/>
                <w:color w:val="auto"/>
                <w:szCs w:val="21"/>
              </w:rPr>
            </w:pPr>
          </w:p>
        </w:tc>
        <w:tc>
          <w:tcPr>
            <w:tcW w:w="1148" w:type="dxa"/>
            <w:vAlign w:val="center"/>
          </w:tcPr>
          <w:p>
            <w:pPr>
              <w:widowControl/>
              <w:jc w:val="center"/>
              <w:textAlignment w:val="center"/>
              <w:rPr>
                <w:rFonts w:ascii="宋体" w:hAnsi="宋体" w:cs="宋体"/>
                <w:color w:val="auto"/>
                <w:kern w:val="0"/>
                <w:szCs w:val="21"/>
              </w:rPr>
            </w:pPr>
          </w:p>
        </w:tc>
        <w:tc>
          <w:tcPr>
            <w:tcW w:w="1047" w:type="dxa"/>
            <w:vAlign w:val="center"/>
          </w:tcPr>
          <w:p>
            <w:pPr>
              <w:widowControl/>
              <w:jc w:val="center"/>
              <w:textAlignment w:val="center"/>
              <w:rPr>
                <w:rFonts w:ascii="宋体" w:hAnsi="宋体" w:cs="宋体"/>
                <w:color w:val="auto"/>
                <w:szCs w:val="21"/>
              </w:rPr>
            </w:pPr>
          </w:p>
        </w:tc>
        <w:tc>
          <w:tcPr>
            <w:tcW w:w="1554" w:type="dxa"/>
            <w:vAlign w:val="center"/>
          </w:tcPr>
          <w:p>
            <w:pPr>
              <w:widowControl/>
              <w:jc w:val="center"/>
              <w:textAlignment w:val="center"/>
              <w:rPr>
                <w:rFonts w:ascii="宋体" w:hAnsi="宋体" w:cs="宋体"/>
                <w:color w:val="auto"/>
                <w:kern w:val="0"/>
                <w:szCs w:val="21"/>
              </w:rPr>
            </w:pPr>
            <w:r>
              <w:rPr>
                <w:rFonts w:hint="eastAsia" w:ascii="宋体" w:hAnsi="宋体"/>
                <w:color w:val="auto"/>
                <w:szCs w:val="21"/>
              </w:rPr>
              <w:fldChar w:fldCharType="begin"/>
            </w:r>
            <w:r>
              <w:rPr>
                <w:rFonts w:hint="eastAsia" w:ascii="宋体" w:hAnsi="宋体"/>
                <w:color w:val="auto"/>
                <w:szCs w:val="21"/>
              </w:rPr>
              <w:instrText xml:space="preserve"> = sum(F2:F19) \* MERGEFORMAT </w:instrText>
            </w:r>
            <w:r>
              <w:rPr>
                <w:rFonts w:hint="eastAsia" w:ascii="宋体" w:hAnsi="宋体"/>
                <w:color w:val="auto"/>
                <w:szCs w:val="21"/>
              </w:rPr>
              <w:fldChar w:fldCharType="separate"/>
            </w:r>
            <w:r>
              <w:rPr>
                <w:rFonts w:hint="eastAsia" w:ascii="宋体" w:hAnsi="宋体"/>
                <w:color w:val="auto"/>
                <w:szCs w:val="21"/>
              </w:rPr>
              <w:t>11413</w:t>
            </w:r>
            <w:r>
              <w:rPr>
                <w:rFonts w:hint="eastAsia" w:ascii="宋体" w:hAnsi="宋体"/>
                <w:color w:val="auto"/>
                <w:szCs w:val="21"/>
              </w:rPr>
              <w:fldChar w:fldCharType="end"/>
            </w:r>
          </w:p>
        </w:tc>
        <w:tc>
          <w:tcPr>
            <w:tcW w:w="1263" w:type="dxa"/>
            <w:vAlign w:val="center"/>
          </w:tcPr>
          <w:p>
            <w:pPr>
              <w:widowControl/>
              <w:jc w:val="center"/>
              <w:textAlignment w:val="center"/>
              <w:rPr>
                <w:rFonts w:ascii="宋体" w:hAnsi="宋体"/>
                <w:color w:val="auto"/>
                <w:szCs w:val="21"/>
              </w:rPr>
            </w:pPr>
          </w:p>
        </w:tc>
      </w:tr>
    </w:tbl>
    <w:p>
      <w:pPr>
        <w:spacing w:beforeLines="50" w:line="360" w:lineRule="auto"/>
        <w:jc w:val="left"/>
        <w:outlineLvl w:val="0"/>
        <w:rPr>
          <w:rFonts w:ascii="宋体" w:hAnsi="宋体" w:cs="宋体"/>
          <w:b/>
          <w:bCs/>
          <w:color w:val="auto"/>
          <w:szCs w:val="21"/>
        </w:rPr>
      </w:pPr>
      <w:r>
        <w:rPr>
          <w:rFonts w:hint="eastAsia" w:ascii="宋体" w:hAnsi="宋体"/>
          <w:b/>
          <w:bCs/>
          <w:color w:val="auto"/>
          <w:szCs w:val="21"/>
        </w:rPr>
        <w:t>包组三：</w:t>
      </w:r>
      <w:r>
        <w:rPr>
          <w:rFonts w:hint="eastAsia" w:ascii="宋体" w:hAnsi="宋体" w:cs="宋体"/>
          <w:b/>
          <w:bCs/>
          <w:color w:val="auto"/>
          <w:szCs w:val="21"/>
        </w:rPr>
        <w:t>润滑油：</w:t>
      </w:r>
    </w:p>
    <w:p>
      <w:pPr>
        <w:spacing w:line="360" w:lineRule="auto"/>
        <w:jc w:val="left"/>
        <w:rPr>
          <w:rFonts w:ascii="宋体" w:hAnsi="宋体" w:cs="宋体"/>
          <w:b/>
          <w:bCs/>
          <w:color w:val="auto"/>
          <w:szCs w:val="21"/>
        </w:rPr>
      </w:pPr>
      <w:r>
        <w:rPr>
          <w:rFonts w:hint="eastAsia" w:ascii="宋体" w:hAnsi="宋体" w:cs="宋体"/>
          <w:b/>
          <w:bCs/>
          <w:color w:val="auto"/>
          <w:szCs w:val="21"/>
        </w:rPr>
        <w:t>1. 供货商及货物要求</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（1）润滑油的标准</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① 所采购的油品必须符合国家标准化管理委员会公布的GB 11122－2006《柴油机油》，GB11118.1-2011《液压油》，</w:t>
      </w:r>
      <w:r>
        <w:rPr>
          <w:rFonts w:hint="eastAsia" w:ascii="宋体" w:hAnsi="宋体"/>
          <w:color w:val="auto"/>
        </w:rPr>
        <w:t>GB 13895-1992</w:t>
      </w:r>
      <w:r>
        <w:rPr>
          <w:rFonts w:hint="eastAsia" w:ascii="宋体" w:hAnsi="宋体" w:cs="宋体"/>
          <w:color w:val="auto"/>
          <w:szCs w:val="21"/>
        </w:rPr>
        <w:t>《重负荷车辆齿轮油》，GB7324-2010《通用锂基润滑脂》的要求。</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② 必须符合 GB11118.1-2011 L-HM 68#抗磨液压油（高压无灰）的国家质量标准，GB11122-2006 CI-4 15W40 柴油机油的国家质量标准，GB/T 7324-2010 3 号通用锂基润滑脂的国家质量标准。</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（2）投标人必须具有机油的产品说明书，产品质量保证书。产品必须证明产地，有防伪识别标志，必须是整装机油。</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（3）投标人要有质量承诺和服务承诺。</w:t>
      </w:r>
    </w:p>
    <w:p>
      <w:pPr>
        <w:spacing w:line="360" w:lineRule="auto"/>
        <w:ind w:left="420" w:hanging="420" w:hangingChars="200"/>
        <w:jc w:val="left"/>
        <w:rPr>
          <w:rFonts w:ascii="宋体" w:hAnsi="宋体" w:cs="宋体"/>
          <w:color w:val="auto"/>
          <w:szCs w:val="21"/>
        </w:rPr>
      </w:pPr>
      <w:r>
        <w:rPr>
          <w:rFonts w:hint="eastAsia" w:ascii="宋体" w:hAnsi="宋体" w:cs="宋体"/>
          <w:color w:val="auto"/>
          <w:szCs w:val="21"/>
        </w:rPr>
        <w:t>（4）投标人须是投标产品的制造商或合法授权的经销（代理）商。（提供授权证明文件或授权函）</w:t>
      </w:r>
    </w:p>
    <w:p>
      <w:pPr>
        <w:pStyle w:val="2"/>
        <w:spacing w:line="360" w:lineRule="auto"/>
        <w:ind w:left="422" w:hanging="422" w:hangingChars="200"/>
        <w:rPr>
          <w:rFonts w:cs="宋体"/>
          <w:b/>
          <w:color w:val="auto"/>
          <w:sz w:val="21"/>
          <w:szCs w:val="21"/>
        </w:rPr>
      </w:pPr>
      <w:r>
        <w:rPr>
          <w:rFonts w:hint="eastAsia" w:cs="宋体"/>
          <w:b/>
          <w:color w:val="auto"/>
          <w:sz w:val="21"/>
          <w:szCs w:val="21"/>
        </w:rPr>
        <w:t>★ （</w:t>
      </w:r>
      <w:r>
        <w:rPr>
          <w:rFonts w:hint="eastAsia" w:cs="宋体"/>
          <w:b/>
          <w:color w:val="auto"/>
          <w:sz w:val="21"/>
          <w:szCs w:val="21"/>
          <w:lang w:val="en-US" w:eastAsia="zh-CN"/>
        </w:rPr>
        <w:t>5</w:t>
      </w:r>
      <w:r>
        <w:rPr>
          <w:rFonts w:hint="eastAsia" w:cs="宋体"/>
          <w:b/>
          <w:color w:val="auto"/>
          <w:sz w:val="21"/>
          <w:szCs w:val="21"/>
        </w:rPr>
        <w:t>）投标人应充分考虑到合同期内的价格波动等因素，并保证供货期内能够按时供应。（</w:t>
      </w:r>
      <w:r>
        <w:rPr>
          <w:rFonts w:hint="eastAsia" w:cs="宋体"/>
          <w:b/>
          <w:color w:val="auto"/>
          <w:sz w:val="21"/>
          <w:szCs w:val="21"/>
          <w:lang w:val="en-US" w:eastAsia="zh-CN"/>
        </w:rPr>
        <w:t>投标时</w:t>
      </w:r>
      <w:r>
        <w:rPr>
          <w:rFonts w:hint="eastAsia" w:cs="宋体"/>
          <w:b/>
          <w:color w:val="auto"/>
          <w:sz w:val="21"/>
          <w:szCs w:val="21"/>
        </w:rPr>
        <w:t>提供承诺书）</w:t>
      </w:r>
    </w:p>
    <w:p>
      <w:pPr>
        <w:jc w:val="left"/>
        <w:rPr>
          <w:rFonts w:ascii="宋体" w:hAnsi="宋体" w:cs="宋体"/>
          <w:b/>
          <w:bCs/>
          <w:color w:val="auto"/>
          <w:szCs w:val="21"/>
        </w:rPr>
      </w:pPr>
      <w:r>
        <w:rPr>
          <w:rFonts w:hint="eastAsia" w:ascii="宋体" w:hAnsi="宋体" w:cs="宋体"/>
          <w:b/>
          <w:bCs/>
          <w:color w:val="auto"/>
          <w:szCs w:val="21"/>
        </w:rPr>
        <w:t>2. 润滑油需求清单及单价最高限价</w:t>
      </w:r>
    </w:p>
    <w:tbl>
      <w:tblPr>
        <w:tblStyle w:val="22"/>
        <w:tblW w:w="959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1968"/>
        <w:gridCol w:w="2555"/>
        <w:gridCol w:w="1979"/>
        <w:gridCol w:w="1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7" w:type="dxa"/>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968" w:type="dxa"/>
            <w:vAlign w:val="center"/>
          </w:tcPr>
          <w:p>
            <w:pPr>
              <w:jc w:val="center"/>
              <w:rPr>
                <w:rFonts w:ascii="宋体" w:hAnsi="宋体" w:cs="宋体"/>
                <w:b/>
                <w:color w:val="auto"/>
                <w:szCs w:val="21"/>
              </w:rPr>
            </w:pPr>
            <w:r>
              <w:rPr>
                <w:rFonts w:hint="eastAsia" w:ascii="宋体" w:hAnsi="宋体" w:cs="宋体"/>
                <w:b/>
                <w:color w:val="auto"/>
                <w:szCs w:val="21"/>
              </w:rPr>
              <w:t>配件名称</w:t>
            </w:r>
          </w:p>
        </w:tc>
        <w:tc>
          <w:tcPr>
            <w:tcW w:w="2555" w:type="dxa"/>
            <w:vAlign w:val="center"/>
          </w:tcPr>
          <w:p>
            <w:pPr>
              <w:jc w:val="center"/>
              <w:rPr>
                <w:rFonts w:ascii="宋体" w:hAnsi="宋体" w:cs="宋体"/>
                <w:b/>
                <w:color w:val="auto"/>
                <w:szCs w:val="21"/>
              </w:rPr>
            </w:pPr>
            <w:r>
              <w:rPr>
                <w:rFonts w:hint="eastAsia" w:ascii="宋体" w:hAnsi="宋体" w:cs="宋体"/>
                <w:b/>
                <w:color w:val="auto"/>
                <w:szCs w:val="21"/>
              </w:rPr>
              <w:t>规格型号</w:t>
            </w:r>
          </w:p>
        </w:tc>
        <w:tc>
          <w:tcPr>
            <w:tcW w:w="1979" w:type="dxa"/>
            <w:vAlign w:val="center"/>
          </w:tcPr>
          <w:p>
            <w:pPr>
              <w:jc w:val="center"/>
              <w:rPr>
                <w:rFonts w:ascii="宋体" w:hAnsi="宋体" w:cs="宋体"/>
                <w:b/>
                <w:color w:val="auto"/>
                <w:szCs w:val="21"/>
              </w:rPr>
            </w:pPr>
            <w:r>
              <w:rPr>
                <w:rFonts w:hint="eastAsia" w:ascii="宋体" w:hAnsi="宋体" w:cs="宋体"/>
                <w:b/>
                <w:color w:val="auto"/>
                <w:szCs w:val="21"/>
              </w:rPr>
              <w:t>计量单位</w:t>
            </w:r>
          </w:p>
        </w:tc>
        <w:tc>
          <w:tcPr>
            <w:tcW w:w="1979" w:type="dxa"/>
            <w:vAlign w:val="center"/>
          </w:tcPr>
          <w:p>
            <w:pPr>
              <w:pStyle w:val="2"/>
              <w:spacing w:line="288" w:lineRule="auto"/>
              <w:ind w:firstLine="0"/>
              <w:jc w:val="center"/>
              <w:rPr>
                <w:b/>
                <w:color w:val="auto"/>
                <w:sz w:val="21"/>
                <w:szCs w:val="21"/>
              </w:rPr>
            </w:pPr>
            <w:r>
              <w:rPr>
                <w:rFonts w:hint="eastAsia"/>
                <w:b/>
                <w:color w:val="auto"/>
                <w:sz w:val="21"/>
                <w:szCs w:val="21"/>
              </w:rPr>
              <w:t>单价最高限价</w:t>
            </w:r>
          </w:p>
          <w:p>
            <w:pPr>
              <w:jc w:val="center"/>
              <w:rPr>
                <w:rFonts w:ascii="宋体" w:hAnsi="宋体" w:cs="宋体"/>
                <w:b/>
                <w:color w:val="auto"/>
                <w:szCs w:val="21"/>
              </w:rPr>
            </w:pPr>
            <w:r>
              <w:rPr>
                <w:rFonts w:hint="eastAsia"/>
                <w:b/>
                <w:color w:val="auto"/>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68" w:type="dxa"/>
            <w:vAlign w:val="center"/>
          </w:tcPr>
          <w:p>
            <w:pPr>
              <w:jc w:val="center"/>
              <w:rPr>
                <w:rFonts w:ascii="宋体" w:hAnsi="宋体" w:cs="宋体"/>
                <w:color w:val="auto"/>
                <w:szCs w:val="21"/>
              </w:rPr>
            </w:pPr>
            <w:r>
              <w:rPr>
                <w:rFonts w:hint="eastAsia" w:ascii="宋体" w:hAnsi="宋体" w:cs="宋体"/>
                <w:color w:val="auto"/>
                <w:szCs w:val="21"/>
              </w:rPr>
              <w:t>液压油</w:t>
            </w:r>
          </w:p>
        </w:tc>
        <w:tc>
          <w:tcPr>
            <w:tcW w:w="2555" w:type="dxa"/>
            <w:vAlign w:val="center"/>
          </w:tcPr>
          <w:p>
            <w:pPr>
              <w:jc w:val="center"/>
              <w:rPr>
                <w:rFonts w:ascii="宋体" w:hAnsi="宋体"/>
                <w:color w:val="auto"/>
                <w:szCs w:val="21"/>
              </w:rPr>
            </w:pPr>
            <w:r>
              <w:rPr>
                <w:rFonts w:hint="eastAsia" w:ascii="宋体" w:hAnsi="宋体" w:cs="宋体"/>
                <w:color w:val="auto"/>
                <w:szCs w:val="21"/>
              </w:rPr>
              <w:t>68#（16L）</w:t>
            </w:r>
          </w:p>
        </w:tc>
        <w:tc>
          <w:tcPr>
            <w:tcW w:w="1979"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97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68" w:type="dxa"/>
            <w:vAlign w:val="center"/>
          </w:tcPr>
          <w:p>
            <w:pPr>
              <w:jc w:val="center"/>
              <w:rPr>
                <w:rFonts w:ascii="宋体" w:hAnsi="宋体" w:cs="宋体"/>
                <w:color w:val="auto"/>
                <w:szCs w:val="21"/>
              </w:rPr>
            </w:pPr>
            <w:r>
              <w:rPr>
                <w:rFonts w:hint="eastAsia" w:ascii="宋体" w:hAnsi="宋体" w:cs="宋体"/>
                <w:color w:val="auto"/>
                <w:szCs w:val="21"/>
              </w:rPr>
              <w:t>黄油</w:t>
            </w:r>
          </w:p>
        </w:tc>
        <w:tc>
          <w:tcPr>
            <w:tcW w:w="2555" w:type="dxa"/>
            <w:vAlign w:val="center"/>
          </w:tcPr>
          <w:p>
            <w:pPr>
              <w:jc w:val="center"/>
              <w:rPr>
                <w:rFonts w:ascii="宋体" w:hAnsi="宋体" w:cs="宋体"/>
                <w:color w:val="auto"/>
                <w:szCs w:val="21"/>
              </w:rPr>
            </w:pPr>
            <w:r>
              <w:rPr>
                <w:rFonts w:hint="eastAsia" w:ascii="宋体" w:hAnsi="宋体" w:cs="宋体"/>
                <w:color w:val="auto"/>
                <w:szCs w:val="21"/>
              </w:rPr>
              <w:t>3#（15KG）</w:t>
            </w:r>
          </w:p>
        </w:tc>
        <w:tc>
          <w:tcPr>
            <w:tcW w:w="1979"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97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7"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68" w:type="dxa"/>
            <w:vAlign w:val="center"/>
          </w:tcPr>
          <w:p>
            <w:pPr>
              <w:jc w:val="center"/>
              <w:rPr>
                <w:rFonts w:ascii="宋体" w:hAnsi="宋体" w:cs="宋体"/>
                <w:color w:val="auto"/>
                <w:szCs w:val="21"/>
              </w:rPr>
            </w:pPr>
            <w:r>
              <w:rPr>
                <w:rFonts w:hint="eastAsia" w:ascii="宋体" w:hAnsi="宋体" w:cs="宋体"/>
                <w:color w:val="auto"/>
                <w:szCs w:val="21"/>
              </w:rPr>
              <w:t>齿轮油</w:t>
            </w:r>
          </w:p>
        </w:tc>
        <w:tc>
          <w:tcPr>
            <w:tcW w:w="2555" w:type="dxa"/>
            <w:vAlign w:val="center"/>
          </w:tcPr>
          <w:p>
            <w:pPr>
              <w:jc w:val="center"/>
              <w:rPr>
                <w:rFonts w:ascii="宋体" w:hAnsi="宋体" w:cs="宋体"/>
                <w:color w:val="auto"/>
                <w:szCs w:val="21"/>
              </w:rPr>
            </w:pPr>
            <w:r>
              <w:rPr>
                <w:rFonts w:hint="eastAsia" w:ascii="宋体" w:hAnsi="宋体" w:cs="宋体"/>
                <w:color w:val="auto"/>
                <w:szCs w:val="21"/>
              </w:rPr>
              <w:t>140#（16L）</w:t>
            </w:r>
          </w:p>
        </w:tc>
        <w:tc>
          <w:tcPr>
            <w:tcW w:w="1979"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97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7"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68" w:type="dxa"/>
            <w:vAlign w:val="center"/>
          </w:tcPr>
          <w:p>
            <w:pPr>
              <w:jc w:val="center"/>
              <w:rPr>
                <w:rFonts w:ascii="宋体" w:hAnsi="宋体" w:cs="宋体"/>
                <w:color w:val="auto"/>
                <w:szCs w:val="21"/>
              </w:rPr>
            </w:pPr>
            <w:r>
              <w:rPr>
                <w:rFonts w:hint="eastAsia" w:ascii="宋体" w:hAnsi="宋体" w:cs="宋体"/>
                <w:color w:val="auto"/>
                <w:szCs w:val="21"/>
              </w:rPr>
              <w:t>机油</w:t>
            </w:r>
          </w:p>
        </w:tc>
        <w:tc>
          <w:tcPr>
            <w:tcW w:w="2555" w:type="dxa"/>
            <w:vAlign w:val="center"/>
          </w:tcPr>
          <w:p>
            <w:pPr>
              <w:jc w:val="center"/>
              <w:rPr>
                <w:rFonts w:ascii="宋体" w:hAnsi="宋体" w:cs="宋体"/>
                <w:color w:val="auto"/>
                <w:szCs w:val="21"/>
              </w:rPr>
            </w:pPr>
            <w:r>
              <w:rPr>
                <w:rFonts w:hint="eastAsia" w:ascii="宋体" w:hAnsi="宋体" w:cs="宋体"/>
                <w:color w:val="auto"/>
                <w:szCs w:val="21"/>
              </w:rPr>
              <w:t>15W40（18L）</w:t>
            </w:r>
          </w:p>
        </w:tc>
        <w:tc>
          <w:tcPr>
            <w:tcW w:w="1979"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979" w:type="dxa"/>
            <w:vAlign w:val="center"/>
          </w:tcPr>
          <w:p>
            <w:pPr>
              <w:jc w:val="center"/>
              <w:rPr>
                <w:rFonts w:ascii="宋体" w:hAnsi="宋体" w:cs="宋体"/>
                <w:color w:val="auto"/>
                <w:szCs w:val="21"/>
              </w:rPr>
            </w:pPr>
            <w:r>
              <w:rPr>
                <w:rFonts w:hint="eastAsia" w:ascii="宋体" w:hAnsi="宋体" w:cs="宋体"/>
                <w:color w:val="auto"/>
                <w:szCs w:val="21"/>
              </w:rPr>
              <w:t>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85" w:type="dxa"/>
            <w:gridSpan w:val="2"/>
            <w:vAlign w:val="center"/>
          </w:tcPr>
          <w:p>
            <w:pPr>
              <w:jc w:val="center"/>
              <w:rPr>
                <w:rFonts w:ascii="宋体" w:hAnsi="宋体" w:cs="宋体"/>
                <w:color w:val="auto"/>
                <w:szCs w:val="21"/>
              </w:rPr>
            </w:pPr>
            <w:r>
              <w:rPr>
                <w:rFonts w:hint="eastAsia" w:ascii="宋体" w:hAnsi="宋体" w:cs="宋体"/>
                <w:b/>
                <w:color w:val="auto"/>
                <w:kern w:val="0"/>
                <w:szCs w:val="21"/>
              </w:rPr>
              <w:t>单价合计（元）</w:t>
            </w:r>
          </w:p>
        </w:tc>
        <w:tc>
          <w:tcPr>
            <w:tcW w:w="2555" w:type="dxa"/>
            <w:vAlign w:val="center"/>
          </w:tcPr>
          <w:p>
            <w:pPr>
              <w:jc w:val="center"/>
              <w:rPr>
                <w:rFonts w:ascii="宋体" w:hAnsi="宋体" w:cs="宋体"/>
                <w:color w:val="auto"/>
                <w:szCs w:val="21"/>
              </w:rPr>
            </w:pPr>
          </w:p>
        </w:tc>
        <w:tc>
          <w:tcPr>
            <w:tcW w:w="1979" w:type="dxa"/>
            <w:vAlign w:val="center"/>
          </w:tcPr>
          <w:p>
            <w:pPr>
              <w:widowControl/>
              <w:jc w:val="center"/>
              <w:textAlignment w:val="center"/>
              <w:rPr>
                <w:rFonts w:ascii="宋体" w:hAnsi="宋体" w:cs="宋体"/>
                <w:color w:val="auto"/>
                <w:kern w:val="0"/>
                <w:szCs w:val="21"/>
              </w:rPr>
            </w:pPr>
          </w:p>
        </w:tc>
        <w:tc>
          <w:tcPr>
            <w:tcW w:w="1979" w:type="dxa"/>
            <w:vAlign w:val="center"/>
          </w:tcPr>
          <w:p>
            <w:pPr>
              <w:jc w:val="center"/>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sum(E2:E5) \* MERGEFORMAT </w:instrText>
            </w:r>
            <w:r>
              <w:rPr>
                <w:rFonts w:hint="eastAsia" w:ascii="宋体" w:hAnsi="宋体" w:cs="宋体"/>
                <w:color w:val="auto"/>
                <w:szCs w:val="21"/>
              </w:rPr>
              <w:fldChar w:fldCharType="separate"/>
            </w:r>
            <w:r>
              <w:rPr>
                <w:rFonts w:hint="eastAsia" w:ascii="宋体" w:hAnsi="宋体" w:cs="宋体"/>
                <w:color w:val="auto"/>
                <w:szCs w:val="21"/>
              </w:rPr>
              <w:t>1470</w:t>
            </w:r>
            <w:r>
              <w:rPr>
                <w:rFonts w:hint="eastAsia" w:ascii="宋体" w:hAnsi="宋体" w:cs="宋体"/>
                <w:color w:val="auto"/>
                <w:szCs w:val="21"/>
              </w:rPr>
              <w:fldChar w:fldCharType="end"/>
            </w:r>
          </w:p>
        </w:tc>
      </w:tr>
    </w:tbl>
    <w:p>
      <w:pPr>
        <w:numPr>
          <w:ilvl w:val="0"/>
          <w:numId w:val="16"/>
        </w:numPr>
        <w:tabs>
          <w:tab w:val="left" w:pos="210"/>
          <w:tab w:val="clear" w:pos="1134"/>
        </w:tabs>
        <w:spacing w:beforeLines="50" w:line="360" w:lineRule="auto"/>
        <w:ind w:left="278" w:hanging="278"/>
        <w:jc w:val="left"/>
        <w:rPr>
          <w:rFonts w:ascii="宋体" w:hAnsi="宋体"/>
          <w:b/>
          <w:bCs/>
          <w:color w:val="auto"/>
          <w:szCs w:val="21"/>
        </w:rPr>
      </w:pPr>
      <w:r>
        <w:rPr>
          <w:rFonts w:hint="eastAsia" w:ascii="宋体" w:hAnsi="宋体"/>
          <w:b/>
          <w:bCs/>
          <w:color w:val="auto"/>
          <w:szCs w:val="21"/>
        </w:rPr>
        <w:t>项目商务要求：</w:t>
      </w:r>
    </w:p>
    <w:p>
      <w:pPr>
        <w:adjustRightInd w:val="0"/>
        <w:spacing w:line="360" w:lineRule="auto"/>
        <w:ind w:left="316" w:hanging="316" w:hangingChars="150"/>
        <w:rPr>
          <w:rFonts w:ascii="宋体" w:hAnsi="宋体" w:cs="仿宋"/>
          <w:b/>
          <w:color w:val="auto"/>
          <w:szCs w:val="21"/>
        </w:rPr>
      </w:pPr>
      <w:r>
        <w:rPr>
          <w:rFonts w:hint="eastAsia" w:ascii="宋体" w:hAnsi="宋体" w:cs="仿宋"/>
          <w:b/>
          <w:color w:val="auto"/>
          <w:szCs w:val="21"/>
        </w:rPr>
        <w:t>1. 报价方式：所有价格均应以人民币报价，金额单位为元。每项货物需报单价，不得漏项，每项货物的报价不得超出单价最高限价。如投标单价超出单价最高限价，则视为无效投标。</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2. 本项目为服务资格商采购，采购人不承诺每项货物的采购数量，供应商取得任务的数量以采购人审批确定。供应商对产品数量无支配权。</w:t>
      </w:r>
    </w:p>
    <w:p>
      <w:pPr>
        <w:adjustRightInd w:val="0"/>
        <w:spacing w:line="360" w:lineRule="auto"/>
        <w:ind w:left="316" w:hanging="316" w:hangingChars="150"/>
        <w:rPr>
          <w:rFonts w:ascii="宋体" w:hAnsi="宋体" w:cs="仿宋"/>
          <w:color w:val="auto"/>
          <w:szCs w:val="21"/>
        </w:rPr>
      </w:pPr>
      <w:r>
        <w:rPr>
          <w:rFonts w:hint="eastAsia" w:ascii="宋体" w:hAnsi="宋体" w:cs="仿宋"/>
          <w:b/>
          <w:color w:val="auto"/>
          <w:szCs w:val="21"/>
        </w:rPr>
        <w:t>3. 结算方式：</w:t>
      </w:r>
      <w:r>
        <w:rPr>
          <w:rFonts w:hint="eastAsia" w:ascii="宋体" w:hAnsi="宋体" w:cs="仿宋"/>
          <w:color w:val="auto"/>
          <w:szCs w:val="21"/>
        </w:rPr>
        <w:t>按照采购清单列表供货，结算单价以中标单价为准，按月实际供货签收数量进行结算，</w:t>
      </w:r>
      <w:r>
        <w:rPr>
          <w:rFonts w:hint="eastAsia" w:ascii="宋体" w:hAnsi="宋体" w:cs="宋体"/>
          <w:color w:val="auto"/>
          <w:szCs w:val="21"/>
        </w:rPr>
        <w:t>结算价=中标单价×实际供货数量，</w:t>
      </w:r>
      <w:r>
        <w:rPr>
          <w:rFonts w:hint="eastAsia" w:ascii="宋体" w:hAnsi="宋体" w:cs="仿宋"/>
          <w:color w:val="auto"/>
          <w:szCs w:val="21"/>
        </w:rPr>
        <w:t>即当月供货，并验收合格后，次月底前付款结算。</w:t>
      </w:r>
    </w:p>
    <w:p>
      <w:pPr>
        <w:adjustRightInd w:val="0"/>
        <w:spacing w:line="360" w:lineRule="auto"/>
        <w:ind w:left="316" w:hanging="316" w:hangingChars="150"/>
        <w:rPr>
          <w:rFonts w:ascii="宋体" w:hAnsi="宋体" w:cs="仿宋"/>
          <w:color w:val="auto"/>
          <w:szCs w:val="21"/>
        </w:rPr>
      </w:pPr>
      <w:r>
        <w:rPr>
          <w:rFonts w:hint="eastAsia" w:ascii="宋体" w:hAnsi="宋体" w:cs="仿宋"/>
          <w:b/>
          <w:color w:val="auto"/>
          <w:szCs w:val="21"/>
        </w:rPr>
        <w:t>4. 服务响应时间：</w:t>
      </w:r>
      <w:r>
        <w:rPr>
          <w:rFonts w:hint="eastAsia" w:ascii="宋体" w:hAnsi="宋体" w:cs="仿宋"/>
          <w:color w:val="auto"/>
          <w:szCs w:val="21"/>
        </w:rPr>
        <w:t>接到采购人需求后，供应商需在3个工作日内将货物送达采购人指定地点。</w:t>
      </w:r>
    </w:p>
    <w:p>
      <w:pPr>
        <w:adjustRightInd w:val="0"/>
        <w:spacing w:line="360" w:lineRule="auto"/>
        <w:ind w:left="316" w:hanging="316" w:hangingChars="150"/>
        <w:rPr>
          <w:rFonts w:ascii="宋体" w:hAnsi="宋体" w:cs="仿宋"/>
          <w:color w:val="auto"/>
          <w:szCs w:val="21"/>
        </w:rPr>
      </w:pPr>
      <w:r>
        <w:rPr>
          <w:rFonts w:hint="eastAsia" w:ascii="宋体" w:hAnsi="宋体" w:cs="仿宋"/>
          <w:b/>
          <w:color w:val="auto"/>
          <w:szCs w:val="21"/>
        </w:rPr>
        <w:t>5. 收货地点</w:t>
      </w:r>
      <w:r>
        <w:rPr>
          <w:rFonts w:hint="eastAsia" w:ascii="宋体" w:hAnsi="宋体" w:cs="仿宋"/>
          <w:color w:val="auto"/>
          <w:szCs w:val="21"/>
        </w:rPr>
        <w:t>：采购人指定地点。</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rPr>
        <w:t>5.1 货物交货后，安装调试完成后进行验收，验收应在采购人和中标人双方共同参加下进行。按照技术、服务、安全标准组织对中标人履约情况进行验收。</w:t>
      </w:r>
    </w:p>
    <w:p>
      <w:pPr>
        <w:spacing w:line="360" w:lineRule="auto"/>
        <w:rPr>
          <w:rFonts w:ascii="宋体" w:hAnsi="宋体"/>
          <w:color w:val="auto"/>
        </w:rPr>
      </w:pPr>
      <w:r>
        <w:rPr>
          <w:rFonts w:hint="eastAsia" w:ascii="宋体" w:hAnsi="宋体"/>
          <w:b/>
          <w:color w:val="auto"/>
          <w:lang w:val="en-US" w:eastAsia="zh-CN"/>
        </w:rPr>
        <w:t>6</w:t>
      </w:r>
      <w:r>
        <w:rPr>
          <w:rFonts w:hint="eastAsia" w:ascii="宋体" w:hAnsi="宋体"/>
          <w:b/>
          <w:color w:val="auto"/>
        </w:rPr>
        <w:t xml:space="preserve">. </w:t>
      </w:r>
      <w:r>
        <w:rPr>
          <w:rFonts w:hint="eastAsia" w:ascii="宋体" w:hAnsi="宋体" w:cs="宋体"/>
          <w:b/>
          <w:bCs/>
          <w:color w:val="auto"/>
          <w:szCs w:val="21"/>
        </w:rPr>
        <w:t>服务供货期限：</w:t>
      </w:r>
      <w:r>
        <w:rPr>
          <w:rFonts w:hint="eastAsia" w:ascii="宋体" w:hAnsi="宋体" w:cs="宋体"/>
          <w:color w:val="auto"/>
          <w:szCs w:val="21"/>
        </w:rPr>
        <w:t>自合同签订之日起一年；采购预算或合同期限其中一项先达到的，即合同终止。</w:t>
      </w:r>
    </w:p>
    <w:p>
      <w:pPr>
        <w:adjustRightInd w:val="0"/>
        <w:spacing w:line="360" w:lineRule="auto"/>
        <w:ind w:left="316" w:hanging="316" w:hangingChars="150"/>
        <w:rPr>
          <w:rFonts w:ascii="宋体" w:hAnsi="宋体" w:cs="仿宋"/>
          <w:b/>
          <w:color w:val="auto"/>
          <w:szCs w:val="21"/>
        </w:rPr>
      </w:pPr>
      <w:r>
        <w:rPr>
          <w:rFonts w:hint="eastAsia" w:ascii="宋体" w:hAnsi="宋体" w:cs="仿宋"/>
          <w:b/>
          <w:color w:val="auto"/>
          <w:szCs w:val="21"/>
          <w:lang w:val="en-US" w:eastAsia="zh-CN"/>
        </w:rPr>
        <w:t>7</w:t>
      </w:r>
      <w:r>
        <w:rPr>
          <w:rFonts w:hint="eastAsia" w:ascii="宋体" w:hAnsi="宋体" w:cs="仿宋"/>
          <w:b/>
          <w:color w:val="auto"/>
          <w:szCs w:val="21"/>
        </w:rPr>
        <w:t>. 质保期：</w:t>
      </w:r>
    </w:p>
    <w:p>
      <w:pPr>
        <w:adjustRightInd w:val="0"/>
        <w:spacing w:line="360" w:lineRule="auto"/>
        <w:ind w:left="315" w:hanging="315" w:hangingChars="150"/>
        <w:rPr>
          <w:rFonts w:ascii="宋体" w:hAnsi="宋体" w:cs="仿宋"/>
          <w:color w:val="auto"/>
          <w:szCs w:val="21"/>
        </w:rPr>
      </w:pPr>
      <w:r>
        <w:rPr>
          <w:rFonts w:hint="eastAsia" w:ascii="宋体" w:hAnsi="宋体" w:cs="仿宋"/>
          <w:color w:val="auto"/>
          <w:szCs w:val="21"/>
          <w:lang w:val="en-US" w:eastAsia="zh-CN"/>
        </w:rPr>
        <w:t>7</w:t>
      </w:r>
      <w:r>
        <w:rPr>
          <w:rFonts w:hint="eastAsia" w:ascii="宋体" w:hAnsi="宋体" w:cs="仿宋"/>
          <w:color w:val="auto"/>
          <w:szCs w:val="21"/>
        </w:rPr>
        <w:t>.1 所有货物</w:t>
      </w:r>
      <w:r>
        <w:rPr>
          <w:rFonts w:hint="eastAsia" w:ascii="宋体" w:hAnsi="宋体" w:cs="仿宋"/>
          <w:b w:val="0"/>
          <w:bCs w:val="0"/>
          <w:color w:val="auto"/>
          <w:szCs w:val="21"/>
          <w:lang w:eastAsia="zh-CN"/>
        </w:rPr>
        <w:t>（损耗品除外）</w:t>
      </w:r>
      <w:r>
        <w:rPr>
          <w:rFonts w:hint="eastAsia" w:ascii="宋体" w:hAnsi="宋体" w:cs="仿宋"/>
          <w:color w:val="auto"/>
          <w:szCs w:val="21"/>
        </w:rPr>
        <w:t>提供至少</w:t>
      </w:r>
      <w:r>
        <w:rPr>
          <w:rFonts w:hint="eastAsia" w:ascii="宋体" w:hAnsi="宋体" w:cs="仿宋"/>
          <w:color w:val="auto"/>
          <w:szCs w:val="21"/>
          <w:u w:val="single"/>
        </w:rPr>
        <w:t xml:space="preserve"> 1  </w:t>
      </w:r>
      <w:r>
        <w:rPr>
          <w:rFonts w:hint="eastAsia" w:ascii="宋体" w:hAnsi="宋体" w:cs="仿宋"/>
          <w:color w:val="auto"/>
          <w:szCs w:val="21"/>
        </w:rPr>
        <w:t>年保修，质保期内提供免费上门服务（含部件、人力、上门等）。</w:t>
      </w:r>
    </w:p>
    <w:p>
      <w:pPr>
        <w:autoSpaceDE w:val="0"/>
        <w:autoSpaceDN w:val="0"/>
        <w:adjustRightInd w:val="0"/>
        <w:spacing w:line="360" w:lineRule="auto"/>
        <w:ind w:left="420" w:hanging="420" w:hanging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.2 中标人必须提供24小时电话服务热线，保证在接到故障电话（或书面通知）1小时内响应（即能提供满足用户需要的解决方法），4小时内必须到达故障现场进行排障，并在8小时内修复。</w:t>
      </w:r>
    </w:p>
    <w:p>
      <w:pPr>
        <w:spacing w:beforeLines="50" w:afterLines="50" w:line="360" w:lineRule="auto"/>
        <w:jc w:val="center"/>
        <w:outlineLvl w:val="0"/>
        <w:rPr>
          <w:rFonts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jc w:val="center"/>
        <w:outlineLvl w:val="0"/>
        <w:rPr>
          <w:rFonts w:ascii="宋体" w:hAnsi="宋体"/>
          <w:b/>
          <w:bCs/>
          <w:color w:val="auto"/>
          <w:sz w:val="28"/>
          <w:szCs w:val="28"/>
        </w:rPr>
      </w:pPr>
      <w:bookmarkStart w:id="11" w:name="_Toc7494"/>
      <w:r>
        <w:rPr>
          <w:rFonts w:hint="eastAsia" w:ascii="宋体" w:hAnsi="宋体"/>
          <w:b/>
          <w:bCs/>
          <w:color w:val="auto"/>
          <w:sz w:val="28"/>
          <w:szCs w:val="28"/>
        </w:rPr>
        <w:t>第五章</w:t>
      </w:r>
      <w:bookmarkStart w:id="12" w:name="_Toc435109307"/>
      <w:r>
        <w:rPr>
          <w:rFonts w:hint="eastAsia" w:ascii="宋体" w:hAnsi="宋体"/>
          <w:b/>
          <w:bCs/>
          <w:color w:val="auto"/>
          <w:sz w:val="28"/>
          <w:szCs w:val="28"/>
        </w:rPr>
        <w:t xml:space="preserve">  合同通用条款</w:t>
      </w:r>
      <w:bookmarkEnd w:id="11"/>
      <w:bookmarkEnd w:id="12"/>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电    话：           　   传  真：           地  址：</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color w:val="auto"/>
          <w:szCs w:val="21"/>
        </w:rPr>
        <w:t xml:space="preserve">电    话：                传  真：           地  址：   </w:t>
      </w:r>
    </w:p>
    <w:p>
      <w:pPr>
        <w:tabs>
          <w:tab w:val="left" w:pos="7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根据《中华人民共和国政府采购法》、《中华人民共和国合同法》、2019 年市桥街环卫车辆易损件采</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购项目招标文件（招标编号：GZZJ-ZG-2019318），采购代理机构：广州中经招标有限公司）、投标文件</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的要求，经双方协商一致，签订本合同。</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1 1 ．货物</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货物名称、型号、规格、数量及交货时间</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05"/>
        <w:gridCol w:w="905"/>
        <w:gridCol w:w="905"/>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货物</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名称</w:t>
            </w:r>
          </w:p>
        </w:tc>
        <w:tc>
          <w:tcPr>
            <w:tcW w:w="905"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规格</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型号</w:t>
            </w:r>
          </w:p>
        </w:tc>
        <w:tc>
          <w:tcPr>
            <w:tcW w:w="905"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生产</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厂家</w:t>
            </w:r>
          </w:p>
        </w:tc>
        <w:tc>
          <w:tcPr>
            <w:tcW w:w="905"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产地</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单位</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数量</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单价</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总价</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随机</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配件</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交货</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地点</w:t>
            </w:r>
          </w:p>
        </w:tc>
        <w:tc>
          <w:tcPr>
            <w:tcW w:w="906" w:type="dxa"/>
          </w:tcPr>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交货</w:t>
            </w:r>
          </w:p>
          <w:p>
            <w:pPr>
              <w:tabs>
                <w:tab w:val="left" w:pos="720"/>
              </w:tabs>
              <w:spacing w:line="360" w:lineRule="auto"/>
              <w:rPr>
                <w:rFonts w:hint="eastAsia" w:ascii="宋体" w:hAnsi="宋体" w:cs="宋体"/>
                <w:color w:val="auto"/>
                <w:szCs w:val="21"/>
                <w:vertAlign w:val="baseline"/>
              </w:rPr>
            </w:pPr>
            <w:r>
              <w:rPr>
                <w:rFonts w:hint="eastAsia" w:ascii="宋体" w:hAnsi="宋体" w:cs="宋体"/>
                <w:color w:val="auto"/>
                <w:szCs w:val="21"/>
                <w:vertAlign w:val="baseli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5"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c>
          <w:tcPr>
            <w:tcW w:w="906" w:type="dxa"/>
          </w:tcPr>
          <w:p>
            <w:pPr>
              <w:tabs>
                <w:tab w:val="left" w:pos="720"/>
              </w:tabs>
              <w:spacing w:line="360" w:lineRule="auto"/>
              <w:rPr>
                <w:rFonts w:hint="eastAsia" w:ascii="宋体" w:hAnsi="宋体" w:cs="宋体"/>
                <w:color w:val="auto"/>
                <w:szCs w:val="21"/>
                <w:vertAlign w:val="baseline"/>
              </w:rPr>
            </w:pPr>
          </w:p>
        </w:tc>
      </w:tr>
    </w:tbl>
    <w:p>
      <w:pPr>
        <w:tabs>
          <w:tab w:val="left" w:pos="720"/>
        </w:tabs>
        <w:spacing w:line="360" w:lineRule="auto"/>
        <w:rPr>
          <w:rFonts w:hint="eastAsia" w:ascii="宋体" w:hAnsi="宋体" w:cs="宋体"/>
          <w:color w:val="auto"/>
          <w:szCs w:val="21"/>
        </w:rPr>
      </w:pP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 2 ．合同总价和支付方式</w:t>
      </w:r>
    </w:p>
    <w:p>
      <w:pPr>
        <w:tabs>
          <w:tab w:val="left" w:pos="720"/>
        </w:tabs>
        <w:spacing w:line="360" w:lineRule="auto"/>
        <w:rPr>
          <w:rFonts w:hint="eastAsia" w:ascii="宋体" w:hAnsi="宋体" w:eastAsia="宋体" w:cs="宋体"/>
          <w:color w:val="auto"/>
          <w:szCs w:val="21"/>
          <w:u w:val="single"/>
          <w:lang w:val="en-US" w:eastAsia="zh-CN"/>
        </w:rPr>
      </w:pPr>
      <w:r>
        <w:rPr>
          <w:rFonts w:hint="eastAsia" w:ascii="宋体" w:hAnsi="宋体" w:cs="宋体"/>
          <w:color w:val="auto"/>
          <w:szCs w:val="21"/>
        </w:rPr>
        <w:t>2.1 合同总价：总价为人民币（大写）：</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元，该合同总金额是</w:t>
      </w:r>
      <w:r>
        <w:rPr>
          <w:rFonts w:hint="eastAsia" w:ascii="宋体" w:hAnsi="宋体" w:cs="宋体"/>
          <w:color w:val="auto"/>
          <w:szCs w:val="21"/>
          <w:u w:val="single"/>
          <w:lang w:val="en-US" w:eastAsia="zh-CN"/>
        </w:rPr>
        <w:t xml:space="preserve">           </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设计、设备制造、包装、仓储、运输、安装、调试、试运行、培训及验收合格之前及保修期与备品</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备件发生的所有含税费用。本合同执行期间合同总金额不变。</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2.2 保费：货物到达交货地点之前的所有保险费用和派往甲方进行服务人员的人身险和其他有关险种，</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以及有关费用由乙方负责。</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2.3 按照采购清单列表供货，结算单价以中标单价为准，按月实际供货签收数量进行结算，即当月供货，</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并验收合格后，次月底前付款结算。</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2.4 乙方凭以下有效文件与甲方结算：</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2.4.1 合同；</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2.4.2 乙方开具的正式发票；</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2.4.3 验收调试报告（加盖甲方公章）；</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2.4.4 中标通知书。</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 3.  合同组成</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详细价格、技术说明及其它有关合同设备的特定信息由合同附件说明。所有附件及本项目的招投标</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文件、会议纪要、协议等均为本合同不可分割之一部分。</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4 4 ．技术要求</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4.1 乙方所提供货物为原制造商制造的全新产品，无侵权行为、表面无划损、无任何缺陷隐患，在中国</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境内可依常规安全合法使用，必须符合国家有关规范和环保要求及甲方的技术要求，并提供设备的</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出厂测试报告及合格证，进口产品必须具备原产地证明或商检局的检验证明及合法进货渠道证明。</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4.2 本合同所指的货物及服务应符合合同附件的技术规格和标准；如果没有提及适用标准，则应符合中</w:t>
      </w:r>
    </w:p>
    <w:p>
      <w:pPr>
        <w:tabs>
          <w:tab w:val="left" w:pos="720"/>
        </w:tabs>
        <w:spacing w:line="360" w:lineRule="auto"/>
        <w:rPr>
          <w:rFonts w:hint="eastAsia" w:ascii="宋体" w:hAnsi="宋体" w:cs="宋体"/>
          <w:color w:val="auto"/>
          <w:szCs w:val="21"/>
        </w:rPr>
      </w:pPr>
      <w:r>
        <w:rPr>
          <w:rFonts w:hint="eastAsia" w:ascii="宋体" w:hAnsi="宋体" w:cs="宋体"/>
          <w:color w:val="auto"/>
          <w:szCs w:val="21"/>
        </w:rPr>
        <w:t>华人民共和国国家标准或行业标准；如果中华人民共和国没有相关标准的，则采用货物来源国适用</w:t>
      </w:r>
    </w:p>
    <w:p>
      <w:pPr>
        <w:tabs>
          <w:tab w:val="left" w:pos="720"/>
        </w:tabs>
        <w:spacing w:line="360" w:lineRule="auto"/>
        <w:rPr>
          <w:rFonts w:ascii="宋体" w:hAnsi="宋体" w:cs="宋体"/>
          <w:color w:val="auto"/>
          <w:szCs w:val="21"/>
        </w:rPr>
      </w:pPr>
      <w:r>
        <w:rPr>
          <w:rFonts w:hint="eastAsia" w:ascii="宋体" w:hAnsi="宋体" w:cs="宋体"/>
          <w:color w:val="auto"/>
          <w:szCs w:val="21"/>
        </w:rPr>
        <w:t>的官方标准。这些标准必须是有关机构发布的最新版本的标准。</w:t>
      </w:r>
    </w:p>
    <w:p>
      <w:pPr>
        <w:snapToGrid w:val="0"/>
        <w:spacing w:line="360" w:lineRule="auto"/>
        <w:rPr>
          <w:rFonts w:hint="eastAsia" w:ascii="宋体" w:hAnsi="宋体" w:cs="宋体"/>
          <w:color w:val="auto"/>
          <w:szCs w:val="21"/>
        </w:rPr>
      </w:pPr>
      <w:r>
        <w:rPr>
          <w:rFonts w:hint="eastAsia" w:ascii="宋体" w:hAnsi="宋体" w:cs="宋体"/>
          <w:color w:val="auto"/>
          <w:szCs w:val="21"/>
        </w:rPr>
        <w:t>4.3 乙方交货时应将所供货物经国家有关部门颁发的产品鉴定证书、使用许可证、用户手册、产品合格</w:t>
      </w:r>
    </w:p>
    <w:p>
      <w:pPr>
        <w:snapToGrid w:val="0"/>
        <w:spacing w:line="360" w:lineRule="auto"/>
        <w:rPr>
          <w:rFonts w:hint="eastAsia" w:ascii="宋体" w:hAnsi="宋体" w:cs="宋体"/>
          <w:color w:val="auto"/>
          <w:szCs w:val="21"/>
        </w:rPr>
      </w:pPr>
      <w:r>
        <w:rPr>
          <w:rFonts w:hint="eastAsia" w:ascii="宋体" w:hAnsi="宋体" w:cs="宋体"/>
          <w:color w:val="auto"/>
          <w:szCs w:val="21"/>
        </w:rPr>
        <w:t>证、保修手册、有关图纸、资料及配件、随机工具等一并交付给甲方。</w:t>
      </w:r>
    </w:p>
    <w:p>
      <w:pPr>
        <w:snapToGrid w:val="0"/>
        <w:spacing w:line="360" w:lineRule="auto"/>
        <w:rPr>
          <w:rFonts w:hint="eastAsia" w:ascii="宋体" w:hAnsi="宋体" w:cs="宋体"/>
          <w:color w:val="auto"/>
          <w:szCs w:val="21"/>
        </w:rPr>
      </w:pPr>
      <w:r>
        <w:rPr>
          <w:rFonts w:hint="eastAsia" w:ascii="宋体" w:hAnsi="宋体" w:cs="宋体"/>
          <w:color w:val="auto"/>
          <w:szCs w:val="21"/>
        </w:rPr>
        <w:t>5 5 ．采购项目产品安装、测试及验收要求</w:t>
      </w:r>
    </w:p>
    <w:p>
      <w:pPr>
        <w:snapToGrid w:val="0"/>
        <w:spacing w:line="360" w:lineRule="auto"/>
        <w:rPr>
          <w:rFonts w:hint="eastAsia" w:ascii="宋体" w:hAnsi="宋体" w:cs="宋体"/>
          <w:color w:val="auto"/>
          <w:szCs w:val="21"/>
        </w:rPr>
      </w:pPr>
      <w:r>
        <w:rPr>
          <w:rFonts w:hint="eastAsia" w:ascii="宋体" w:hAnsi="宋体" w:cs="宋体"/>
          <w:color w:val="auto"/>
          <w:szCs w:val="21"/>
        </w:rPr>
        <w:t>5.1 包装:均应有良好的防湿、防锈、防潮、防雨、防腐及防碰撞的措施。凡由于包装不良造成的损失</w:t>
      </w:r>
    </w:p>
    <w:p>
      <w:pPr>
        <w:snapToGrid w:val="0"/>
        <w:spacing w:line="360" w:lineRule="auto"/>
        <w:rPr>
          <w:rFonts w:hint="eastAsia" w:ascii="宋体" w:hAnsi="宋体" w:cs="宋体"/>
          <w:color w:val="auto"/>
          <w:szCs w:val="21"/>
        </w:rPr>
      </w:pPr>
      <w:r>
        <w:rPr>
          <w:rFonts w:hint="eastAsia" w:ascii="宋体" w:hAnsi="宋体" w:cs="宋体"/>
          <w:color w:val="auto"/>
          <w:szCs w:val="21"/>
        </w:rPr>
        <w:t>和由此产生的费用均由中标方承担。</w:t>
      </w:r>
    </w:p>
    <w:p>
      <w:pPr>
        <w:snapToGrid w:val="0"/>
        <w:spacing w:line="360" w:lineRule="auto"/>
        <w:rPr>
          <w:rFonts w:hint="eastAsia" w:ascii="宋体" w:hAnsi="宋体" w:cs="宋体"/>
          <w:color w:val="auto"/>
          <w:szCs w:val="21"/>
        </w:rPr>
      </w:pPr>
      <w:r>
        <w:rPr>
          <w:rFonts w:hint="eastAsia" w:ascii="宋体" w:hAnsi="宋体" w:cs="宋体"/>
          <w:color w:val="auto"/>
          <w:szCs w:val="21"/>
        </w:rPr>
        <w:t>5.2 中标货物的交货：交货时间：合同签订后 日内完成设备的供货、安装、调试，并交付给甲方正</w:t>
      </w:r>
    </w:p>
    <w:p>
      <w:pPr>
        <w:snapToGrid w:val="0"/>
        <w:spacing w:line="360" w:lineRule="auto"/>
        <w:rPr>
          <w:rFonts w:hint="eastAsia" w:ascii="宋体" w:hAnsi="宋体" w:cs="宋体"/>
          <w:color w:val="auto"/>
          <w:szCs w:val="21"/>
        </w:rPr>
      </w:pPr>
      <w:r>
        <w:rPr>
          <w:rFonts w:hint="eastAsia" w:ascii="宋体" w:hAnsi="宋体" w:cs="宋体"/>
          <w:color w:val="auto"/>
          <w:szCs w:val="21"/>
        </w:rPr>
        <w:t>常使用。（若甲方对产品有特殊要求的，乙方应当在甲方提供相关确认文件后 天内交货。）交货</w:t>
      </w:r>
    </w:p>
    <w:p>
      <w:pPr>
        <w:snapToGrid w:val="0"/>
        <w:spacing w:line="360" w:lineRule="auto"/>
        <w:rPr>
          <w:rFonts w:hint="eastAsia" w:ascii="宋体" w:hAnsi="宋体" w:cs="宋体"/>
          <w:color w:val="auto"/>
          <w:szCs w:val="21"/>
        </w:rPr>
      </w:pPr>
      <w:r>
        <w:rPr>
          <w:rFonts w:hint="eastAsia" w:ascii="宋体" w:hAnsi="宋体" w:cs="宋体"/>
          <w:color w:val="auto"/>
          <w:szCs w:val="21"/>
        </w:rPr>
        <w:t>地点：用户方指定地点。</w:t>
      </w:r>
    </w:p>
    <w:p>
      <w:pPr>
        <w:snapToGrid w:val="0"/>
        <w:spacing w:line="360" w:lineRule="auto"/>
        <w:rPr>
          <w:rFonts w:hint="eastAsia" w:ascii="宋体" w:hAnsi="宋体" w:cs="宋体"/>
          <w:color w:val="auto"/>
          <w:szCs w:val="21"/>
        </w:rPr>
      </w:pPr>
      <w:r>
        <w:rPr>
          <w:rFonts w:hint="eastAsia" w:ascii="宋体" w:hAnsi="宋体" w:cs="宋体"/>
          <w:color w:val="auto"/>
          <w:szCs w:val="21"/>
        </w:rPr>
        <w:t>5.3 货物的验收</w:t>
      </w:r>
    </w:p>
    <w:p>
      <w:pPr>
        <w:snapToGrid w:val="0"/>
        <w:spacing w:line="360" w:lineRule="auto"/>
        <w:rPr>
          <w:rFonts w:hint="eastAsia" w:ascii="宋体" w:hAnsi="宋体" w:cs="宋体"/>
          <w:color w:val="auto"/>
          <w:szCs w:val="21"/>
        </w:rPr>
      </w:pPr>
      <w:r>
        <w:rPr>
          <w:rFonts w:hint="eastAsia" w:ascii="宋体" w:hAnsi="宋体" w:cs="宋体"/>
          <w:color w:val="auto"/>
          <w:szCs w:val="21"/>
        </w:rPr>
        <w:t>5.3.1 乙方货物交货后，正常工作 个工作日内进行验收，验收应在甲方和乙方双方共同参加下进行</w:t>
      </w:r>
    </w:p>
    <w:p>
      <w:pPr>
        <w:snapToGrid w:val="0"/>
        <w:spacing w:line="360" w:lineRule="auto"/>
        <w:rPr>
          <w:rFonts w:hint="eastAsia" w:ascii="宋体" w:hAnsi="宋体" w:cs="宋体"/>
          <w:color w:val="auto"/>
          <w:szCs w:val="21"/>
        </w:rPr>
      </w:pPr>
      <w:r>
        <w:rPr>
          <w:rFonts w:hint="eastAsia" w:ascii="宋体" w:hAnsi="宋体" w:cs="宋体"/>
          <w:color w:val="auto"/>
          <w:szCs w:val="21"/>
        </w:rPr>
        <w:t>5.3.2 按照技术、服务、安全标准组织对乙方履约情况进行验收。验收时如发现所交付的货物有短装、</w:t>
      </w:r>
    </w:p>
    <w:p>
      <w:pPr>
        <w:snapToGrid w:val="0"/>
        <w:spacing w:line="360" w:lineRule="auto"/>
        <w:rPr>
          <w:rFonts w:hint="eastAsia" w:ascii="宋体" w:hAnsi="宋体" w:cs="宋体"/>
          <w:color w:val="auto"/>
          <w:szCs w:val="21"/>
        </w:rPr>
      </w:pPr>
      <w:r>
        <w:rPr>
          <w:rFonts w:hint="eastAsia" w:ascii="宋体" w:hAnsi="宋体" w:cs="宋体"/>
          <w:color w:val="auto"/>
          <w:szCs w:val="21"/>
        </w:rPr>
        <w:t>次品、损坏或其它不符合本合同规定之情形者，甲方应做出详尽的现场记录，或由甲方和乙方双</w:t>
      </w:r>
    </w:p>
    <w:p>
      <w:pPr>
        <w:snapToGrid w:val="0"/>
        <w:spacing w:line="360" w:lineRule="auto"/>
        <w:rPr>
          <w:rFonts w:hint="eastAsia" w:ascii="宋体" w:hAnsi="宋体" w:cs="宋体"/>
          <w:color w:val="auto"/>
          <w:szCs w:val="21"/>
        </w:rPr>
      </w:pPr>
      <w:r>
        <w:rPr>
          <w:rFonts w:hint="eastAsia" w:ascii="宋体" w:hAnsi="宋体" w:cs="宋体"/>
          <w:color w:val="auto"/>
          <w:szCs w:val="21"/>
        </w:rPr>
        <w:t>方签署备忘录。此现场记录或备忘录可用作补充、缺失和更换损坏部件的有效证据。由此产生的</w:t>
      </w:r>
    </w:p>
    <w:p>
      <w:pPr>
        <w:snapToGrid w:val="0"/>
        <w:spacing w:line="360" w:lineRule="auto"/>
        <w:rPr>
          <w:rFonts w:hint="eastAsia" w:ascii="宋体" w:hAnsi="宋体" w:cs="宋体"/>
          <w:color w:val="auto"/>
          <w:szCs w:val="21"/>
        </w:rPr>
      </w:pPr>
      <w:r>
        <w:rPr>
          <w:rFonts w:hint="eastAsia" w:ascii="宋体" w:hAnsi="宋体" w:cs="宋体"/>
          <w:color w:val="auto"/>
          <w:szCs w:val="21"/>
        </w:rPr>
        <w:t>有关费用由乙方承担。</w:t>
      </w:r>
    </w:p>
    <w:p>
      <w:pPr>
        <w:snapToGrid w:val="0"/>
        <w:spacing w:line="360" w:lineRule="auto"/>
        <w:rPr>
          <w:rFonts w:hint="eastAsia" w:ascii="宋体" w:hAnsi="宋体" w:cs="宋体"/>
          <w:color w:val="auto"/>
          <w:szCs w:val="21"/>
        </w:rPr>
      </w:pPr>
      <w:r>
        <w:rPr>
          <w:rFonts w:hint="eastAsia" w:ascii="宋体" w:hAnsi="宋体" w:cs="宋体"/>
          <w:color w:val="auto"/>
          <w:szCs w:val="21"/>
        </w:rPr>
        <w:t>5.3.3 如果合同货物运输和安装调试过程中因事故造成货物短缺、损坏，乙方应及时安排换货，以保证</w:t>
      </w:r>
    </w:p>
    <w:p>
      <w:pPr>
        <w:snapToGrid w:val="0"/>
        <w:spacing w:line="360" w:lineRule="auto"/>
        <w:rPr>
          <w:rFonts w:hint="eastAsia" w:ascii="宋体" w:hAnsi="宋体" w:cs="宋体"/>
          <w:color w:val="auto"/>
          <w:szCs w:val="21"/>
        </w:rPr>
      </w:pPr>
      <w:r>
        <w:rPr>
          <w:rFonts w:hint="eastAsia" w:ascii="宋体" w:hAnsi="宋体" w:cs="宋体"/>
          <w:color w:val="auto"/>
          <w:szCs w:val="21"/>
        </w:rPr>
        <w:t>合同货物成功完整交付。换货的相关费用由乙方承担。</w:t>
      </w:r>
    </w:p>
    <w:p>
      <w:pPr>
        <w:snapToGrid w:val="0"/>
        <w:spacing w:line="360" w:lineRule="auto"/>
        <w:rPr>
          <w:rFonts w:hint="eastAsia" w:ascii="宋体" w:hAnsi="宋体" w:cs="宋体"/>
          <w:color w:val="auto"/>
          <w:szCs w:val="21"/>
        </w:rPr>
      </w:pPr>
      <w:r>
        <w:rPr>
          <w:rFonts w:hint="eastAsia" w:ascii="宋体" w:hAnsi="宋体" w:cs="宋体"/>
          <w:color w:val="auto"/>
          <w:szCs w:val="21"/>
        </w:rPr>
        <w:t>6 6 ． 采购项目培训及售后服务要求</w:t>
      </w:r>
    </w:p>
    <w:p>
      <w:pPr>
        <w:snapToGrid w:val="0"/>
        <w:spacing w:line="360" w:lineRule="auto"/>
        <w:rPr>
          <w:rFonts w:hint="eastAsia" w:ascii="宋体" w:hAnsi="宋体" w:cs="宋体"/>
          <w:color w:val="auto"/>
          <w:szCs w:val="21"/>
        </w:rPr>
      </w:pPr>
      <w:r>
        <w:rPr>
          <w:rFonts w:hint="eastAsia" w:ascii="宋体" w:hAnsi="宋体" w:cs="宋体"/>
          <w:color w:val="auto"/>
          <w:szCs w:val="21"/>
        </w:rPr>
        <w:t>6.1 供货商在安装产品和保修期内的维修中对甲方的现场管理人员进行培训，提供 24 小时急修服务，</w:t>
      </w:r>
    </w:p>
    <w:p>
      <w:pPr>
        <w:snapToGrid w:val="0"/>
        <w:spacing w:line="360" w:lineRule="auto"/>
        <w:rPr>
          <w:rFonts w:hint="eastAsia" w:ascii="宋体" w:hAnsi="宋体" w:cs="宋体"/>
          <w:color w:val="auto"/>
          <w:szCs w:val="21"/>
        </w:rPr>
      </w:pPr>
      <w:r>
        <w:rPr>
          <w:rFonts w:hint="eastAsia" w:ascii="宋体" w:hAnsi="宋体" w:cs="宋体"/>
          <w:color w:val="auto"/>
          <w:szCs w:val="21"/>
        </w:rPr>
        <w:t>接到急修通知，按规定时间到达。</w:t>
      </w:r>
    </w:p>
    <w:p>
      <w:pPr>
        <w:snapToGrid w:val="0"/>
        <w:spacing w:line="360" w:lineRule="auto"/>
        <w:rPr>
          <w:rFonts w:hint="eastAsia" w:ascii="宋体" w:hAnsi="宋体" w:cs="宋体"/>
          <w:color w:val="auto"/>
          <w:szCs w:val="21"/>
        </w:rPr>
      </w:pPr>
      <w:r>
        <w:rPr>
          <w:rFonts w:hint="eastAsia" w:ascii="宋体" w:hAnsi="宋体" w:cs="宋体"/>
          <w:color w:val="auto"/>
          <w:szCs w:val="21"/>
        </w:rPr>
        <w:t>6.2 保修期为货物从验收合格之日起 年 。在保修期内如有零件损坏，更换该件后，再对该件免费保</w:t>
      </w:r>
    </w:p>
    <w:p>
      <w:pPr>
        <w:snapToGrid w:val="0"/>
        <w:spacing w:line="360" w:lineRule="auto"/>
        <w:rPr>
          <w:rFonts w:hint="eastAsia" w:ascii="宋体" w:hAnsi="宋体" w:cs="宋体"/>
          <w:color w:val="auto"/>
          <w:szCs w:val="21"/>
        </w:rPr>
      </w:pPr>
      <w:r>
        <w:rPr>
          <w:rFonts w:hint="eastAsia" w:ascii="宋体" w:hAnsi="宋体" w:cs="宋体"/>
          <w:color w:val="auto"/>
          <w:szCs w:val="21"/>
        </w:rPr>
        <w:t>修 年。</w:t>
      </w:r>
    </w:p>
    <w:p>
      <w:pPr>
        <w:snapToGrid w:val="0"/>
        <w:spacing w:line="360" w:lineRule="auto"/>
        <w:rPr>
          <w:rFonts w:hint="eastAsia" w:ascii="宋体" w:hAnsi="宋体" w:cs="宋体"/>
          <w:color w:val="auto"/>
          <w:szCs w:val="21"/>
        </w:rPr>
      </w:pPr>
      <w:r>
        <w:rPr>
          <w:rFonts w:hint="eastAsia" w:ascii="宋体" w:hAnsi="宋体" w:cs="宋体"/>
          <w:color w:val="auto"/>
          <w:szCs w:val="21"/>
        </w:rPr>
        <w:t>6.3 保修期内，如设备或零部件因非人为因素出现故障而造成短期停用时，则保修期和免费维修期相应</w:t>
      </w:r>
    </w:p>
    <w:p>
      <w:pPr>
        <w:snapToGrid w:val="0"/>
        <w:spacing w:line="360" w:lineRule="auto"/>
        <w:rPr>
          <w:rFonts w:hint="eastAsia" w:ascii="宋体" w:hAnsi="宋体" w:cs="宋体"/>
          <w:color w:val="auto"/>
          <w:szCs w:val="21"/>
        </w:rPr>
      </w:pPr>
      <w:r>
        <w:rPr>
          <w:rFonts w:hint="eastAsia" w:ascii="宋体" w:hAnsi="宋体" w:cs="宋体"/>
          <w:color w:val="auto"/>
          <w:szCs w:val="21"/>
        </w:rPr>
        <w:t>顺延。如停用时间累计超过 60 天则保修期重新计算。</w:t>
      </w:r>
    </w:p>
    <w:p>
      <w:pPr>
        <w:snapToGrid w:val="0"/>
        <w:spacing w:line="360" w:lineRule="auto"/>
        <w:rPr>
          <w:rFonts w:hint="eastAsia" w:ascii="宋体" w:hAnsi="宋体" w:cs="宋体"/>
          <w:color w:val="auto"/>
          <w:szCs w:val="21"/>
        </w:rPr>
      </w:pPr>
      <w:r>
        <w:rPr>
          <w:rFonts w:hint="eastAsia" w:ascii="宋体" w:hAnsi="宋体" w:cs="宋体"/>
          <w:color w:val="auto"/>
          <w:szCs w:val="21"/>
        </w:rPr>
        <w:t>6.4 对甲方的服务通知，乙方在接报后 1 小时内响应，4 小时内到达现场，48 小时内处理完毕。若在</w:t>
      </w:r>
    </w:p>
    <w:p>
      <w:pPr>
        <w:snapToGrid w:val="0"/>
        <w:spacing w:line="360" w:lineRule="auto"/>
        <w:rPr>
          <w:rFonts w:hint="eastAsia" w:ascii="宋体" w:hAnsi="宋体" w:cs="宋体"/>
          <w:color w:val="auto"/>
          <w:szCs w:val="21"/>
        </w:rPr>
      </w:pPr>
      <w:r>
        <w:rPr>
          <w:rFonts w:hint="eastAsia" w:ascii="宋体" w:hAnsi="宋体" w:cs="宋体"/>
          <w:color w:val="auto"/>
          <w:szCs w:val="21"/>
        </w:rPr>
        <w:t>48 小时内仍未能有效解决，乙方须免费提供同档次的设备予甲方临时使用。</w:t>
      </w:r>
    </w:p>
    <w:p>
      <w:pPr>
        <w:snapToGrid w:val="0"/>
        <w:spacing w:line="360" w:lineRule="auto"/>
        <w:rPr>
          <w:rFonts w:hint="eastAsia" w:ascii="宋体" w:hAnsi="宋体" w:cs="宋体"/>
          <w:color w:val="auto"/>
          <w:szCs w:val="21"/>
        </w:rPr>
      </w:pPr>
      <w:r>
        <w:rPr>
          <w:rFonts w:hint="eastAsia" w:ascii="宋体" w:hAnsi="宋体" w:cs="宋体"/>
          <w:color w:val="auto"/>
          <w:szCs w:val="21"/>
        </w:rPr>
        <w:t>7 7 ．技术服务</w:t>
      </w:r>
    </w:p>
    <w:p>
      <w:pPr>
        <w:snapToGrid w:val="0"/>
        <w:spacing w:line="360" w:lineRule="auto"/>
        <w:rPr>
          <w:rFonts w:hint="eastAsia" w:ascii="宋体" w:hAnsi="宋体" w:cs="宋体"/>
          <w:color w:val="auto"/>
          <w:szCs w:val="21"/>
        </w:rPr>
      </w:pPr>
      <w:r>
        <w:rPr>
          <w:rFonts w:hint="eastAsia" w:ascii="宋体" w:hAnsi="宋体" w:cs="宋体"/>
          <w:color w:val="auto"/>
          <w:szCs w:val="21"/>
        </w:rPr>
        <w:t>7.1 乙方应派员到甲方指定地点配合工作。</w:t>
      </w:r>
    </w:p>
    <w:p>
      <w:pPr>
        <w:snapToGrid w:val="0"/>
        <w:spacing w:line="360" w:lineRule="auto"/>
        <w:rPr>
          <w:rFonts w:hint="eastAsia" w:ascii="宋体" w:hAnsi="宋体" w:cs="宋体"/>
          <w:color w:val="auto"/>
          <w:szCs w:val="21"/>
        </w:rPr>
      </w:pPr>
      <w:r>
        <w:rPr>
          <w:rFonts w:hint="eastAsia" w:ascii="宋体" w:hAnsi="宋体" w:cs="宋体"/>
          <w:color w:val="auto"/>
          <w:szCs w:val="21"/>
        </w:rPr>
        <w:t>7.2 乙方按甲方提供的合同执行进度计划，再配合甲方及有关单位，以此做好合同执行进度上的配合工</w:t>
      </w:r>
    </w:p>
    <w:p>
      <w:pPr>
        <w:snapToGrid w:val="0"/>
        <w:spacing w:line="360" w:lineRule="auto"/>
        <w:rPr>
          <w:rFonts w:hint="eastAsia" w:ascii="宋体" w:hAnsi="宋体" w:cs="宋体"/>
          <w:color w:val="auto"/>
          <w:szCs w:val="21"/>
        </w:rPr>
      </w:pPr>
      <w:r>
        <w:rPr>
          <w:rFonts w:hint="eastAsia" w:ascii="宋体" w:hAnsi="宋体" w:cs="宋体"/>
          <w:color w:val="auto"/>
          <w:szCs w:val="21"/>
        </w:rPr>
        <w:t>作。</w:t>
      </w:r>
    </w:p>
    <w:p>
      <w:pPr>
        <w:snapToGrid w:val="0"/>
        <w:spacing w:line="360" w:lineRule="auto"/>
        <w:rPr>
          <w:rFonts w:hint="eastAsia" w:ascii="宋体" w:hAnsi="宋体" w:cs="宋体"/>
          <w:color w:val="auto"/>
          <w:szCs w:val="21"/>
        </w:rPr>
      </w:pPr>
      <w:r>
        <w:rPr>
          <w:rFonts w:hint="eastAsia" w:ascii="宋体" w:hAnsi="宋体" w:cs="宋体"/>
          <w:color w:val="auto"/>
          <w:szCs w:val="21"/>
        </w:rPr>
        <w:t>8 8 ．不可抗力</w:t>
      </w:r>
    </w:p>
    <w:p>
      <w:pPr>
        <w:snapToGrid w:val="0"/>
        <w:spacing w:line="360" w:lineRule="auto"/>
        <w:rPr>
          <w:rFonts w:hint="eastAsia" w:ascii="宋体" w:hAnsi="宋体" w:cs="宋体"/>
          <w:color w:val="auto"/>
          <w:szCs w:val="21"/>
        </w:rPr>
      </w:pPr>
      <w:r>
        <w:rPr>
          <w:rFonts w:hint="eastAsia" w:ascii="宋体" w:hAnsi="宋体" w:cs="宋体"/>
          <w:color w:val="auto"/>
          <w:szCs w:val="21"/>
        </w:rPr>
        <w:t>8.1 不可抗力指战争、严重火灾、洪水、台风、地震等或其它双方认定的不可抗力事件。</w:t>
      </w:r>
    </w:p>
    <w:p>
      <w:pPr>
        <w:snapToGrid w:val="0"/>
        <w:spacing w:line="360" w:lineRule="auto"/>
        <w:rPr>
          <w:rFonts w:hint="eastAsia" w:ascii="宋体" w:hAnsi="宋体" w:cs="宋体"/>
          <w:color w:val="auto"/>
          <w:szCs w:val="21"/>
        </w:rPr>
      </w:pPr>
      <w:r>
        <w:rPr>
          <w:rFonts w:hint="eastAsia" w:ascii="宋体" w:hAnsi="宋体" w:cs="宋体"/>
          <w:color w:val="auto"/>
          <w:szCs w:val="21"/>
        </w:rPr>
        <w:t>8.2 签约双方中任何一方由于不可抗力影响合同执行时，发生不可抗力一方应尽快将事故通知另一方。在</w:t>
      </w:r>
    </w:p>
    <w:p>
      <w:pPr>
        <w:snapToGrid w:val="0"/>
        <w:spacing w:line="360" w:lineRule="auto"/>
        <w:rPr>
          <w:rFonts w:hint="eastAsia" w:ascii="宋体" w:hAnsi="宋体" w:cs="宋体"/>
          <w:color w:val="auto"/>
          <w:szCs w:val="21"/>
        </w:rPr>
      </w:pPr>
      <w:r>
        <w:rPr>
          <w:rFonts w:hint="eastAsia" w:ascii="宋体" w:hAnsi="宋体" w:cs="宋体"/>
          <w:color w:val="auto"/>
          <w:szCs w:val="21"/>
        </w:rPr>
        <w:t>此情况下，乙方仍然有责任采取必要的措施加速供货，双方应通过友好协商尽快解决本合同的执行问</w:t>
      </w:r>
    </w:p>
    <w:p>
      <w:pPr>
        <w:snapToGrid w:val="0"/>
        <w:spacing w:line="360" w:lineRule="auto"/>
        <w:rPr>
          <w:rFonts w:hint="eastAsia" w:ascii="宋体" w:hAnsi="宋体" w:cs="宋体"/>
          <w:color w:val="auto"/>
          <w:szCs w:val="21"/>
        </w:rPr>
      </w:pPr>
      <w:r>
        <w:rPr>
          <w:rFonts w:hint="eastAsia" w:ascii="宋体" w:hAnsi="宋体" w:cs="宋体"/>
          <w:color w:val="auto"/>
          <w:szCs w:val="21"/>
        </w:rPr>
        <w:t>题。</w:t>
      </w:r>
    </w:p>
    <w:p>
      <w:pPr>
        <w:snapToGrid w:val="0"/>
        <w:spacing w:line="360" w:lineRule="auto"/>
        <w:rPr>
          <w:rFonts w:hint="eastAsia" w:ascii="宋体" w:hAnsi="宋体" w:cs="宋体"/>
          <w:color w:val="auto"/>
          <w:szCs w:val="21"/>
        </w:rPr>
      </w:pPr>
      <w:r>
        <w:rPr>
          <w:rFonts w:hint="eastAsia" w:ascii="宋体" w:hAnsi="宋体" w:cs="宋体"/>
          <w:color w:val="auto"/>
          <w:szCs w:val="21"/>
        </w:rPr>
        <w:t>9 9 ．索赔9.1 如有异议，甲方有权根据有关政府部门的检验结果向乙方提出索赔。</w:t>
      </w:r>
    </w:p>
    <w:p>
      <w:pPr>
        <w:snapToGrid w:val="0"/>
        <w:spacing w:line="360" w:lineRule="auto"/>
        <w:rPr>
          <w:rFonts w:hint="eastAsia" w:ascii="宋体" w:hAnsi="宋体" w:cs="宋体"/>
          <w:color w:val="auto"/>
          <w:szCs w:val="21"/>
        </w:rPr>
      </w:pPr>
      <w:r>
        <w:rPr>
          <w:rFonts w:hint="eastAsia" w:ascii="宋体" w:hAnsi="宋体" w:cs="宋体"/>
          <w:color w:val="auto"/>
          <w:szCs w:val="21"/>
        </w:rPr>
        <w:t>9.2 在合同执行期间，如果乙方对甲方提出的索赔和差异负有责任，乙方应按照甲方同意的下列一种或</w:t>
      </w:r>
    </w:p>
    <w:p>
      <w:pPr>
        <w:snapToGrid w:val="0"/>
        <w:spacing w:line="360" w:lineRule="auto"/>
        <w:rPr>
          <w:rFonts w:hint="eastAsia" w:ascii="宋体" w:hAnsi="宋体" w:cs="宋体"/>
          <w:color w:val="auto"/>
          <w:szCs w:val="21"/>
        </w:rPr>
      </w:pPr>
      <w:r>
        <w:rPr>
          <w:rFonts w:hint="eastAsia" w:ascii="宋体" w:hAnsi="宋体" w:cs="宋体"/>
          <w:color w:val="auto"/>
          <w:szCs w:val="21"/>
        </w:rPr>
        <w:t>多种方式解决索赔事宜：</w:t>
      </w:r>
    </w:p>
    <w:p>
      <w:pPr>
        <w:snapToGrid w:val="0"/>
        <w:spacing w:line="360" w:lineRule="auto"/>
        <w:rPr>
          <w:rFonts w:hint="eastAsia" w:ascii="宋体" w:hAnsi="宋体" w:cs="宋体"/>
          <w:color w:val="auto"/>
          <w:szCs w:val="21"/>
        </w:rPr>
      </w:pPr>
      <w:r>
        <w:rPr>
          <w:rFonts w:hint="eastAsia" w:ascii="宋体" w:hAnsi="宋体" w:cs="宋体"/>
          <w:color w:val="auto"/>
          <w:szCs w:val="21"/>
        </w:rPr>
        <w:t>9.2.1 乙方同意退货，并按合同规定的同种货币将货款退还给甲方，并承担由此发生的一切损失和费用。</w:t>
      </w:r>
    </w:p>
    <w:p>
      <w:pPr>
        <w:snapToGrid w:val="0"/>
        <w:spacing w:line="360" w:lineRule="auto"/>
        <w:rPr>
          <w:rFonts w:hint="eastAsia" w:ascii="宋体" w:hAnsi="宋体" w:cs="宋体"/>
          <w:color w:val="auto"/>
          <w:szCs w:val="21"/>
        </w:rPr>
      </w:pPr>
      <w:r>
        <w:rPr>
          <w:rFonts w:hint="eastAsia" w:ascii="宋体" w:hAnsi="宋体" w:cs="宋体"/>
          <w:color w:val="auto"/>
          <w:szCs w:val="21"/>
        </w:rPr>
        <w:t>9.2.2 根据货物低劣程度、损坏程度以及甲方所遭受损失的数额甲乙双方商定降低货物的价格。</w:t>
      </w:r>
    </w:p>
    <w:p>
      <w:pPr>
        <w:snapToGrid w:val="0"/>
        <w:spacing w:line="360" w:lineRule="auto"/>
        <w:rPr>
          <w:rFonts w:hint="eastAsia" w:ascii="宋体" w:hAnsi="宋体" w:cs="宋体"/>
          <w:color w:val="auto"/>
          <w:szCs w:val="21"/>
        </w:rPr>
      </w:pPr>
      <w:r>
        <w:rPr>
          <w:rFonts w:hint="eastAsia" w:ascii="宋体" w:hAnsi="宋体" w:cs="宋体"/>
          <w:color w:val="auto"/>
          <w:szCs w:val="21"/>
        </w:rPr>
        <w:t>9.2.3 用符合规格、质量和性能要求的新零件、部件或货物来更换有缺陷的部分或修补缺陷的部分，乙</w:t>
      </w:r>
    </w:p>
    <w:p>
      <w:pPr>
        <w:snapToGrid w:val="0"/>
        <w:spacing w:line="360" w:lineRule="auto"/>
        <w:rPr>
          <w:rFonts w:hint="eastAsia" w:ascii="宋体" w:hAnsi="宋体" w:cs="宋体"/>
          <w:color w:val="auto"/>
          <w:szCs w:val="21"/>
        </w:rPr>
      </w:pPr>
      <w:r>
        <w:rPr>
          <w:rFonts w:hint="eastAsia" w:ascii="宋体" w:hAnsi="宋体" w:cs="宋体"/>
          <w:color w:val="auto"/>
          <w:szCs w:val="21"/>
        </w:rPr>
        <w:t>方应承担一切费用和风险并负责甲方所发生的一切直接费用。同时，相应延长质量保证期。</w:t>
      </w:r>
    </w:p>
    <w:p>
      <w:pPr>
        <w:snapToGrid w:val="0"/>
        <w:spacing w:line="360" w:lineRule="auto"/>
        <w:rPr>
          <w:rFonts w:hint="eastAsia" w:ascii="宋体" w:hAnsi="宋体" w:cs="宋体"/>
          <w:color w:val="auto"/>
          <w:szCs w:val="21"/>
        </w:rPr>
      </w:pPr>
      <w:r>
        <w:rPr>
          <w:rFonts w:hint="eastAsia" w:ascii="宋体" w:hAnsi="宋体" w:cs="宋体"/>
          <w:color w:val="auto"/>
          <w:szCs w:val="21"/>
        </w:rPr>
        <w:t>9.2.4 如果在甲方发出索赔通知后 30 天内，乙方未作答复，上述索赔应视为已被乙方接受。甲方将从</w:t>
      </w:r>
    </w:p>
    <w:p>
      <w:pPr>
        <w:snapToGrid w:val="0"/>
        <w:spacing w:line="360" w:lineRule="auto"/>
        <w:rPr>
          <w:rFonts w:hint="eastAsia" w:ascii="宋体" w:hAnsi="宋体" w:cs="宋体"/>
          <w:color w:val="auto"/>
          <w:szCs w:val="21"/>
        </w:rPr>
      </w:pPr>
      <w:r>
        <w:rPr>
          <w:rFonts w:hint="eastAsia" w:ascii="宋体" w:hAnsi="宋体" w:cs="宋体"/>
          <w:color w:val="auto"/>
          <w:szCs w:val="21"/>
        </w:rPr>
        <w:t>合同款项中扣回索赔金额。如果这些金额不足以补偿索赔金额，甲方有权向乙方提出不足部分的</w:t>
      </w:r>
    </w:p>
    <w:p>
      <w:pPr>
        <w:snapToGrid w:val="0"/>
        <w:spacing w:line="360" w:lineRule="auto"/>
        <w:rPr>
          <w:rFonts w:hint="eastAsia" w:ascii="宋体" w:hAnsi="宋体" w:cs="宋体"/>
          <w:color w:val="auto"/>
          <w:szCs w:val="21"/>
        </w:rPr>
      </w:pPr>
      <w:r>
        <w:rPr>
          <w:rFonts w:hint="eastAsia" w:ascii="宋体" w:hAnsi="宋体" w:cs="宋体"/>
          <w:color w:val="auto"/>
          <w:szCs w:val="21"/>
        </w:rPr>
        <w:t>补偿。</w:t>
      </w:r>
    </w:p>
    <w:p>
      <w:pPr>
        <w:snapToGrid w:val="0"/>
        <w:spacing w:line="360" w:lineRule="auto"/>
        <w:rPr>
          <w:rFonts w:hint="eastAsia" w:ascii="宋体" w:hAnsi="宋体" w:cs="宋体"/>
          <w:color w:val="auto"/>
          <w:szCs w:val="21"/>
        </w:rPr>
      </w:pPr>
      <w:r>
        <w:rPr>
          <w:rFonts w:hint="eastAsia" w:ascii="宋体" w:hAnsi="宋体" w:cs="宋体"/>
          <w:color w:val="auto"/>
          <w:szCs w:val="21"/>
        </w:rPr>
        <w:t>10 ．违约与处罚</w:t>
      </w:r>
    </w:p>
    <w:p>
      <w:pPr>
        <w:snapToGrid w:val="0"/>
        <w:spacing w:line="360" w:lineRule="auto"/>
        <w:rPr>
          <w:rFonts w:hint="eastAsia" w:ascii="宋体" w:hAnsi="宋体" w:cs="宋体"/>
          <w:color w:val="auto"/>
          <w:szCs w:val="21"/>
        </w:rPr>
      </w:pPr>
      <w:r>
        <w:rPr>
          <w:rFonts w:hint="eastAsia" w:ascii="宋体" w:hAnsi="宋体" w:cs="宋体"/>
          <w:color w:val="auto"/>
          <w:szCs w:val="21"/>
        </w:rPr>
        <w:t>10.1 甲方应依合同规定时间内，向乙方支付货款，每拖延一天乙方可向甲方加收合同金额的 3‰的违</w:t>
      </w:r>
    </w:p>
    <w:p>
      <w:pPr>
        <w:snapToGrid w:val="0"/>
        <w:spacing w:line="360" w:lineRule="auto"/>
        <w:rPr>
          <w:rFonts w:hint="eastAsia" w:ascii="宋体" w:hAnsi="宋体" w:cs="宋体"/>
          <w:color w:val="auto"/>
          <w:szCs w:val="21"/>
        </w:rPr>
      </w:pPr>
      <w:r>
        <w:rPr>
          <w:rFonts w:hint="eastAsia" w:ascii="宋体" w:hAnsi="宋体" w:cs="宋体"/>
          <w:color w:val="auto"/>
          <w:szCs w:val="21"/>
        </w:rPr>
        <w:t>约金。</w:t>
      </w:r>
    </w:p>
    <w:p>
      <w:pPr>
        <w:snapToGrid w:val="0"/>
        <w:spacing w:line="360" w:lineRule="auto"/>
        <w:rPr>
          <w:rFonts w:hint="eastAsia" w:ascii="宋体" w:hAnsi="宋体" w:cs="宋体"/>
          <w:color w:val="auto"/>
          <w:szCs w:val="21"/>
        </w:rPr>
      </w:pPr>
      <w:r>
        <w:rPr>
          <w:rFonts w:hint="eastAsia" w:ascii="宋体" w:hAnsi="宋体" w:cs="宋体"/>
          <w:color w:val="auto"/>
          <w:szCs w:val="21"/>
        </w:rPr>
        <w:t>10.2 乙方未能按时交货，每拖延一天，须向甲方支付合同金额的 5‰的违约金。如乙方逾期 30 天仍未</w:t>
      </w:r>
    </w:p>
    <w:p>
      <w:pPr>
        <w:snapToGrid w:val="0"/>
        <w:spacing w:line="360" w:lineRule="auto"/>
        <w:rPr>
          <w:rFonts w:hint="eastAsia" w:ascii="宋体" w:hAnsi="宋体" w:cs="宋体"/>
          <w:color w:val="auto"/>
          <w:szCs w:val="21"/>
        </w:rPr>
      </w:pPr>
      <w:r>
        <w:rPr>
          <w:rFonts w:hint="eastAsia" w:ascii="宋体" w:hAnsi="宋体" w:cs="宋体"/>
          <w:color w:val="auto"/>
          <w:szCs w:val="21"/>
        </w:rPr>
        <w:t>交货，甲方有权终止合同，乙方向甲方支付合同金额的 5%的违约金。</w:t>
      </w:r>
    </w:p>
    <w:p>
      <w:pPr>
        <w:snapToGrid w:val="0"/>
        <w:spacing w:line="360" w:lineRule="auto"/>
        <w:rPr>
          <w:rFonts w:hint="eastAsia" w:ascii="宋体" w:hAnsi="宋体" w:cs="宋体"/>
          <w:color w:val="auto"/>
          <w:szCs w:val="21"/>
        </w:rPr>
      </w:pPr>
      <w:r>
        <w:rPr>
          <w:rFonts w:hint="eastAsia" w:ascii="宋体" w:hAnsi="宋体" w:cs="宋体"/>
          <w:color w:val="auto"/>
          <w:szCs w:val="21"/>
        </w:rPr>
        <w:t>10.3 乙方交付的货物不符合合同规定的，甲方有权拒收，乙方向甲方支付合同金额的 5%的违约金，此</w:t>
      </w:r>
    </w:p>
    <w:p>
      <w:pPr>
        <w:snapToGrid w:val="0"/>
        <w:spacing w:line="360" w:lineRule="auto"/>
        <w:rPr>
          <w:rFonts w:hint="eastAsia" w:ascii="宋体" w:hAnsi="宋体" w:cs="宋体"/>
          <w:color w:val="auto"/>
          <w:szCs w:val="21"/>
        </w:rPr>
      </w:pPr>
      <w:r>
        <w:rPr>
          <w:rFonts w:hint="eastAsia" w:ascii="宋体" w:hAnsi="宋体" w:cs="宋体"/>
          <w:color w:val="auto"/>
          <w:szCs w:val="21"/>
        </w:rPr>
        <w:t>部份金额从乙方履约保证金中扣除。</w:t>
      </w:r>
    </w:p>
    <w:p>
      <w:pPr>
        <w:snapToGrid w:val="0"/>
        <w:spacing w:line="360" w:lineRule="auto"/>
        <w:rPr>
          <w:rFonts w:hint="eastAsia" w:ascii="宋体" w:hAnsi="宋体" w:cs="宋体"/>
          <w:color w:val="auto"/>
          <w:szCs w:val="21"/>
        </w:rPr>
      </w:pPr>
      <w:r>
        <w:rPr>
          <w:rFonts w:hint="eastAsia" w:ascii="宋体" w:hAnsi="宋体" w:cs="宋体"/>
          <w:color w:val="auto"/>
          <w:szCs w:val="21"/>
        </w:rPr>
        <w:t>10.4 甲方无正当理由拒收货物的，甲方向乙方支付合同金额的 5%的违约金。</w:t>
      </w:r>
    </w:p>
    <w:p>
      <w:pPr>
        <w:snapToGrid w:val="0"/>
        <w:spacing w:line="360" w:lineRule="auto"/>
        <w:rPr>
          <w:rFonts w:hint="eastAsia" w:ascii="宋体" w:hAnsi="宋体" w:cs="宋体"/>
          <w:color w:val="auto"/>
          <w:szCs w:val="21"/>
        </w:rPr>
      </w:pPr>
      <w:r>
        <w:rPr>
          <w:rFonts w:hint="eastAsia" w:ascii="宋体" w:hAnsi="宋体" w:cs="宋体"/>
          <w:color w:val="auto"/>
          <w:szCs w:val="21"/>
        </w:rPr>
        <w:t>10.5 乙方交付货物的品质、性能、技术标准、质量要求轻微不符合合同约定的，甲方有权向乙方提出</w:t>
      </w:r>
    </w:p>
    <w:p>
      <w:pPr>
        <w:snapToGrid w:val="0"/>
        <w:spacing w:line="360" w:lineRule="auto"/>
        <w:rPr>
          <w:rFonts w:hint="eastAsia" w:ascii="宋体" w:hAnsi="宋体" w:cs="宋体"/>
          <w:color w:val="auto"/>
          <w:szCs w:val="21"/>
        </w:rPr>
      </w:pPr>
      <w:r>
        <w:rPr>
          <w:rFonts w:hint="eastAsia" w:ascii="宋体" w:hAnsi="宋体" w:cs="宋体"/>
          <w:color w:val="auto"/>
          <w:szCs w:val="21"/>
        </w:rPr>
        <w:t>更换货物及索赔，乙方应在甲方提出之日起 30 天内免费更换货物，此段时间属逾期交货，按本条</w:t>
      </w:r>
    </w:p>
    <w:p>
      <w:pPr>
        <w:snapToGrid w:val="0"/>
        <w:spacing w:line="360" w:lineRule="auto"/>
        <w:rPr>
          <w:rFonts w:hint="eastAsia" w:ascii="宋体" w:hAnsi="宋体" w:cs="宋体"/>
          <w:color w:val="auto"/>
          <w:szCs w:val="21"/>
        </w:rPr>
      </w:pPr>
      <w:r>
        <w:rPr>
          <w:rFonts w:hint="eastAsia" w:ascii="宋体" w:hAnsi="宋体" w:cs="宋体"/>
          <w:color w:val="auto"/>
          <w:szCs w:val="21"/>
        </w:rPr>
        <w:t>第 2 款处理。如经更换，货物质量仍不符合合同约定的，甲方有权终止合同，乙方应向甲方返还</w:t>
      </w:r>
    </w:p>
    <w:p>
      <w:pPr>
        <w:snapToGrid w:val="0"/>
        <w:spacing w:line="360" w:lineRule="auto"/>
        <w:rPr>
          <w:rFonts w:hint="eastAsia" w:ascii="宋体" w:hAnsi="宋体" w:cs="宋体"/>
          <w:color w:val="auto"/>
          <w:szCs w:val="21"/>
        </w:rPr>
      </w:pPr>
      <w:r>
        <w:rPr>
          <w:rFonts w:hint="eastAsia" w:ascii="宋体" w:hAnsi="宋体" w:cs="宋体"/>
          <w:color w:val="auto"/>
          <w:szCs w:val="21"/>
        </w:rPr>
        <w:t>已付款项，并按合同总价 5%向甲方支付违约金。</w:t>
      </w:r>
    </w:p>
    <w:p>
      <w:pPr>
        <w:snapToGrid w:val="0"/>
        <w:spacing w:line="360" w:lineRule="auto"/>
        <w:rPr>
          <w:rFonts w:hint="eastAsia" w:ascii="宋体" w:hAnsi="宋体" w:cs="宋体"/>
          <w:color w:val="auto"/>
          <w:szCs w:val="21"/>
        </w:rPr>
      </w:pPr>
      <w:r>
        <w:rPr>
          <w:rFonts w:hint="eastAsia" w:ascii="宋体" w:hAnsi="宋体" w:cs="宋体"/>
          <w:color w:val="auto"/>
          <w:szCs w:val="21"/>
        </w:rPr>
        <w:t>10.6 乙方保证本合同项下货物的权利无瑕疵，包括货物所有权及知识产权等权利无瑕疵。如任何第三</w:t>
      </w:r>
    </w:p>
    <w:p>
      <w:pPr>
        <w:snapToGrid w:val="0"/>
        <w:spacing w:line="360" w:lineRule="auto"/>
        <w:rPr>
          <w:rFonts w:hint="eastAsia" w:ascii="宋体" w:hAnsi="宋体" w:cs="宋体"/>
          <w:color w:val="auto"/>
          <w:szCs w:val="21"/>
        </w:rPr>
      </w:pPr>
      <w:r>
        <w:rPr>
          <w:rFonts w:hint="eastAsia" w:ascii="宋体" w:hAnsi="宋体" w:cs="宋体"/>
          <w:color w:val="auto"/>
          <w:szCs w:val="21"/>
        </w:rPr>
        <w:t>方经法院（或仲裁机构）裁决有权对上述货物主张权利或国家机关依法对货物进行没收查处的，</w:t>
      </w:r>
    </w:p>
    <w:p>
      <w:pPr>
        <w:snapToGrid w:val="0"/>
        <w:spacing w:line="360" w:lineRule="auto"/>
        <w:rPr>
          <w:rFonts w:hint="eastAsia" w:ascii="宋体" w:hAnsi="宋体" w:cs="宋体"/>
          <w:color w:val="auto"/>
          <w:szCs w:val="21"/>
        </w:rPr>
      </w:pPr>
      <w:r>
        <w:rPr>
          <w:rFonts w:hint="eastAsia" w:ascii="宋体" w:hAnsi="宋体" w:cs="宋体"/>
          <w:color w:val="auto"/>
          <w:szCs w:val="21"/>
        </w:rPr>
        <w:t>乙方除应向甲方返还已收款项外，还应按合同总价百分之五向甲方支付的违约金并赔偿因此给甲</w:t>
      </w:r>
    </w:p>
    <w:p>
      <w:pPr>
        <w:snapToGrid w:val="0"/>
        <w:spacing w:line="360" w:lineRule="auto"/>
        <w:rPr>
          <w:rFonts w:hint="eastAsia" w:ascii="宋体" w:hAnsi="宋体" w:cs="宋体"/>
          <w:color w:val="auto"/>
          <w:szCs w:val="21"/>
        </w:rPr>
      </w:pPr>
      <w:r>
        <w:rPr>
          <w:rFonts w:hint="eastAsia" w:ascii="宋体" w:hAnsi="宋体" w:cs="宋体"/>
          <w:color w:val="auto"/>
          <w:szCs w:val="21"/>
        </w:rPr>
        <w:t>方造成的一切损失。</w:t>
      </w:r>
    </w:p>
    <w:p>
      <w:pPr>
        <w:snapToGrid w:val="0"/>
        <w:spacing w:line="360" w:lineRule="auto"/>
        <w:rPr>
          <w:rFonts w:hint="eastAsia" w:ascii="宋体" w:hAnsi="宋体" w:cs="宋体"/>
          <w:color w:val="auto"/>
          <w:szCs w:val="21"/>
        </w:rPr>
      </w:pPr>
      <w:r>
        <w:rPr>
          <w:rFonts w:hint="eastAsia" w:ascii="宋体" w:hAnsi="宋体" w:cs="宋体"/>
          <w:color w:val="auto"/>
          <w:szCs w:val="21"/>
        </w:rPr>
        <w:t>11 ．履约保函：</w:t>
      </w:r>
    </w:p>
    <w:p>
      <w:pPr>
        <w:snapToGrid w:val="0"/>
        <w:spacing w:line="240" w:lineRule="auto"/>
        <w:rPr>
          <w:rFonts w:hint="eastAsia" w:ascii="宋体" w:hAnsi="宋体" w:cs="宋体"/>
          <w:color w:val="auto"/>
          <w:szCs w:val="21"/>
        </w:rPr>
      </w:pPr>
      <w:r>
        <w:rPr>
          <w:rFonts w:hint="eastAsia" w:ascii="宋体" w:hAnsi="宋体" w:cs="宋体"/>
          <w:color w:val="auto"/>
          <w:szCs w:val="21"/>
        </w:rPr>
        <w:t>11.1 乙方应在签订合同 5 日内，应向甲方提交以甲方为受益人的金额为合同总价 %即</w:t>
      </w:r>
    </w:p>
    <w:p>
      <w:pPr>
        <w:snapToGrid w:val="0"/>
        <w:spacing w:line="240" w:lineRule="auto"/>
        <w:rPr>
          <w:rFonts w:hint="eastAsia" w:ascii="宋体" w:hAnsi="宋体" w:cs="宋体"/>
          <w:color w:val="auto"/>
          <w:szCs w:val="21"/>
        </w:rPr>
      </w:pPr>
      <w:r>
        <w:rPr>
          <w:rFonts w:hint="eastAsia" w:ascii="宋体" w:hAnsi="宋体" w:cs="宋体"/>
          <w:color w:val="auto"/>
          <w:szCs w:val="21"/>
        </w:rPr>
        <w:t>￥ 元履约保函。</w:t>
      </w:r>
    </w:p>
    <w:p>
      <w:pPr>
        <w:snapToGrid w:val="0"/>
        <w:spacing w:line="240" w:lineRule="auto"/>
        <w:rPr>
          <w:rFonts w:hint="eastAsia" w:ascii="宋体" w:hAnsi="宋体" w:cs="宋体"/>
          <w:color w:val="auto"/>
          <w:szCs w:val="21"/>
        </w:rPr>
      </w:pPr>
      <w:r>
        <w:rPr>
          <w:rFonts w:hint="eastAsia" w:ascii="宋体" w:hAnsi="宋体" w:cs="宋体"/>
          <w:color w:val="auto"/>
          <w:szCs w:val="21"/>
        </w:rPr>
        <w:t>12 ．合同转让与分包</w:t>
      </w:r>
    </w:p>
    <w:p>
      <w:pPr>
        <w:snapToGrid w:val="0"/>
        <w:spacing w:line="240" w:lineRule="auto"/>
        <w:rPr>
          <w:rFonts w:hint="eastAsia" w:ascii="宋体" w:hAnsi="宋体" w:cs="宋体"/>
          <w:color w:val="auto"/>
          <w:szCs w:val="21"/>
        </w:rPr>
      </w:pPr>
      <w:r>
        <w:rPr>
          <w:rFonts w:hint="eastAsia" w:ascii="宋体" w:hAnsi="宋体" w:cs="宋体"/>
          <w:color w:val="auto"/>
          <w:szCs w:val="21"/>
        </w:rPr>
        <w:t>本合同乙方在任何情况下都不得转让其应履行的合同义务。</w:t>
      </w:r>
    </w:p>
    <w:p>
      <w:pPr>
        <w:snapToGrid w:val="0"/>
        <w:spacing w:line="240" w:lineRule="auto"/>
        <w:rPr>
          <w:rFonts w:hint="eastAsia" w:ascii="宋体" w:hAnsi="宋体" w:cs="宋体"/>
          <w:color w:val="auto"/>
          <w:szCs w:val="21"/>
        </w:rPr>
      </w:pPr>
      <w:r>
        <w:rPr>
          <w:rFonts w:hint="eastAsia" w:ascii="宋体" w:hAnsi="宋体" w:cs="宋体"/>
          <w:color w:val="auto"/>
          <w:szCs w:val="21"/>
        </w:rPr>
        <w:t>13 ．合同终止</w:t>
      </w:r>
    </w:p>
    <w:p>
      <w:pPr>
        <w:snapToGrid w:val="0"/>
        <w:spacing w:line="240" w:lineRule="auto"/>
        <w:rPr>
          <w:rFonts w:hint="eastAsia" w:ascii="宋体" w:hAnsi="宋体" w:cs="宋体"/>
          <w:color w:val="auto"/>
          <w:szCs w:val="21"/>
        </w:rPr>
      </w:pPr>
      <w:r>
        <w:rPr>
          <w:rFonts w:hint="eastAsia" w:ascii="宋体" w:hAnsi="宋体" w:cs="宋体"/>
          <w:color w:val="auto"/>
          <w:szCs w:val="21"/>
        </w:rPr>
        <w:t>如果一方严重违反合同，并在收到对方违约通知书后在 30 天内仍未能改正违约的，另一方可立即</w:t>
      </w:r>
    </w:p>
    <w:p>
      <w:pPr>
        <w:snapToGrid w:val="0"/>
        <w:spacing w:line="240" w:lineRule="auto"/>
        <w:rPr>
          <w:rFonts w:hint="eastAsia" w:ascii="宋体" w:hAnsi="宋体" w:cs="宋体"/>
          <w:color w:val="auto"/>
          <w:szCs w:val="21"/>
        </w:rPr>
      </w:pPr>
      <w:r>
        <w:rPr>
          <w:rFonts w:hint="eastAsia" w:ascii="宋体" w:hAnsi="宋体" w:cs="宋体"/>
          <w:color w:val="auto"/>
          <w:szCs w:val="21"/>
        </w:rPr>
        <w:t>终止本合同。</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14法律诉讼</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签约双方在履约中发生争执和分歧，双方应通过友好协商解决，若经协商不能达成协议时，则由合</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同签订地或甲方所在地人民法院提起诉讼。受理期间，双方应继续执行合同其余部分。</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 ．其它</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15.1 本合同正本五份，具有同等法律效力，甲方执两份、乙方执一份，财政部门一份，采购代理机构</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一份。合同自签字之日起即时生效。</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 下列文件是本合同的一部分，并与本合同一起阅读和解释</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15.2.1 乙方提交的投标函和报价一览表；</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15.2.2 资格声明函；</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15.2.3 中标通知书；</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15.2.4 其他相关投标文件。</w:t>
      </w:r>
    </w:p>
    <w:p>
      <w:pPr>
        <w:snapToGrid w:val="0"/>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15.3 本合同未尽事宜，由双方协商处理。</w:t>
      </w:r>
    </w:p>
    <w:p>
      <w:pPr>
        <w:pStyle w:val="5"/>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以下无正文。</w:t>
      </w:r>
    </w:p>
    <w:p>
      <w:pPr>
        <w:snapToGrid w:val="0"/>
        <w:spacing w:line="360" w:lineRule="auto"/>
        <w:rPr>
          <w:rFonts w:hint="eastAsia" w:ascii="宋体" w:hAnsi="宋体" w:eastAsia="宋体" w:cs="宋体"/>
          <w:b w:val="0"/>
          <w:bCs w:val="0"/>
          <w:color w:val="auto"/>
          <w:kern w:val="2"/>
          <w:sz w:val="21"/>
          <w:szCs w:val="21"/>
          <w:lang w:val="en-US" w:eastAsia="zh-CN" w:bidi="ar-SA"/>
        </w:rPr>
      </w:pPr>
    </w:p>
    <w:p>
      <w:pPr>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甲方（盖章）：                          乙方（盖章）：</w:t>
      </w:r>
    </w:p>
    <w:p>
      <w:pPr>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代表：                                  代表： </w:t>
      </w:r>
    </w:p>
    <w:p>
      <w:pPr>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签定地点：</w:t>
      </w:r>
    </w:p>
    <w:p>
      <w:pPr>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签定日期：        年     月    日       签定日期：        年     月     日    </w:t>
      </w:r>
    </w:p>
    <w:p>
      <w:pPr>
        <w:snapToGrid w:val="0"/>
        <w:spacing w:line="360" w:lineRule="auto"/>
        <w:ind w:firstLine="4200" w:firstLineChars="20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开户名称：</w:t>
      </w:r>
    </w:p>
    <w:p>
      <w:pPr>
        <w:snapToGrid w:val="0"/>
        <w:spacing w:line="360" w:lineRule="auto"/>
        <w:ind w:firstLine="4200" w:firstLineChars="20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银行账号：</w:t>
      </w:r>
    </w:p>
    <w:p>
      <w:pPr>
        <w:snapToGrid w:val="0"/>
        <w:spacing w:line="360" w:lineRule="auto"/>
        <w:ind w:firstLine="4200" w:firstLineChars="20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开 户 行：</w:t>
      </w:r>
    </w:p>
    <w:p>
      <w:pPr>
        <w:spacing w:beforeLines="50" w:afterLines="50" w:line="360" w:lineRule="auto"/>
        <w:jc w:val="center"/>
        <w:outlineLvl w:val="0"/>
        <w:rPr>
          <w:rFonts w:ascii="宋体" w:hAnsi="宋体"/>
          <w:b/>
          <w:bCs/>
          <w:color w:val="auto"/>
          <w:sz w:val="28"/>
          <w:szCs w:val="28"/>
        </w:rPr>
      </w:pPr>
      <w:r>
        <w:rPr>
          <w:rFonts w:ascii="宋体" w:hAnsi="宋体"/>
          <w:b/>
          <w:bCs/>
          <w:color w:val="auto"/>
          <w:sz w:val="28"/>
          <w:szCs w:val="28"/>
        </w:rPr>
        <w:br w:type="page"/>
      </w:r>
      <w:bookmarkStart w:id="13" w:name="_Toc13439"/>
      <w:r>
        <w:rPr>
          <w:rFonts w:hint="eastAsia" w:ascii="宋体" w:hAnsi="宋体"/>
          <w:b/>
          <w:bCs/>
          <w:color w:val="auto"/>
          <w:sz w:val="28"/>
          <w:szCs w:val="28"/>
        </w:rPr>
        <w:t>第六章  投标文件格式</w:t>
      </w:r>
      <w:bookmarkEnd w:id="13"/>
    </w:p>
    <w:p>
      <w:pPr>
        <w:autoSpaceDE w:val="0"/>
        <w:autoSpaceDN w:val="0"/>
        <w:adjustRightInd w:val="0"/>
        <w:snapToGrid w:val="0"/>
        <w:spacing w:line="360" w:lineRule="auto"/>
        <w:jc w:val="center"/>
        <w:outlineLvl w:val="1"/>
        <w:rPr>
          <w:rFonts w:ascii="宋体" w:hAnsi="宋体"/>
          <w:b/>
          <w:color w:val="auto"/>
          <w:sz w:val="28"/>
          <w:szCs w:val="28"/>
          <w:lang w:eastAsia="zh-TW"/>
        </w:rPr>
      </w:pPr>
      <w:r>
        <w:rPr>
          <w:rFonts w:hint="eastAsia" w:ascii="宋体" w:hAnsi="宋体"/>
          <w:b/>
          <w:color w:val="auto"/>
          <w:sz w:val="28"/>
          <w:szCs w:val="28"/>
          <w:lang w:eastAsia="zh-TW"/>
        </w:rPr>
        <w:t>投标文件包装封面参考</w:t>
      </w:r>
    </w:p>
    <w:tbl>
      <w:tblPr>
        <w:tblStyle w:val="22"/>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8"/>
              <w:spacing w:line="360" w:lineRule="auto"/>
              <w:rPr>
                <w:rFonts w:ascii="宋体" w:hAnsi="宋体"/>
                <w:b/>
                <w:color w:val="auto"/>
                <w:kern w:val="2"/>
                <w:sz w:val="32"/>
              </w:rPr>
            </w:pPr>
          </w:p>
          <w:p>
            <w:pPr>
              <w:pStyle w:val="8"/>
              <w:spacing w:line="360" w:lineRule="auto"/>
              <w:rPr>
                <w:rFonts w:ascii="宋体" w:hAnsi="宋体"/>
                <w:b/>
                <w:color w:val="auto"/>
                <w:kern w:val="2"/>
                <w:sz w:val="32"/>
              </w:rPr>
            </w:pPr>
          </w:p>
          <w:p>
            <w:pPr>
              <w:pStyle w:val="8"/>
              <w:spacing w:line="360" w:lineRule="auto"/>
              <w:jc w:val="center"/>
              <w:rPr>
                <w:rFonts w:ascii="宋体" w:hAnsi="宋体"/>
                <w:b/>
                <w:color w:val="auto"/>
                <w:kern w:val="2"/>
                <w:sz w:val="72"/>
                <w:szCs w:val="72"/>
              </w:rPr>
            </w:pPr>
            <w:r>
              <w:rPr>
                <w:rFonts w:hint="eastAsia" w:ascii="宋体" w:hAnsi="宋体"/>
                <w:b/>
                <w:color w:val="auto"/>
                <w:kern w:val="2"/>
                <w:sz w:val="72"/>
                <w:szCs w:val="72"/>
              </w:rPr>
              <w:t>投 标 文 件</w:t>
            </w:r>
          </w:p>
          <w:p>
            <w:pPr>
              <w:pStyle w:val="8"/>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开标信封</w:t>
            </w:r>
          </w:p>
          <w:p>
            <w:pPr>
              <w:pStyle w:val="8"/>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正本</w:t>
            </w:r>
          </w:p>
          <w:p>
            <w:pPr>
              <w:pStyle w:val="8"/>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副本</w:t>
            </w:r>
          </w:p>
          <w:p>
            <w:pPr>
              <w:pStyle w:val="8"/>
              <w:spacing w:line="360" w:lineRule="auto"/>
              <w:rPr>
                <w:rFonts w:ascii="宋体" w:hAnsi="宋体"/>
                <w:b/>
                <w:color w:val="auto"/>
                <w:kern w:val="2"/>
                <w:sz w:val="32"/>
              </w:rPr>
            </w:pPr>
          </w:p>
          <w:p>
            <w:pPr>
              <w:pStyle w:val="8"/>
              <w:spacing w:line="360" w:lineRule="auto"/>
              <w:rPr>
                <w:rFonts w:ascii="宋体" w:hAnsi="宋体"/>
                <w:b/>
                <w:color w:val="auto"/>
                <w:kern w:val="2"/>
                <w:sz w:val="32"/>
              </w:rPr>
            </w:pPr>
          </w:p>
          <w:p>
            <w:pPr>
              <w:pStyle w:val="8"/>
              <w:spacing w:line="400" w:lineRule="exact"/>
              <w:ind w:firstLine="900" w:firstLineChars="32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项目编号：</w:t>
            </w:r>
            <w:r>
              <w:rPr>
                <w:rFonts w:hint="eastAsia" w:ascii="宋体" w:hAnsi="宋体"/>
                <w:b/>
                <w:color w:val="auto"/>
                <w:kern w:val="2"/>
                <w:sz w:val="28"/>
                <w:szCs w:val="28"/>
                <w:lang w:eastAsia="zh-CN"/>
              </w:rPr>
              <w:t>GZBC20HG12010</w:t>
            </w:r>
          </w:p>
          <w:p>
            <w:pPr>
              <w:pStyle w:val="8"/>
              <w:spacing w:line="400" w:lineRule="exact"/>
              <w:ind w:left="2287" w:leftChars="420" w:hanging="1405" w:hangingChars="50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项目名称：</w:t>
            </w:r>
            <w:r>
              <w:rPr>
                <w:rFonts w:hint="eastAsia" w:ascii="宋体" w:hAnsi="宋体"/>
                <w:b/>
                <w:color w:val="auto"/>
                <w:kern w:val="2"/>
                <w:sz w:val="28"/>
                <w:szCs w:val="28"/>
                <w:lang w:eastAsia="zh-CN"/>
              </w:rPr>
              <w:t>2021年市桥街环卫车辆易损件采购项目</w:t>
            </w:r>
          </w:p>
          <w:p>
            <w:pPr>
              <w:pStyle w:val="8"/>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投标人名称：</w:t>
            </w:r>
          </w:p>
          <w:p>
            <w:pPr>
              <w:pStyle w:val="8"/>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投标人地址：</w:t>
            </w:r>
          </w:p>
          <w:p>
            <w:pPr>
              <w:pStyle w:val="8"/>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递交地址：</w:t>
            </w:r>
          </w:p>
          <w:p>
            <w:pPr>
              <w:pStyle w:val="8"/>
              <w:spacing w:line="400" w:lineRule="exact"/>
              <w:ind w:firstLine="900" w:firstLineChars="320"/>
              <w:rPr>
                <w:rFonts w:ascii="宋体" w:hAnsi="宋体"/>
                <w:b/>
                <w:color w:val="auto"/>
                <w:kern w:val="2"/>
                <w:sz w:val="28"/>
                <w:szCs w:val="28"/>
              </w:rPr>
            </w:pPr>
            <w:r>
              <w:rPr>
                <w:rFonts w:ascii="宋体" w:hAnsi="宋体"/>
                <w:b/>
                <w:color w:val="auto"/>
                <w:kern w:val="2"/>
                <w:sz w:val="28"/>
                <w:szCs w:val="28"/>
              </w:rPr>
              <w:t>(</w:t>
            </w:r>
            <w:r>
              <w:rPr>
                <w:rFonts w:ascii="宋体" w:hAnsi="宋体"/>
                <w:b/>
                <w:color w:val="auto"/>
                <w:kern w:val="2"/>
                <w:sz w:val="28"/>
                <w:szCs w:val="28"/>
                <w:u w:val="single"/>
              </w:rPr>
              <w:t xml:space="preserve">    </w:t>
            </w:r>
            <w:r>
              <w:rPr>
                <w:rFonts w:hint="eastAsia" w:ascii="宋体" w:hAnsi="宋体"/>
                <w:b/>
                <w:color w:val="auto"/>
                <w:kern w:val="2"/>
                <w:sz w:val="28"/>
                <w:szCs w:val="28"/>
              </w:rPr>
              <w:t>年</w:t>
            </w:r>
            <w:r>
              <w:rPr>
                <w:rFonts w:ascii="宋体" w:hAnsi="宋体"/>
                <w:b/>
                <w:color w:val="auto"/>
                <w:kern w:val="2"/>
                <w:sz w:val="28"/>
                <w:szCs w:val="28"/>
                <w:u w:val="single"/>
              </w:rPr>
              <w:t xml:space="preserve">    </w:t>
            </w:r>
            <w:r>
              <w:rPr>
                <w:rFonts w:hint="eastAsia" w:ascii="宋体" w:hAnsi="宋体"/>
                <w:b/>
                <w:color w:val="auto"/>
                <w:kern w:val="2"/>
                <w:sz w:val="28"/>
                <w:szCs w:val="28"/>
              </w:rPr>
              <w:t>月</w:t>
            </w:r>
            <w:r>
              <w:rPr>
                <w:rFonts w:ascii="宋体" w:hAnsi="宋体"/>
                <w:b/>
                <w:color w:val="auto"/>
                <w:kern w:val="2"/>
                <w:sz w:val="28"/>
                <w:szCs w:val="28"/>
                <w:u w:val="single"/>
              </w:rPr>
              <w:t xml:space="preserve">    </w:t>
            </w:r>
            <w:r>
              <w:rPr>
                <w:rFonts w:hint="eastAsia" w:ascii="宋体" w:hAnsi="宋体"/>
                <w:b/>
                <w:color w:val="auto"/>
                <w:kern w:val="2"/>
                <w:sz w:val="28"/>
                <w:szCs w:val="28"/>
              </w:rPr>
              <w:t>日</w:t>
            </w:r>
            <w:r>
              <w:rPr>
                <w:rFonts w:ascii="宋体" w:hAnsi="宋体"/>
                <w:b/>
                <w:color w:val="auto"/>
                <w:kern w:val="2"/>
                <w:sz w:val="28"/>
                <w:szCs w:val="28"/>
                <w:u w:val="single"/>
              </w:rPr>
              <w:t xml:space="preserve">    </w:t>
            </w:r>
            <w:r>
              <w:rPr>
                <w:rFonts w:hint="eastAsia" w:ascii="宋体" w:hAnsi="宋体"/>
                <w:b/>
                <w:color w:val="auto"/>
                <w:kern w:val="2"/>
                <w:sz w:val="28"/>
                <w:szCs w:val="28"/>
              </w:rPr>
              <w:t>时</w:t>
            </w:r>
            <w:r>
              <w:rPr>
                <w:rFonts w:ascii="宋体" w:hAnsi="宋体"/>
                <w:b/>
                <w:color w:val="auto"/>
                <w:kern w:val="2"/>
                <w:sz w:val="28"/>
                <w:szCs w:val="28"/>
                <w:u w:val="single"/>
              </w:rPr>
              <w:t xml:space="preserve">    </w:t>
            </w:r>
            <w:r>
              <w:rPr>
                <w:rFonts w:hint="eastAsia" w:ascii="宋体" w:hAnsi="宋体"/>
                <w:b/>
                <w:color w:val="auto"/>
                <w:kern w:val="2"/>
                <w:sz w:val="28"/>
                <w:szCs w:val="28"/>
              </w:rPr>
              <w:t>分</w:t>
            </w:r>
            <w:r>
              <w:rPr>
                <w:rFonts w:ascii="宋体" w:hAnsi="宋体"/>
                <w:b/>
                <w:color w:val="auto"/>
                <w:kern w:val="2"/>
                <w:sz w:val="28"/>
                <w:szCs w:val="28"/>
              </w:rPr>
              <w:t>)</w:t>
            </w:r>
            <w:r>
              <w:rPr>
                <w:rFonts w:hint="eastAsia" w:ascii="宋体" w:hAnsi="宋体"/>
                <w:b/>
                <w:color w:val="auto"/>
                <w:kern w:val="2"/>
                <w:sz w:val="28"/>
                <w:szCs w:val="28"/>
              </w:rPr>
              <w:t>之前不得启封</w:t>
            </w:r>
          </w:p>
          <w:p>
            <w:pPr>
              <w:pStyle w:val="8"/>
              <w:spacing w:line="400" w:lineRule="exact"/>
              <w:ind w:firstLine="900" w:firstLineChars="320"/>
              <w:rPr>
                <w:rFonts w:ascii="宋体" w:hAnsi="宋体"/>
                <w:b/>
                <w:color w:val="auto"/>
                <w:kern w:val="2"/>
                <w:sz w:val="28"/>
                <w:szCs w:val="28"/>
              </w:rPr>
            </w:pPr>
          </w:p>
          <w:p>
            <w:pPr>
              <w:pStyle w:val="8"/>
              <w:spacing w:line="400" w:lineRule="exact"/>
              <w:ind w:firstLine="900" w:firstLineChars="320"/>
              <w:rPr>
                <w:rFonts w:ascii="宋体" w:hAnsi="宋体"/>
                <w:b/>
                <w:color w:val="auto"/>
                <w:kern w:val="2"/>
                <w:sz w:val="28"/>
                <w:szCs w:val="28"/>
              </w:rPr>
            </w:pPr>
          </w:p>
          <w:p>
            <w:pPr>
              <w:pStyle w:val="8"/>
              <w:spacing w:line="400" w:lineRule="exact"/>
              <w:rPr>
                <w:rFonts w:ascii="宋体" w:hAnsi="宋体"/>
                <w:b/>
                <w:color w:val="auto"/>
                <w:kern w:val="2"/>
                <w:sz w:val="28"/>
                <w:szCs w:val="28"/>
              </w:rPr>
            </w:pPr>
          </w:p>
        </w:tc>
      </w:tr>
    </w:tbl>
    <w:p>
      <w:pPr>
        <w:rPr>
          <w:color w:val="auto"/>
          <w:szCs w:val="21"/>
        </w:rPr>
      </w:pPr>
      <w:r>
        <w:rPr>
          <w:rFonts w:hint="eastAsia"/>
          <w:color w:val="auto"/>
          <w:szCs w:val="21"/>
        </w:rPr>
        <w:br w:type="page"/>
      </w:r>
    </w:p>
    <w:p>
      <w:pPr>
        <w:jc w:val="center"/>
        <w:rPr>
          <w:rFonts w:ascii="宋体" w:hAnsi="宋体"/>
          <w:color w:val="auto"/>
          <w:sz w:val="24"/>
        </w:rPr>
      </w:pPr>
      <w:r>
        <w:rPr>
          <w:rFonts w:hint="eastAsia" w:ascii="宋体" w:hAnsi="宋体"/>
          <w:color w:val="auto"/>
          <w:sz w:val="24"/>
        </w:rPr>
        <w:t>投标文件目录表</w:t>
      </w:r>
    </w:p>
    <w:p>
      <w:pPr>
        <w:jc w:val="center"/>
        <w:rPr>
          <w:rFonts w:ascii="宋体" w:hAnsi="宋体"/>
          <w:color w:val="auto"/>
          <w:sz w:val="24"/>
        </w:rPr>
      </w:pPr>
    </w:p>
    <w:p>
      <w:pPr>
        <w:ind w:left="210" w:leftChars="100"/>
        <w:rPr>
          <w:rFonts w:ascii="宋体" w:hAnsi="宋体"/>
          <w:b/>
          <w:color w:val="auto"/>
        </w:rPr>
      </w:pPr>
      <w:r>
        <w:rPr>
          <w:rFonts w:hint="eastAsia" w:ascii="宋体" w:hAnsi="宋体"/>
          <w:b/>
          <w:color w:val="auto"/>
        </w:rPr>
        <w:t>说明：投标文件包括但不限于以下组成内容，请按顺序制作。</w:t>
      </w:r>
    </w:p>
    <w:p>
      <w:pPr>
        <w:ind w:firstLine="210" w:firstLineChars="100"/>
        <w:rPr>
          <w:rFonts w:ascii="宋体" w:hAnsi="宋体"/>
          <w:color w:val="auto"/>
        </w:rPr>
      </w:pPr>
      <w:r>
        <w:rPr>
          <w:rFonts w:hint="eastAsia" w:ascii="宋体" w:hAnsi="宋体"/>
          <w:color w:val="auto"/>
        </w:rPr>
        <w:t>项目名称：</w:t>
      </w:r>
      <w:r>
        <w:rPr>
          <w:rFonts w:hint="eastAsia" w:ascii="宋体" w:hAnsi="宋体"/>
          <w:color w:val="auto"/>
          <w:lang w:eastAsia="zh-CN"/>
        </w:rPr>
        <w:t>2021年市桥街环卫车辆易损件采购项目</w:t>
      </w:r>
      <w:r>
        <w:rPr>
          <w:rFonts w:hint="eastAsia" w:ascii="宋体" w:hAnsi="宋体"/>
          <w:color w:val="auto"/>
        </w:rPr>
        <w:t xml:space="preserve">    项目编号：</w:t>
      </w:r>
      <w:r>
        <w:rPr>
          <w:rFonts w:hint="eastAsia" w:ascii="宋体" w:hAnsi="宋体"/>
          <w:color w:val="auto"/>
          <w:lang w:eastAsia="zh-CN"/>
        </w:rPr>
        <w:t>GZBC20HG12010</w:t>
      </w:r>
      <w:r>
        <w:rPr>
          <w:rFonts w:hint="eastAsia" w:ascii="宋体" w:hAnsi="宋体"/>
          <w:color w:val="auto"/>
        </w:rPr>
        <w:t xml:space="preserve"> </w:t>
      </w:r>
    </w:p>
    <w:p>
      <w:pPr>
        <w:jc w:val="center"/>
        <w:rPr>
          <w:rFonts w:ascii="宋体" w:hAnsi="宋体"/>
          <w:b/>
          <w:color w:val="auto"/>
          <w:sz w:val="24"/>
        </w:rPr>
      </w:pPr>
      <w:r>
        <w:rPr>
          <w:rFonts w:hint="eastAsia" w:ascii="宋体" w:hAnsi="宋体"/>
          <w:b/>
          <w:color w:val="auto"/>
          <w:sz w:val="24"/>
        </w:rPr>
        <w:t xml:space="preserve">自 查 表 </w:t>
      </w:r>
    </w:p>
    <w:p>
      <w:pPr>
        <w:jc w:val="center"/>
        <w:rPr>
          <w:rFonts w:ascii="宋体" w:hAnsi="宋体"/>
          <w:b/>
          <w:color w:val="auto"/>
          <w:sz w:val="24"/>
        </w:rPr>
      </w:pPr>
      <w:r>
        <w:rPr>
          <w:rFonts w:hint="eastAsia" w:ascii="宋体" w:hAnsi="宋体"/>
          <w:b/>
          <w:color w:val="auto"/>
          <w:sz w:val="24"/>
        </w:rPr>
        <w:t>资格性/符合性自查表</w:t>
      </w:r>
    </w:p>
    <w:tbl>
      <w:tblPr>
        <w:tblStyle w:val="22"/>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8"/>
                <w:rFonts w:hint="eastAsia" w:ascii="宋体" w:hAnsi="宋体"/>
                <w:color w:val="auto"/>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8"/>
                <w:rFonts w:hint="eastAsia" w:ascii="宋体" w:hAnsi="宋体"/>
                <w:color w:val="auto"/>
                <w:szCs w:val="21"/>
              </w:rPr>
              <w:t>招标文件要求</w:t>
            </w:r>
            <w:r>
              <w:rPr>
                <w:rFonts w:hint="eastAsia" w:ascii="宋体" w:hAnsi="宋体"/>
                <w:color w:val="auto"/>
                <w:szCs w:val="21"/>
              </w:rPr>
              <w:br w:type="textWrapping"/>
            </w:r>
            <w:r>
              <w:rPr>
                <w:rFonts w:hint="eastAsia" w:ascii="宋体" w:hAnsi="宋体"/>
                <w:color w:val="auto"/>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color w:val="auto"/>
                <w:szCs w:val="21"/>
              </w:rPr>
            </w:pPr>
            <w:r>
              <w:rPr>
                <w:rStyle w:val="18"/>
                <w:rFonts w:hint="eastAsia" w:ascii="宋体" w:hAnsi="宋体"/>
                <w:color w:val="auto"/>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Style w:val="18"/>
                <w:rFonts w:hint="eastAsia" w:ascii="宋体" w:hAnsi="宋体"/>
                <w:color w:val="auto"/>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7"/>
              <w:adjustRightInd w:val="0"/>
              <w:snapToGrid w:val="0"/>
              <w:spacing w:before="0" w:beforeAutospacing="0" w:after="0" w:afterAutospacing="0"/>
              <w:jc w:val="center"/>
              <w:rPr>
                <w:b/>
                <w:color w:val="auto"/>
                <w:sz w:val="21"/>
                <w:szCs w:val="21"/>
              </w:rPr>
            </w:pPr>
            <w:r>
              <w:rPr>
                <w:rFonts w:hint="eastAsia"/>
                <w:b/>
                <w:color w:val="auto"/>
                <w:sz w:val="21"/>
                <w:szCs w:val="21"/>
              </w:rPr>
              <w:t>初步审查</w:t>
            </w:r>
          </w:p>
          <w:p>
            <w:pPr>
              <w:pStyle w:val="27"/>
              <w:adjustRightInd w:val="0"/>
              <w:snapToGrid w:val="0"/>
              <w:spacing w:before="0" w:beforeAutospacing="0" w:after="0" w:afterAutospacing="0"/>
              <w:jc w:val="both"/>
              <w:rPr>
                <w:b/>
                <w:bCs/>
                <w:color w:val="auto"/>
                <w:sz w:val="21"/>
                <w:szCs w:val="21"/>
              </w:rPr>
            </w:pPr>
          </w:p>
          <w:p>
            <w:pPr>
              <w:pStyle w:val="27"/>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b/>
                <w:color w:val="auto"/>
                <w:kern w:val="0"/>
                <w:szCs w:val="21"/>
              </w:rPr>
              <w:t>1.</w:t>
            </w:r>
            <w:r>
              <w:rPr>
                <w:rFonts w:hint="eastAsia" w:ascii="宋体" w:hAnsi="宋体"/>
                <w:bCs/>
                <w:color w:val="auto"/>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2.</w:t>
            </w:r>
            <w:r>
              <w:rPr>
                <w:rFonts w:hint="eastAsia" w:ascii="宋体" w:hAnsi="宋体"/>
                <w:bCs/>
                <w:color w:val="auto"/>
                <w:szCs w:val="21"/>
                <w:lang w:eastAsia="zh-CN"/>
              </w:rPr>
              <w:t>2019年财务状况报告复印件</w:t>
            </w:r>
            <w:r>
              <w:rPr>
                <w:rFonts w:hint="eastAsia" w:ascii="宋体" w:hAnsi="宋体"/>
                <w:bCs/>
                <w:color w:val="auto"/>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3.</w:t>
            </w:r>
            <w:r>
              <w:rPr>
                <w:rFonts w:hint="eastAsia" w:ascii="宋体" w:hAnsi="宋体"/>
                <w:bCs/>
                <w:color w:val="auto"/>
                <w:szCs w:val="20"/>
                <w:lang w:eastAsia="zh-CN"/>
              </w:rPr>
              <w:t>2020年开具的缴纳税收的凭据证明材料复印件</w:t>
            </w:r>
            <w:r>
              <w:rPr>
                <w:rFonts w:hint="eastAsia" w:ascii="宋体" w:hAnsi="宋体"/>
                <w:bCs/>
                <w:color w:val="auto"/>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4.</w:t>
            </w:r>
            <w:r>
              <w:rPr>
                <w:rFonts w:hint="eastAsia" w:ascii="宋体" w:hAnsi="宋体"/>
                <w:bCs/>
                <w:color w:val="auto"/>
                <w:szCs w:val="20"/>
                <w:lang w:eastAsia="zh-CN"/>
              </w:rPr>
              <w:t>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5.</w:t>
            </w:r>
            <w:r>
              <w:rPr>
                <w:rFonts w:hint="eastAsia" w:ascii="宋体" w:hAnsi="宋体"/>
                <w:bCs/>
                <w:color w:val="auto"/>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Theme="minorEastAsia" w:hAnsiTheme="minorEastAsia" w:eastAsiaTheme="minorEastAsia" w:cstheme="minorEastAsia"/>
                <w:b/>
                <w:color w:val="auto"/>
                <w:szCs w:val="21"/>
              </w:rPr>
              <w:t>6.</w:t>
            </w:r>
            <w:r>
              <w:rPr>
                <w:rFonts w:hint="eastAsia" w:asciiTheme="minorEastAsia" w:hAnsiTheme="minorEastAsia" w:eastAsiaTheme="minorEastAsia" w:cstheme="minorEastAsia"/>
                <w:bCs/>
                <w:color w:val="auto"/>
                <w:szCs w:val="21"/>
              </w:rPr>
              <w:t>法定代表人</w:t>
            </w:r>
            <w:r>
              <w:rPr>
                <w:rFonts w:hint="eastAsia"/>
                <w:bCs/>
                <w:color w:val="auto"/>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hAnsi="宋体" w:cs="宋体"/>
                <w:color w:val="auto"/>
                <w:szCs w:val="21"/>
              </w:rPr>
            </w:pPr>
            <w:r>
              <w:rPr>
                <w:rFonts w:hint="eastAsia" w:ascii="宋体" w:hAnsi="宋体" w:cs="宋体"/>
                <w:b/>
                <w:bCs/>
                <w:color w:val="auto"/>
                <w:szCs w:val="21"/>
              </w:rPr>
              <w:t>7.</w:t>
            </w:r>
            <w:r>
              <w:rPr>
                <w:rFonts w:hint="eastAsia" w:ascii="宋体" w:hAnsi="宋体" w:cs="宋体"/>
                <w:color w:val="auto"/>
                <w:szCs w:val="21"/>
              </w:rPr>
              <w:t>投标函</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40"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宋体" w:hAnsi="宋体" w:cs="宋体"/>
                <w:b/>
                <w:bCs/>
                <w:color w:val="auto"/>
                <w:szCs w:val="21"/>
              </w:rPr>
              <w:t>8.</w:t>
            </w:r>
            <w:r>
              <w:rPr>
                <w:rFonts w:hint="eastAsia" w:ascii="宋体" w:hAnsi="宋体" w:cs="宋体"/>
                <w:color w:val="auto"/>
                <w:szCs w:val="21"/>
              </w:rPr>
              <w:t>投标人资格声明函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bl>
    <w:p>
      <w:pPr>
        <w:rPr>
          <w:rFonts w:ascii="宋体" w:hAnsi="宋体"/>
          <w:b/>
          <w:color w:val="auto"/>
          <w:szCs w:val="21"/>
        </w:rPr>
      </w:pPr>
      <w:r>
        <w:rPr>
          <w:rFonts w:hint="eastAsia" w:ascii="宋体" w:hAnsi="宋体"/>
          <w:b/>
          <w:color w:val="auto"/>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color w:val="auto"/>
          <w:szCs w:val="21"/>
        </w:rPr>
      </w:pPr>
      <w:r>
        <w:rPr>
          <w:rFonts w:hint="eastAsia" w:ascii="宋体" w:hAnsi="宋体"/>
          <w:b/>
          <w:color w:val="auto"/>
          <w:szCs w:val="21"/>
        </w:rPr>
        <w:br w:type="page"/>
      </w:r>
    </w:p>
    <w:p>
      <w:pPr>
        <w:adjustRightInd w:val="0"/>
        <w:snapToGrid w:val="0"/>
        <w:rPr>
          <w:rFonts w:ascii="宋体" w:hAnsi="宋体"/>
          <w:b/>
          <w:color w:val="auto"/>
          <w:szCs w:val="21"/>
        </w:rPr>
      </w:pPr>
      <w:r>
        <w:rPr>
          <w:rFonts w:hint="eastAsia" w:ascii="宋体" w:hAnsi="宋体"/>
          <w:b/>
          <w:color w:val="auto"/>
          <w:szCs w:val="21"/>
        </w:rPr>
        <w:t>说明：投标供应商应根据《商务、技术评审表》的各项内容填写此表。</w:t>
      </w:r>
    </w:p>
    <w:p>
      <w:pPr>
        <w:adjustRightInd w:val="0"/>
        <w:snapToGrid w:val="0"/>
        <w:jc w:val="center"/>
        <w:rPr>
          <w:rFonts w:ascii="宋体" w:hAnsi="宋体"/>
          <w:b/>
          <w:color w:val="auto"/>
          <w:szCs w:val="21"/>
        </w:rPr>
      </w:pPr>
      <w:r>
        <w:rPr>
          <w:rFonts w:hint="eastAsia" w:ascii="宋体" w:hAnsi="宋体"/>
          <w:b/>
          <w:color w:val="auto"/>
          <w:szCs w:val="21"/>
        </w:rPr>
        <w:t>价格评审自查表</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color w:val="auto"/>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olor w:val="auto"/>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28"/>
              </w:numPr>
              <w:adjustRightInd w:val="0"/>
              <w:snapToGrid w:val="0"/>
              <w:rPr>
                <w:rFonts w:ascii="宋体" w:hAnsi="宋体"/>
                <w:color w:val="auto"/>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color w:val="auto"/>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color w:val="auto"/>
              </w:rPr>
            </w:pPr>
            <w:r>
              <w:rPr>
                <w:rFonts w:hint="eastAsia" w:ascii="宋体" w:hAnsi="宋体" w:cs="Courier New"/>
                <w:color w:val="auto"/>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hint="eastAsia" w:ascii="宋体" w:hAnsi="宋体" w:eastAsia="宋体"/>
          <w:b/>
          <w:color w:val="auto"/>
          <w:szCs w:val="21"/>
          <w:lang w:eastAsia="zh-CN"/>
        </w:rPr>
      </w:pPr>
      <w:r>
        <w:rPr>
          <w:rFonts w:hint="eastAsia" w:ascii="宋体" w:hAnsi="宋体"/>
          <w:b/>
          <w:color w:val="auto"/>
          <w:szCs w:val="21"/>
        </w:rPr>
        <w:t>技术评审自查表</w:t>
      </w:r>
      <w:r>
        <w:rPr>
          <w:rFonts w:hint="eastAsia" w:ascii="宋体" w:hAnsi="宋体"/>
          <w:b/>
          <w:color w:val="auto"/>
          <w:szCs w:val="21"/>
          <w:lang w:eastAsia="zh-CN"/>
        </w:rPr>
        <w:t>（包一）</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bCs/>
                <w:color w:val="auto"/>
                <w:szCs w:val="21"/>
              </w:rPr>
            </w:pPr>
            <w:r>
              <w:rPr>
                <w:rFonts w:hint="eastAsia" w:ascii="宋体" w:hAnsi="宋体" w:eastAsia="宋体" w:cs="宋体"/>
                <w:color w:val="auto"/>
                <w:sz w:val="21"/>
                <w:szCs w:val="21"/>
                <w:highlight w:val="none"/>
              </w:rPr>
              <w:t>技术条款响应</w:t>
            </w:r>
            <w:r>
              <w:rPr>
                <w:rFonts w:hint="eastAsia" w:ascii="宋体" w:hAnsi="宋体" w:eastAsia="宋体" w:cs="宋体"/>
                <w:color w:val="auto"/>
                <w:sz w:val="21"/>
                <w:szCs w:val="21"/>
                <w:highlight w:val="none"/>
                <w:lang w:eastAsia="zh-CN"/>
              </w:rPr>
              <w:t>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eastAsia="宋体" w:cs="宋体"/>
                <w:color w:val="auto"/>
                <w:sz w:val="21"/>
                <w:szCs w:val="21"/>
                <w:highlight w:val="none"/>
              </w:rPr>
              <w:t>实施方案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eastAsia="宋体" w:cs="宋体"/>
                <w:color w:val="auto"/>
                <w:sz w:val="21"/>
                <w:szCs w:val="21"/>
                <w:highlight w:val="none"/>
              </w:rPr>
              <w:t>货物配送能力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9"/>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eastAsia="宋体" w:cs="宋体"/>
                <w:color w:val="auto"/>
                <w:sz w:val="21"/>
                <w:szCs w:val="21"/>
                <w:highlight w:val="none"/>
              </w:rPr>
              <w:t>售后服务方案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r>
        <w:rPr>
          <w:rFonts w:hint="eastAsia" w:ascii="宋体" w:hAnsi="宋体"/>
          <w:b/>
          <w:color w:val="auto"/>
          <w:szCs w:val="21"/>
          <w:lang w:eastAsia="zh-CN"/>
        </w:rPr>
        <w:t>（包一）</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bCs/>
                <w:color w:val="auto"/>
                <w:szCs w:val="21"/>
              </w:rPr>
            </w:pPr>
            <w:r>
              <w:rPr>
                <w:rFonts w:hint="eastAsia" w:ascii="宋体" w:hAnsi="宋体"/>
                <w:color w:val="auto"/>
                <w:sz w:val="21"/>
                <w:szCs w:val="21"/>
                <w:highlight w:val="none"/>
              </w:rPr>
              <w:t>商务条款响应</w:t>
            </w:r>
            <w:r>
              <w:rPr>
                <w:rFonts w:hint="eastAsia" w:ascii="宋体" w:hAnsi="宋体"/>
                <w:color w:val="auto"/>
                <w:sz w:val="21"/>
                <w:szCs w:val="21"/>
                <w:highlight w:val="none"/>
                <w:lang w:eastAsia="zh-CN"/>
              </w:rPr>
              <w:t>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olor w:val="auto"/>
                <w:sz w:val="21"/>
                <w:szCs w:val="21"/>
                <w:highlight w:val="none"/>
              </w:rPr>
              <w:t>同类项目业绩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0"/>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bCs/>
                <w:color w:val="auto"/>
                <w:szCs w:val="21"/>
              </w:rPr>
            </w:pPr>
            <w:r>
              <w:rPr>
                <w:rFonts w:hint="eastAsia" w:ascii="宋体" w:hAnsi="宋体"/>
                <w:color w:val="auto"/>
                <w:sz w:val="21"/>
                <w:szCs w:val="21"/>
                <w:highlight w:val="none"/>
              </w:rPr>
              <w:t>投标人</w:t>
            </w:r>
            <w:r>
              <w:rPr>
                <w:rFonts w:hint="eastAsia" w:ascii="宋体" w:hAnsi="宋体"/>
                <w:color w:val="auto"/>
                <w:sz w:val="21"/>
                <w:szCs w:val="21"/>
                <w:highlight w:val="none"/>
                <w:lang w:eastAsia="zh-CN"/>
              </w:rPr>
              <w:t>荣誉、</w:t>
            </w:r>
            <w:r>
              <w:rPr>
                <w:rFonts w:hint="eastAsia" w:ascii="宋体" w:hAnsi="宋体"/>
                <w:color w:val="auto"/>
                <w:sz w:val="21"/>
                <w:szCs w:val="21"/>
                <w:highlight w:val="none"/>
              </w:rPr>
              <w:t>信誉</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bCs/>
                <w:color w:val="auto"/>
                <w:szCs w:val="21"/>
              </w:rPr>
            </w:pPr>
            <w:r>
              <w:rPr>
                <w:rFonts w:hint="eastAsia" w:ascii="宋体" w:hAnsi="宋体"/>
                <w:color w:val="auto"/>
                <w:sz w:val="21"/>
                <w:szCs w:val="21"/>
                <w:highlight w:val="none"/>
              </w:rPr>
              <w:t>管理体系认证</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olor w:val="auto"/>
                <w:sz w:val="21"/>
                <w:szCs w:val="21"/>
                <w:lang w:eastAsia="zh-CN"/>
              </w:rPr>
              <w:t>服务便捷性</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hint="eastAsia" w:ascii="宋体" w:hAnsi="宋体"/>
          <w:b/>
          <w:color w:val="auto"/>
          <w:szCs w:val="21"/>
        </w:rPr>
      </w:pPr>
    </w:p>
    <w:p>
      <w:pPr>
        <w:adjustRightInd w:val="0"/>
        <w:snapToGrid w:val="0"/>
        <w:jc w:val="center"/>
        <w:rPr>
          <w:rFonts w:hint="eastAsia"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技术评审自查表</w:t>
      </w:r>
      <w:r>
        <w:rPr>
          <w:rFonts w:hint="eastAsia" w:ascii="宋体" w:hAnsi="宋体"/>
          <w:b/>
          <w:color w:val="auto"/>
          <w:szCs w:val="21"/>
          <w:lang w:eastAsia="zh-CN"/>
        </w:rPr>
        <w:t>（包二）</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bCs/>
                <w:color w:val="auto"/>
                <w:szCs w:val="21"/>
              </w:rPr>
            </w:pPr>
            <w:r>
              <w:rPr>
                <w:rFonts w:hint="eastAsia" w:ascii="宋体" w:hAnsi="宋体" w:cs="宋体"/>
                <w:color w:val="auto"/>
                <w:sz w:val="24"/>
              </w:rPr>
              <w:t>货物技术参数响应情况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投标人本项目配备专业技术人员情况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投标主要货物情况（各类汽车配件）</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质量保证承诺声明</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 w:val="24"/>
              </w:rPr>
              <w:t>应急响应方案、配送计划、安全保证措施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 w:val="24"/>
              </w:rPr>
              <w:t>售后服务点</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r>
        <w:rPr>
          <w:rFonts w:hint="eastAsia" w:ascii="宋体" w:hAnsi="宋体"/>
          <w:b/>
          <w:color w:val="auto"/>
          <w:szCs w:val="21"/>
          <w:lang w:eastAsia="zh-CN"/>
        </w:rPr>
        <w:t>（包二）</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201</w:t>
            </w:r>
            <w:r>
              <w:rPr>
                <w:rFonts w:ascii="宋体" w:hAnsi="宋体" w:cs="宋体"/>
                <w:color w:val="auto"/>
                <w:sz w:val="24"/>
              </w:rPr>
              <w:t>7</w:t>
            </w:r>
            <w:r>
              <w:rPr>
                <w:rFonts w:hint="eastAsia" w:ascii="宋体" w:hAnsi="宋体" w:cs="宋体"/>
                <w:color w:val="auto"/>
                <w:sz w:val="24"/>
              </w:rPr>
              <w:t>年至今具有同类项目业绩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上述业绩对应的用户评定意见</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bCs/>
                <w:color w:val="auto"/>
                <w:szCs w:val="21"/>
              </w:rPr>
            </w:pPr>
            <w:r>
              <w:rPr>
                <w:rFonts w:hint="eastAsia" w:ascii="宋体" w:hAnsi="宋体" w:cs="宋体"/>
                <w:color w:val="auto"/>
                <w:sz w:val="24"/>
              </w:rPr>
              <w:t>投标人信誉情况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投标人质量认证体系</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 w:val="24"/>
              </w:rPr>
              <w:t>配送车辆及仓储能力情况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hint="eastAsia" w:ascii="宋体" w:hAnsi="宋体"/>
          <w:b/>
          <w:color w:val="auto"/>
          <w:szCs w:val="21"/>
        </w:rPr>
      </w:pPr>
    </w:p>
    <w:p>
      <w:pPr>
        <w:adjustRightInd w:val="0"/>
        <w:snapToGrid w:val="0"/>
        <w:jc w:val="center"/>
        <w:rPr>
          <w:rFonts w:hint="eastAsia"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技术评审自查表</w:t>
      </w:r>
      <w:r>
        <w:rPr>
          <w:rFonts w:hint="eastAsia" w:ascii="宋体" w:hAnsi="宋体"/>
          <w:b/>
          <w:color w:val="auto"/>
          <w:szCs w:val="21"/>
          <w:lang w:eastAsia="zh-CN"/>
        </w:rPr>
        <w:t>（包三）</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bCs/>
                <w:color w:val="auto"/>
                <w:szCs w:val="21"/>
              </w:rPr>
            </w:pPr>
            <w:r>
              <w:rPr>
                <w:rFonts w:hint="eastAsia" w:ascii="宋体" w:hAnsi="宋体" w:cs="宋体"/>
                <w:color w:val="auto"/>
                <w:sz w:val="24"/>
              </w:rPr>
              <w:t>货物技术参数响应情况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投标人本项目配备专业技术人员情况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投标主要货物情况（各类汽车配件）</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color w:val="auto"/>
                <w:sz w:val="24"/>
              </w:rPr>
              <w:t>质量保证承诺声明</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 w:val="24"/>
              </w:rPr>
              <w:t>应急响应方案、配送计划、安全保证措施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1"/>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 w:val="24"/>
              </w:rPr>
              <w:t>售后服务点</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r>
        <w:rPr>
          <w:rFonts w:hint="eastAsia" w:ascii="宋体" w:hAnsi="宋体"/>
          <w:b/>
          <w:color w:val="auto"/>
          <w:szCs w:val="21"/>
          <w:lang w:eastAsia="zh-CN"/>
        </w:rPr>
        <w:t>（包三）</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201</w:t>
            </w:r>
            <w:r>
              <w:rPr>
                <w:rFonts w:ascii="宋体" w:hAnsi="宋体" w:cs="宋体"/>
                <w:color w:val="auto"/>
                <w:sz w:val="24"/>
              </w:rPr>
              <w:t>7</w:t>
            </w:r>
            <w:r>
              <w:rPr>
                <w:rFonts w:hint="eastAsia" w:ascii="宋体" w:hAnsi="宋体" w:cs="宋体"/>
                <w:color w:val="auto"/>
                <w:sz w:val="24"/>
              </w:rPr>
              <w:t>年至今具有同类项目业绩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上述业绩对应的用户评定意见</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2"/>
              </w:numPr>
              <w:adjustRightInd w:val="0"/>
              <w:snapToGrid w:val="0"/>
              <w:ind w:left="420" w:leftChars="0" w:hanging="420" w:firstLineChars="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bCs/>
                <w:color w:val="auto"/>
                <w:szCs w:val="21"/>
              </w:rPr>
            </w:pPr>
            <w:r>
              <w:rPr>
                <w:rFonts w:hint="eastAsia" w:ascii="宋体" w:hAnsi="宋体" w:cs="宋体"/>
                <w:color w:val="auto"/>
                <w:sz w:val="24"/>
              </w:rPr>
              <w:t>投标人信誉情况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color w:val="auto"/>
                <w:sz w:val="24"/>
              </w:rPr>
              <w:t>投标人质量认证体系</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 w:val="24"/>
              </w:rPr>
              <w:t>配送车辆及仓储能力情况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color w:val="auto"/>
        </w:rPr>
      </w:pP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olor w:val="auto"/>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s="Courier New"/>
                <w:color w:val="auto"/>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Courier New"/>
                <w:color w:val="auto"/>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Courier New"/>
                <w:color w:val="auto"/>
                <w:kern w:val="0"/>
              </w:rPr>
            </w:pPr>
            <w:r>
              <w:rPr>
                <w:rFonts w:hint="eastAsia" w:ascii="宋体" w:hAnsi="宋体" w:cs="Courier New"/>
                <w:color w:val="auto"/>
                <w:kern w:val="0"/>
              </w:rPr>
              <w:t>用户需求响应一览表</w:t>
            </w:r>
          </w:p>
          <w:p>
            <w:pPr>
              <w:adjustRightInd w:val="0"/>
              <w:snapToGrid w:val="0"/>
              <w:rPr>
                <w:rFonts w:hint="eastAsia" w:ascii="宋体" w:hAnsi="宋体" w:cs="Courier New"/>
                <w:color w:val="auto"/>
                <w:kern w:val="0"/>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33"/>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Courier New"/>
                <w:color w:val="auto"/>
                <w:kern w:val="0"/>
                <w:lang w:val="en-US" w:eastAsia="zh-CN"/>
              </w:rPr>
            </w:pPr>
            <w:r>
              <w:rPr>
                <w:rFonts w:hint="eastAsia" w:ascii="宋体" w:hAnsi="宋体" w:cs="Courier New"/>
                <w:color w:val="auto"/>
                <w:kern w:val="0"/>
              </w:rPr>
              <w:t>选择顺序承诺函</w:t>
            </w:r>
          </w:p>
          <w:p>
            <w:pPr>
              <w:adjustRightInd w:val="0"/>
              <w:snapToGrid w:val="0"/>
              <w:rPr>
                <w:rFonts w:hint="eastAsia" w:ascii="宋体" w:hAnsi="宋体" w:cs="Courier New"/>
                <w:color w:val="auto"/>
                <w:kern w:val="0"/>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bl>
    <w:p>
      <w:pPr>
        <w:rPr>
          <w:rFonts w:ascii="宋体" w:hAnsi="宋体"/>
          <w:b/>
          <w:color w:val="auto"/>
          <w:szCs w:val="21"/>
        </w:rPr>
      </w:pPr>
      <w:r>
        <w:rPr>
          <w:rFonts w:hint="eastAsia" w:ascii="宋体" w:hAnsi="宋体"/>
          <w:b/>
          <w:color w:val="auto"/>
          <w:szCs w:val="21"/>
        </w:rPr>
        <w:br w:type="page"/>
      </w:r>
    </w:p>
    <w:p>
      <w:pPr>
        <w:numPr>
          <w:ilvl w:val="0"/>
          <w:numId w:val="34"/>
        </w:numPr>
        <w:spacing w:line="440" w:lineRule="exact"/>
        <w:rPr>
          <w:rFonts w:ascii="宋体" w:hAnsi="宋体"/>
          <w:bCs/>
          <w:color w:val="auto"/>
          <w:sz w:val="28"/>
        </w:rPr>
      </w:pPr>
    </w:p>
    <w:p>
      <w:pPr>
        <w:jc w:val="center"/>
        <w:outlineLvl w:val="2"/>
        <w:rPr>
          <w:rFonts w:ascii="宋体" w:hAnsi="宋体"/>
          <w:b/>
          <w:color w:val="auto"/>
          <w:sz w:val="28"/>
          <w:szCs w:val="28"/>
        </w:rPr>
      </w:pPr>
      <w:r>
        <w:rPr>
          <w:rFonts w:hint="eastAsia" w:ascii="宋体" w:hAnsi="宋体"/>
          <w:b/>
          <w:color w:val="auto"/>
          <w:sz w:val="28"/>
          <w:szCs w:val="28"/>
        </w:rPr>
        <w:t>投  标  函</w:t>
      </w:r>
    </w:p>
    <w:p>
      <w:pPr>
        <w:spacing w:line="360" w:lineRule="auto"/>
        <w:ind w:left="105" w:leftChars="50" w:firstLine="2"/>
        <w:rPr>
          <w:rFonts w:ascii="宋体" w:hAnsi="宋体"/>
          <w:b/>
          <w:color w:val="auto"/>
        </w:rPr>
      </w:pPr>
      <w:r>
        <w:rPr>
          <w:rFonts w:hint="eastAsia" w:ascii="宋体" w:hAnsi="宋体"/>
          <w:b/>
          <w:color w:val="auto"/>
        </w:rPr>
        <w:t>致：广州宝诚招标代理咨询有限公司</w:t>
      </w:r>
    </w:p>
    <w:p>
      <w:pPr>
        <w:spacing w:line="360" w:lineRule="auto"/>
        <w:ind w:left="105" w:leftChars="50" w:firstLine="373" w:firstLineChars="178"/>
        <w:rPr>
          <w:rFonts w:ascii="宋体" w:hAnsi="宋体"/>
          <w:color w:val="auto"/>
        </w:rPr>
      </w:pPr>
      <w:r>
        <w:rPr>
          <w:rFonts w:hint="eastAsia" w:ascii="宋体" w:hAnsi="宋体"/>
          <w:color w:val="auto"/>
        </w:rPr>
        <w:t>我方确认收到贵方</w:t>
      </w:r>
      <w:r>
        <w:rPr>
          <w:rFonts w:hint="eastAsia" w:ascii="宋体" w:hAnsi="宋体"/>
          <w:color w:val="auto"/>
          <w:kern w:val="28"/>
          <w:u w:val="single"/>
        </w:rPr>
        <w:t xml:space="preserve">  </w:t>
      </w:r>
      <w:r>
        <w:rPr>
          <w:rFonts w:hint="eastAsia" w:ascii="宋体" w:hAnsi="宋体"/>
          <w:color w:val="auto"/>
          <w:kern w:val="28"/>
          <w:u w:val="single"/>
          <w:lang w:eastAsia="zh-CN"/>
        </w:rPr>
        <w:t>2021年市桥街环卫车辆易损件采购项目</w:t>
      </w:r>
      <w:r>
        <w:rPr>
          <w:rFonts w:hint="eastAsia" w:ascii="宋体" w:hAnsi="宋体"/>
          <w:color w:val="auto"/>
          <w:kern w:val="28"/>
          <w:u w:val="single"/>
        </w:rPr>
        <w:t xml:space="preserve">  </w:t>
      </w:r>
      <w:r>
        <w:rPr>
          <w:rFonts w:hint="eastAsia" w:ascii="宋体" w:hAnsi="宋体"/>
          <w:color w:val="auto"/>
          <w:kern w:val="28"/>
        </w:rPr>
        <w:t>采购相关服务的</w:t>
      </w:r>
      <w:r>
        <w:rPr>
          <w:rFonts w:hint="eastAsia" w:ascii="宋体" w:hAnsi="宋体"/>
          <w:color w:val="auto"/>
        </w:rPr>
        <w:t>招标文件（项目编号：</w:t>
      </w:r>
      <w:r>
        <w:rPr>
          <w:rFonts w:hint="eastAsia" w:ascii="宋体" w:hAnsi="宋体"/>
          <w:color w:val="auto"/>
          <w:lang w:eastAsia="zh-CN"/>
        </w:rPr>
        <w:t>GZBC20HG12010</w:t>
      </w:r>
      <w:r>
        <w:rPr>
          <w:rFonts w:hint="eastAsia" w:ascii="宋体" w:hAnsi="宋体"/>
          <w:color w:val="auto"/>
        </w:rPr>
        <w:t>），</w:t>
      </w:r>
      <w:r>
        <w:rPr>
          <w:rFonts w:hint="eastAsia" w:ascii="宋体" w:hAnsi="宋体"/>
          <w:color w:val="auto"/>
          <w:u w:val="single"/>
        </w:rPr>
        <w:t>(投标人名称、地址)</w:t>
      </w:r>
      <w:r>
        <w:rPr>
          <w:rFonts w:hint="eastAsia" w:ascii="宋体" w:hAnsi="宋体"/>
          <w:color w:val="auto"/>
          <w:kern w:val="28"/>
          <w:u w:val="single"/>
        </w:rPr>
        <w:t xml:space="preserve">     </w:t>
      </w:r>
      <w:r>
        <w:rPr>
          <w:rFonts w:hint="eastAsia" w:ascii="宋体" w:hAnsi="宋体"/>
          <w:color w:val="auto"/>
        </w:rPr>
        <w:t>作为投标人已正式授权</w:t>
      </w:r>
      <w:r>
        <w:rPr>
          <w:rFonts w:hint="eastAsia" w:ascii="宋体" w:hAnsi="宋体"/>
          <w:color w:val="auto"/>
          <w:kern w:val="28"/>
          <w:u w:val="single"/>
        </w:rPr>
        <w:t xml:space="preserve">  </w:t>
      </w:r>
      <w:r>
        <w:rPr>
          <w:rFonts w:hint="eastAsia" w:ascii="宋体" w:hAnsi="宋体"/>
          <w:color w:val="auto"/>
          <w:u w:val="single"/>
        </w:rPr>
        <w:t xml:space="preserve"> (被投标人授权代表全名、职务)</w:t>
      </w:r>
      <w:r>
        <w:rPr>
          <w:rFonts w:hint="eastAsia" w:ascii="宋体" w:hAnsi="宋体"/>
          <w:color w:val="auto"/>
          <w:kern w:val="28"/>
          <w:u w:val="single"/>
        </w:rPr>
        <w:t xml:space="preserve">  </w:t>
      </w:r>
      <w:r>
        <w:rPr>
          <w:rFonts w:hint="eastAsia" w:ascii="宋体" w:hAnsi="宋体"/>
          <w:color w:val="auto"/>
        </w:rPr>
        <w:t>为我方签名代表，签名代表在此声明并同意：</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我们愿意遵守采购代理机构招标文件的各项规定，自愿参加投标，并已清楚招标文件的要求及有关文件规定，并严格按照招标文件的规定履行全部责任和义务。</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我们同意本投标自投标截止之日起</w:t>
      </w:r>
      <w:r>
        <w:rPr>
          <w:rFonts w:hint="eastAsia" w:ascii="宋体" w:hAnsi="宋体"/>
          <w:b/>
          <w:color w:val="auto"/>
          <w:sz w:val="20"/>
          <w:szCs w:val="20"/>
          <w:u w:val="single"/>
        </w:rPr>
        <w:t>90</w:t>
      </w:r>
      <w:r>
        <w:rPr>
          <w:rFonts w:hint="eastAsia" w:ascii="宋体" w:hAnsi="宋体"/>
          <w:b/>
          <w:color w:val="auto"/>
          <w:sz w:val="20"/>
          <w:szCs w:val="20"/>
        </w:rPr>
        <w:t>天内有效。如果我们的投标被接受，则直至合同生效时止，本投标始终有效并不撤回已递交的投标文件。</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我们同意提供招标采购单位与评标委员会要求的有关投标的一切数据或资料。</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 xml:space="preserve">如果我们未对招标文件全部要求作出实质性响应，则完全同意并接受按无效投标处理。 </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如果我们提供的声明或承诺不真实，则完全同意认定为我司提供虚假材料，并同意作相应处理。</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我们是依法注册的法人，在法律、财务及运作上完全独立于本项目采购人、用户单位（如有）和采购代理机构。</w:t>
      </w:r>
    </w:p>
    <w:p>
      <w:pPr>
        <w:numPr>
          <w:ilvl w:val="0"/>
          <w:numId w:val="35"/>
        </w:numPr>
        <w:snapToGrid w:val="0"/>
        <w:spacing w:line="360" w:lineRule="auto"/>
        <w:rPr>
          <w:rFonts w:ascii="宋体" w:hAnsi="宋体"/>
          <w:b/>
          <w:color w:val="auto"/>
          <w:sz w:val="20"/>
          <w:szCs w:val="20"/>
        </w:rPr>
      </w:pPr>
      <w:r>
        <w:rPr>
          <w:rFonts w:hint="eastAsia" w:ascii="宋体" w:hAnsi="宋体"/>
          <w:b/>
          <w:color w:val="auto"/>
          <w:sz w:val="20"/>
          <w:szCs w:val="20"/>
        </w:rPr>
        <w:t>所有有关本次投标的函电请寄：</w:t>
      </w:r>
      <w:r>
        <w:rPr>
          <w:rFonts w:hint="eastAsia" w:ascii="宋体" w:hAnsi="宋体"/>
          <w:b/>
          <w:color w:val="auto"/>
          <w:sz w:val="20"/>
          <w:szCs w:val="20"/>
          <w:u w:val="single"/>
        </w:rPr>
        <w:t xml:space="preserve">  （投标人地址）   </w:t>
      </w:r>
      <w:r>
        <w:rPr>
          <w:rFonts w:hint="eastAsia" w:ascii="宋体" w:hAnsi="宋体"/>
          <w:b/>
          <w:color w:val="auto"/>
          <w:sz w:val="20"/>
          <w:szCs w:val="20"/>
        </w:rPr>
        <w:t xml:space="preserve">  </w:t>
      </w:r>
    </w:p>
    <w:p>
      <w:pPr>
        <w:autoSpaceDE w:val="0"/>
        <w:autoSpaceDN w:val="0"/>
        <w:adjustRightInd w:val="0"/>
        <w:spacing w:line="360" w:lineRule="auto"/>
        <w:ind w:left="420" w:firstLine="310"/>
        <w:rPr>
          <w:rFonts w:ascii="宋体" w:hAnsi="宋体"/>
          <w:b/>
          <w:color w:val="auto"/>
          <w:sz w:val="20"/>
          <w:szCs w:val="20"/>
        </w:rPr>
      </w:pPr>
      <w:r>
        <w:rPr>
          <w:rFonts w:hint="eastAsia" w:ascii="宋体" w:hAnsi="宋体"/>
          <w:b/>
          <w:color w:val="auto"/>
          <w:sz w:val="20"/>
          <w:szCs w:val="20"/>
        </w:rPr>
        <w:t xml:space="preserve">备注：本投标函内容不得擅自删改，否则视为无效投标。 </w:t>
      </w:r>
    </w:p>
    <w:p>
      <w:pPr>
        <w:ind w:left="480"/>
        <w:rPr>
          <w:rFonts w:ascii="宋体" w:hAnsi="宋体"/>
          <w:color w:val="auto"/>
        </w:rPr>
      </w:pP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投标人名称：</w:t>
      </w:r>
      <w:r>
        <w:rPr>
          <w:rFonts w:hint="eastAsia" w:ascii="宋体" w:hAnsi="宋体"/>
          <w:color w:val="auto"/>
          <w:spacing w:val="4"/>
          <w:u w:val="single"/>
        </w:rPr>
        <w:t xml:space="preserve">                             </w:t>
      </w: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投标人公章：</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r>
        <w:rPr>
          <w:rFonts w:ascii="宋体" w:hAnsi="宋体"/>
          <w:color w:val="auto"/>
          <w:spacing w:val="4"/>
          <w:u w:val="single"/>
        </w:rPr>
        <w:t xml:space="preserve"> </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color w:val="auto"/>
        </w:rPr>
        <w:t>电话：</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传真：</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spacing w:val="4"/>
          <w:u w:val="single"/>
        </w:rPr>
        <w:t xml:space="preserve">         </w:t>
      </w:r>
    </w:p>
    <w:p>
      <w:pPr>
        <w:numPr>
          <w:ilvl w:val="0"/>
          <w:numId w:val="34"/>
        </w:numPr>
        <w:spacing w:line="440" w:lineRule="exact"/>
        <w:rPr>
          <w:rFonts w:ascii="宋体" w:hAnsi="宋体"/>
          <w:bCs/>
          <w:color w:val="auto"/>
          <w:sz w:val="28"/>
        </w:rPr>
      </w:pPr>
      <w:r>
        <w:rPr>
          <w:rFonts w:ascii="宋体" w:hAnsi="宋体"/>
          <w:bCs/>
          <w:color w:val="auto"/>
          <w:sz w:val="28"/>
        </w:rPr>
        <w:t xml:space="preserve"> </w:t>
      </w:r>
    </w:p>
    <w:p>
      <w:pPr>
        <w:jc w:val="center"/>
        <w:outlineLvl w:val="2"/>
        <w:rPr>
          <w:rFonts w:ascii="宋体" w:hAnsi="宋体"/>
          <w:b/>
          <w:color w:val="auto"/>
          <w:sz w:val="28"/>
          <w:szCs w:val="28"/>
        </w:rPr>
      </w:pPr>
      <w:bookmarkStart w:id="14" w:name="_Toc275865606"/>
      <w:r>
        <w:rPr>
          <w:rFonts w:hint="eastAsia" w:ascii="宋体" w:hAnsi="宋体"/>
          <w:b/>
          <w:color w:val="auto"/>
          <w:sz w:val="28"/>
          <w:szCs w:val="28"/>
        </w:rPr>
        <w:t>投标人资格声明函</w:t>
      </w:r>
      <w:bookmarkEnd w:id="14"/>
    </w:p>
    <w:p>
      <w:pPr>
        <w:rPr>
          <w:rFonts w:ascii="宋体" w:hAnsi="宋体"/>
          <w:b/>
          <w:color w:val="auto"/>
        </w:rPr>
      </w:pPr>
      <w:r>
        <w:rPr>
          <w:rFonts w:hint="eastAsia" w:ascii="宋体" w:hAnsi="宋体"/>
          <w:b/>
          <w:color w:val="auto"/>
        </w:rPr>
        <w:t>广州宝诚招标代理咨询有限公司：</w:t>
      </w:r>
    </w:p>
    <w:p>
      <w:pPr>
        <w:snapToGrid w:val="0"/>
        <w:spacing w:beforeLines="50" w:line="360" w:lineRule="auto"/>
        <w:ind w:firstLine="424" w:firstLineChars="202"/>
        <w:rPr>
          <w:rFonts w:ascii="宋体" w:hAnsi="宋体"/>
          <w:color w:val="auto"/>
        </w:rPr>
      </w:pPr>
      <w:r>
        <w:rPr>
          <w:rFonts w:hint="eastAsia" w:ascii="宋体" w:hAnsi="宋体"/>
          <w:color w:val="auto"/>
        </w:rPr>
        <w:t>关于贵公司</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日发布</w:t>
      </w:r>
      <w:r>
        <w:rPr>
          <w:rFonts w:ascii="宋体" w:hAnsi="宋体"/>
          <w:color w:val="auto"/>
          <w:u w:val="single"/>
        </w:rPr>
        <w:t xml:space="preserve">  </w:t>
      </w:r>
      <w:r>
        <w:rPr>
          <w:rFonts w:hint="eastAsia" w:ascii="宋体" w:hAnsi="宋体"/>
          <w:color w:val="auto"/>
          <w:kern w:val="28"/>
          <w:u w:val="single"/>
          <w:lang w:eastAsia="zh-CN"/>
        </w:rPr>
        <w:t>2021年市桥街环卫车辆易损件采购项目</w:t>
      </w:r>
      <w:r>
        <w:rPr>
          <w:rFonts w:ascii="宋体" w:hAnsi="宋体"/>
          <w:color w:val="auto"/>
          <w:u w:val="single"/>
        </w:rPr>
        <w:t xml:space="preserve">  </w:t>
      </w:r>
      <w:r>
        <w:rPr>
          <w:rFonts w:hint="eastAsia" w:ascii="宋体" w:hAnsi="宋体"/>
          <w:color w:val="auto"/>
        </w:rPr>
        <w:t>项目（项目编号：</w:t>
      </w:r>
      <w:r>
        <w:rPr>
          <w:rFonts w:hint="eastAsia" w:ascii="宋体" w:hAnsi="宋体"/>
          <w:color w:val="auto"/>
          <w:lang w:eastAsia="zh-CN"/>
        </w:rPr>
        <w:t>GZBC20HG12010</w:t>
      </w:r>
      <w:r>
        <w:rPr>
          <w:rFonts w:hint="eastAsia" w:ascii="宋体" w:hAnsi="宋体"/>
          <w:color w:val="auto"/>
        </w:rPr>
        <w:t>）的采购公告，本公司（企业）愿意参加投标，并声明：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并已清楚招标文件的要求及有关文件规定。</w:t>
      </w:r>
    </w:p>
    <w:p>
      <w:pPr>
        <w:snapToGrid w:val="0"/>
        <w:spacing w:line="360" w:lineRule="auto"/>
        <w:ind w:firstLine="424" w:firstLineChars="202"/>
        <w:rPr>
          <w:rFonts w:ascii="宋体" w:hAns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rPr>
      </w:pPr>
      <w:r>
        <w:rPr>
          <w:rFonts w:hint="eastAsia" w:ascii="宋体" w:hAnsi="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本公司（企业）</w:t>
      </w:r>
      <w:r>
        <w:rPr>
          <w:rFonts w:ascii="宋体" w:hAnsi="宋体"/>
          <w:color w:val="auto"/>
        </w:rPr>
        <w:t>具有履行合同所必需的设备和专业技术能力</w:t>
      </w:r>
      <w:r>
        <w:rPr>
          <w:rFonts w:hint="eastAsia" w:ascii="宋体" w:hAnsi="宋体"/>
          <w:color w:val="auto"/>
        </w:rPr>
        <w:t>，且本公司（企业）参加政府采购活动前</w:t>
      </w:r>
      <w:r>
        <w:rPr>
          <w:rFonts w:ascii="宋体" w:hAnsi="宋体"/>
          <w:color w:val="auto"/>
        </w:rPr>
        <w:t>3</w:t>
      </w:r>
      <w:r>
        <w:rPr>
          <w:rFonts w:hint="eastAsia" w:ascii="宋体" w:hAnsi="宋体"/>
          <w:color w:val="auto"/>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本次招标采购活动中，如有违法、违规、弄虚作假行为，所造成的损失、不良后果及法律责任，一律由我公司（企业）承担。</w:t>
      </w:r>
    </w:p>
    <w:p>
      <w:pPr>
        <w:spacing w:line="360" w:lineRule="auto"/>
        <w:ind w:firstLine="420"/>
        <w:rPr>
          <w:rFonts w:ascii="宋体" w:hAnsi="宋体"/>
          <w:b/>
          <w:color w:val="auto"/>
        </w:rPr>
      </w:pPr>
      <w:r>
        <w:rPr>
          <w:rFonts w:hint="eastAsia" w:ascii="宋体" w:hAnsi="宋体"/>
          <w:b/>
          <w:color w:val="auto"/>
        </w:rPr>
        <w:t>特此声明！</w:t>
      </w:r>
    </w:p>
    <w:p>
      <w:pPr>
        <w:tabs>
          <w:tab w:val="left" w:pos="567"/>
        </w:tabs>
        <w:adjustRightInd w:val="0"/>
        <w:snapToGrid w:val="0"/>
        <w:spacing w:line="360" w:lineRule="auto"/>
        <w:rPr>
          <w:rFonts w:ascii="宋体" w:hAnsi="宋体"/>
          <w:b/>
          <w:color w:val="auto"/>
        </w:rPr>
      </w:pPr>
      <w:r>
        <w:rPr>
          <w:rFonts w:hint="eastAsia" w:ascii="宋体" w:hAnsi="宋体"/>
          <w:b/>
          <w:color w:val="auto"/>
        </w:rPr>
        <w:t>附件：</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2019年财务状况报告复印件</w:t>
      </w:r>
      <w:r>
        <w:rPr>
          <w:rFonts w:hint="eastAsia" w:ascii="宋体" w:hAnsi="宋体"/>
          <w:bCs/>
          <w:color w:val="auto"/>
          <w:szCs w:val="20"/>
        </w:rPr>
        <w:t>，其他组织或投标人新成立不足一年，提供银行出具的资信证明材料复印件；</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2020年开具的缴纳税收的凭据证明材料复印件</w:t>
      </w:r>
      <w:r>
        <w:rPr>
          <w:rFonts w:hint="eastAsia" w:ascii="宋体" w:hAnsi="宋体"/>
          <w:bCs/>
          <w:color w:val="auto"/>
          <w:szCs w:val="20"/>
        </w:rPr>
        <w:t>；如依法免税的，应提供相应文件证明其依法免税；</w:t>
      </w:r>
    </w:p>
    <w:p>
      <w:pPr>
        <w:numPr>
          <w:ilvl w:val="0"/>
          <w:numId w:val="36"/>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adjustRightInd w:val="0"/>
        <w:snapToGrid w:val="0"/>
        <w:spacing w:line="360" w:lineRule="auto"/>
        <w:ind w:left="425"/>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rPr>
          <w:rFonts w:ascii="宋体" w:hAnsi="宋体"/>
          <w:color w:val="auto"/>
          <w:spacing w:val="4"/>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p>
    <w:p>
      <w:pPr>
        <w:rPr>
          <w:rFonts w:ascii="宋体" w:hAnsi="宋体"/>
          <w:color w:val="auto"/>
          <w:spacing w:val="4"/>
        </w:rPr>
      </w:pPr>
      <w:r>
        <w:rPr>
          <w:rFonts w:hint="eastAsia" w:ascii="宋体" w:hAnsi="宋体"/>
          <w:color w:val="auto"/>
          <w:spacing w:val="4"/>
        </w:rPr>
        <w:br w:type="page"/>
      </w:r>
    </w:p>
    <w:p>
      <w:pPr>
        <w:numPr>
          <w:ilvl w:val="0"/>
          <w:numId w:val="34"/>
        </w:numPr>
        <w:spacing w:line="440" w:lineRule="exact"/>
        <w:rPr>
          <w:rFonts w:ascii="宋体" w:hAnsi="宋体"/>
          <w:color w:val="auto"/>
          <w:szCs w:val="21"/>
        </w:rPr>
      </w:pPr>
    </w:p>
    <w:p>
      <w:pPr>
        <w:jc w:val="center"/>
        <w:outlineLvl w:val="2"/>
        <w:rPr>
          <w:rFonts w:ascii="宋体" w:hAnsi="宋体"/>
          <w:b/>
          <w:color w:val="auto"/>
          <w:sz w:val="28"/>
          <w:szCs w:val="28"/>
        </w:rPr>
      </w:pPr>
      <w:bookmarkStart w:id="15" w:name="_Toc50737297"/>
      <w:bookmarkStart w:id="16" w:name="_Toc52165081"/>
      <w:bookmarkStart w:id="17" w:name="_Toc50737329"/>
      <w:bookmarkStart w:id="18" w:name="_Toc50736477"/>
      <w:bookmarkStart w:id="19" w:name="_Toc275865607"/>
      <w:r>
        <w:rPr>
          <w:rFonts w:hint="eastAsia" w:ascii="宋体" w:hAnsi="宋体"/>
          <w:b/>
          <w:color w:val="auto"/>
          <w:sz w:val="28"/>
          <w:szCs w:val="28"/>
        </w:rPr>
        <w:t>法定代表人授权委托书</w:t>
      </w:r>
      <w:bookmarkEnd w:id="15"/>
      <w:bookmarkEnd w:id="16"/>
      <w:bookmarkEnd w:id="17"/>
      <w:bookmarkEnd w:id="18"/>
      <w:bookmarkEnd w:id="19"/>
    </w:p>
    <w:p>
      <w:pPr>
        <w:pStyle w:val="10"/>
        <w:spacing w:line="360" w:lineRule="auto"/>
        <w:ind w:firstLine="420" w:firstLineChars="200"/>
        <w:rPr>
          <w:rFonts w:hAnsi="宋体"/>
          <w:color w:val="auto"/>
          <w:sz w:val="21"/>
        </w:rPr>
      </w:pPr>
      <w:r>
        <w:rPr>
          <w:rFonts w:hint="eastAsia" w:hAnsi="宋体"/>
          <w:color w:val="auto"/>
          <w:sz w:val="21"/>
        </w:rPr>
        <w:t>本授权委托书声明：注册于</w:t>
      </w:r>
      <w:r>
        <w:rPr>
          <w:rFonts w:hint="eastAsia" w:hAnsi="宋体"/>
          <w:color w:val="auto"/>
          <w:sz w:val="21"/>
          <w:u w:val="single"/>
        </w:rPr>
        <w:t xml:space="preserve"> （投标人地址）  </w:t>
      </w:r>
      <w:r>
        <w:rPr>
          <w:rFonts w:hint="eastAsia" w:hAnsi="宋体"/>
          <w:color w:val="auto"/>
          <w:sz w:val="21"/>
        </w:rPr>
        <w:t>的</w:t>
      </w:r>
      <w:r>
        <w:rPr>
          <w:rFonts w:hint="eastAsia" w:hAnsi="宋体"/>
          <w:color w:val="auto"/>
          <w:sz w:val="21"/>
          <w:u w:val="single"/>
        </w:rPr>
        <w:t xml:space="preserve">  （投标人名称）    </w:t>
      </w:r>
      <w:r>
        <w:rPr>
          <w:rFonts w:hint="eastAsia" w:hAnsi="宋体"/>
          <w:color w:val="auto"/>
          <w:sz w:val="21"/>
        </w:rPr>
        <w:t>在下面签名的</w:t>
      </w:r>
      <w:r>
        <w:rPr>
          <w:rFonts w:hint="eastAsia" w:hAnsi="宋体"/>
          <w:color w:val="auto"/>
          <w:sz w:val="21"/>
          <w:u w:val="single"/>
        </w:rPr>
        <w:t>（法定代表人姓名、职务）</w:t>
      </w:r>
      <w:r>
        <w:rPr>
          <w:rFonts w:hint="eastAsia" w:hAnsi="宋体"/>
          <w:color w:val="auto"/>
          <w:sz w:val="21"/>
        </w:rPr>
        <w:t>在此授权</w:t>
      </w:r>
      <w:r>
        <w:rPr>
          <w:rFonts w:hint="eastAsia" w:hAnsi="宋体"/>
          <w:color w:val="auto"/>
          <w:sz w:val="21"/>
          <w:u w:val="single"/>
        </w:rPr>
        <w:t>（被授权人姓名、职务）</w:t>
      </w:r>
      <w:r>
        <w:rPr>
          <w:rFonts w:hint="eastAsia" w:hAnsi="宋体"/>
          <w:color w:val="auto"/>
          <w:sz w:val="21"/>
        </w:rPr>
        <w:t>作为我公司的合法代理人，就</w:t>
      </w:r>
      <w:r>
        <w:rPr>
          <w:rFonts w:hint="eastAsia" w:hAnsi="宋体"/>
          <w:color w:val="auto"/>
          <w:sz w:val="21"/>
          <w:u w:val="single"/>
        </w:rPr>
        <w:t>（项目名称、项目编号</w:t>
      </w:r>
      <w:r>
        <w:rPr>
          <w:rFonts w:hint="eastAsia" w:hAnsi="宋体"/>
          <w:color w:val="auto"/>
          <w:sz w:val="21"/>
        </w:rPr>
        <w:t>）的招投标活动，采购合同的签订、执行、完成和售后服务，作为投标人代表以我方的名义处理一切与之有关的事务。</w:t>
      </w:r>
    </w:p>
    <w:p>
      <w:pPr>
        <w:pStyle w:val="10"/>
        <w:spacing w:line="360" w:lineRule="auto"/>
        <w:ind w:firstLine="420" w:firstLineChars="200"/>
        <w:rPr>
          <w:rFonts w:hAnsi="宋体"/>
          <w:color w:val="auto"/>
          <w:sz w:val="21"/>
        </w:rPr>
      </w:pPr>
      <w:r>
        <w:rPr>
          <w:rFonts w:hint="eastAsia" w:hAnsi="宋体"/>
          <w:color w:val="auto"/>
          <w:sz w:val="21"/>
        </w:rPr>
        <w:t>被授权人（投标人授权代表）无转委托权限。</w:t>
      </w:r>
    </w:p>
    <w:p>
      <w:pPr>
        <w:spacing w:line="360" w:lineRule="auto"/>
        <w:ind w:firstLine="420" w:firstLineChars="200"/>
        <w:rPr>
          <w:rFonts w:ascii="宋体" w:hAnsi="宋体"/>
          <w:color w:val="auto"/>
          <w:szCs w:val="21"/>
        </w:rPr>
      </w:pPr>
      <w:r>
        <w:rPr>
          <w:rFonts w:hint="eastAsia" w:ascii="宋体" w:hAnsi="宋体"/>
          <w:color w:val="auto"/>
          <w:szCs w:val="21"/>
        </w:rPr>
        <w:t>本授权书自法定代表人签字之日起生效，特此声明。</w:t>
      </w:r>
    </w:p>
    <w:p>
      <w:pPr>
        <w:spacing w:line="360" w:lineRule="auto"/>
        <w:rPr>
          <w:rFonts w:ascii="宋体" w:hAnsi="宋体"/>
          <w:b/>
          <w:color w:val="auto"/>
          <w:szCs w:val="21"/>
        </w:rPr>
      </w:pPr>
      <w:r>
        <w:rPr>
          <w:rFonts w:hint="eastAsia" w:ascii="宋体" w:hAnsi="宋体"/>
          <w:b/>
          <w:color w:val="auto"/>
          <w:szCs w:val="21"/>
        </w:rPr>
        <w:t>随附《法定代表人证明》</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投标人名称（单位盖</w:t>
      </w:r>
      <w:r>
        <w:rPr>
          <w:rFonts w:hint="eastAsia" w:ascii="宋体" w:hAnsi="宋体"/>
          <w:color w:val="auto"/>
          <w:spacing w:val="4"/>
          <w:szCs w:val="21"/>
        </w:rPr>
        <w:t>公章</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地      址：</w:t>
      </w:r>
    </w:p>
    <w:p>
      <w:pPr>
        <w:tabs>
          <w:tab w:val="left" w:pos="3780"/>
        </w:tabs>
        <w:spacing w:line="360" w:lineRule="auto"/>
        <w:rPr>
          <w:rFonts w:ascii="宋体" w:hAnsi="宋体"/>
          <w:color w:val="auto"/>
          <w:szCs w:val="21"/>
        </w:rPr>
      </w:pPr>
      <w:r>
        <w:rPr>
          <w:rFonts w:hint="eastAsia" w:ascii="宋体" w:hAnsi="宋体"/>
          <w:color w:val="auto"/>
          <w:szCs w:val="21"/>
        </w:rPr>
        <w:t>法定代表人（签署本人姓名或印盖本人姓名章）：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rPr>
      </w:pPr>
    </w:p>
    <w:tbl>
      <w:tblPr>
        <w:tblStyle w:val="22"/>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0"/>
              <w:ind w:left="105"/>
              <w:jc w:val="center"/>
              <w:rPr>
                <w:b/>
                <w:color w:val="auto"/>
              </w:rPr>
            </w:pPr>
            <w:r>
              <w:rPr>
                <w:rFonts w:hint="eastAsia"/>
                <w:b/>
                <w:color w:val="auto"/>
              </w:rPr>
              <w:t>被授权人（授权代表）</w:t>
            </w:r>
          </w:p>
          <w:p>
            <w:pPr>
              <w:pStyle w:val="30"/>
              <w:ind w:left="105"/>
              <w:jc w:val="center"/>
              <w:rPr>
                <w:color w:val="auto"/>
              </w:rPr>
            </w:pPr>
            <w:r>
              <w:rPr>
                <w:rFonts w:hint="eastAsia"/>
                <w:b/>
                <w:color w:val="auto"/>
              </w:rPr>
              <w:t>居民身份证复印件粘贴处（正、反面）</w:t>
            </w:r>
          </w:p>
        </w:tc>
      </w:tr>
    </w:tbl>
    <w:p>
      <w:pPr>
        <w:spacing w:line="360" w:lineRule="auto"/>
        <w:rPr>
          <w:rFonts w:ascii="宋体" w:hAnsi="宋体"/>
          <w:b/>
          <w:color w:val="auto"/>
        </w:rPr>
      </w:pPr>
      <w:r>
        <w:rPr>
          <w:rFonts w:hint="eastAsia" w:ascii="宋体" w:hAnsi="宋体"/>
          <w:b/>
          <w:color w:val="auto"/>
        </w:rPr>
        <w:t>注：此委托书一式两份，一份装订在报价文件正本内，另一份由授权代表携带出席评审会。</w:t>
      </w:r>
    </w:p>
    <w:p>
      <w:pPr>
        <w:spacing w:line="360" w:lineRule="auto"/>
        <w:rPr>
          <w:rFonts w:ascii="宋体" w:hAnsi="宋体"/>
          <w:color w:val="auto"/>
        </w:rPr>
      </w:pPr>
    </w:p>
    <w:p>
      <w:pPr>
        <w:spacing w:line="360" w:lineRule="auto"/>
        <w:rPr>
          <w:rFonts w:ascii="宋体" w:hAnsi="宋体"/>
          <w:color w:val="auto"/>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bookmarkStart w:id="20" w:name="_Toc275865608"/>
      <w:r>
        <w:rPr>
          <w:rFonts w:hint="eastAsia" w:ascii="宋体" w:hAnsi="宋体"/>
          <w:b/>
          <w:color w:val="auto"/>
          <w:sz w:val="28"/>
          <w:szCs w:val="28"/>
        </w:rPr>
        <w:t>法定代表人证明书</w:t>
      </w:r>
      <w:bookmarkEnd w:id="20"/>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pPr>
        <w:spacing w:line="360" w:lineRule="auto"/>
        <w:ind w:firstLine="420" w:firstLineChars="200"/>
        <w:rPr>
          <w:rFonts w:ascii="宋体" w:hAnsi="宋体"/>
          <w:color w:val="auto"/>
        </w:rPr>
      </w:pPr>
      <w:r>
        <w:rPr>
          <w:rFonts w:hint="eastAsia" w:ascii="宋体" w:hAnsi="宋体"/>
          <w:color w:val="auto"/>
        </w:rPr>
        <w:t>本证明书自签发之日起生效，有效期与本公司投标文件中标注的投标有效期相同。</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 xml:space="preserve">营业执照（注册号）：                       </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tbl>
      <w:tblPr>
        <w:tblStyle w:val="22"/>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color w:val="auto"/>
                <w:sz w:val="24"/>
              </w:rPr>
            </w:pPr>
            <w:r>
              <w:rPr>
                <w:rFonts w:hint="eastAsia" w:ascii="宋体" w:hAnsi="宋体"/>
                <w:color w:val="auto"/>
                <w:sz w:val="24"/>
              </w:rPr>
              <w:t>法定代表人</w:t>
            </w:r>
          </w:p>
          <w:p>
            <w:pPr>
              <w:spacing w:line="600" w:lineRule="auto"/>
              <w:jc w:val="center"/>
              <w:rPr>
                <w:rFonts w:ascii="宋体" w:hAnsi="宋体"/>
                <w:color w:val="auto"/>
                <w:sz w:val="24"/>
                <w:u w:val="single"/>
              </w:rPr>
            </w:pPr>
            <w:r>
              <w:rPr>
                <w:rFonts w:hint="eastAsia" w:ascii="宋体" w:hAnsi="宋体"/>
                <w:color w:val="auto"/>
                <w:sz w:val="24"/>
              </w:rPr>
              <w:t>居民身份证复印件粘贴处（正、反面）</w:t>
            </w:r>
          </w:p>
        </w:tc>
      </w:tr>
    </w:tbl>
    <w:p>
      <w:pPr>
        <w:spacing w:line="500" w:lineRule="exact"/>
        <w:rPr>
          <w:rFonts w:ascii="宋体" w:hAnsi="宋体"/>
          <w:b/>
          <w:bCs/>
          <w:color w:val="auto"/>
        </w:rPr>
      </w:pPr>
    </w:p>
    <w:p>
      <w:pPr>
        <w:spacing w:line="500" w:lineRule="exact"/>
        <w:rPr>
          <w:rFonts w:ascii="宋体" w:hAnsi="宋体"/>
          <w:b/>
          <w:bCs/>
          <w:color w:val="auto"/>
        </w:rPr>
      </w:pPr>
    </w:p>
    <w:p>
      <w:pPr>
        <w:spacing w:line="500" w:lineRule="exact"/>
        <w:rPr>
          <w:rFonts w:ascii="宋体" w:hAnsi="宋体"/>
          <w:b/>
          <w:bCs/>
          <w:color w:val="auto"/>
        </w:rPr>
      </w:pPr>
      <w:r>
        <w:rPr>
          <w:rFonts w:hint="eastAsia" w:ascii="宋体" w:hAnsi="宋体"/>
          <w:b/>
          <w:bCs/>
          <w:color w:val="auto"/>
        </w:rPr>
        <w:t xml:space="preserve">                         </w:t>
      </w:r>
    </w:p>
    <w:p>
      <w:pPr>
        <w:spacing w:line="500" w:lineRule="exact"/>
        <w:rPr>
          <w:rFonts w:ascii="宋体" w:hAnsi="宋体"/>
          <w:color w:val="auto"/>
          <w:u w:val="single"/>
        </w:rPr>
      </w:pPr>
      <w:r>
        <w:rPr>
          <w:rFonts w:hint="eastAsia" w:ascii="宋体" w:hAnsi="宋体"/>
          <w:b/>
          <w:bCs/>
          <w:color w:val="auto"/>
        </w:rPr>
        <w:t xml:space="preserve">                                           </w:t>
      </w:r>
      <w:r>
        <w:rPr>
          <w:rFonts w:hint="eastAsia" w:ascii="宋体" w:hAnsi="宋体"/>
          <w:color w:val="auto"/>
        </w:rPr>
        <w:t>投标人名称：（单位盖</w:t>
      </w:r>
      <w:r>
        <w:rPr>
          <w:rFonts w:hint="eastAsia" w:ascii="宋体" w:hAnsi="宋体"/>
          <w:color w:val="auto"/>
          <w:spacing w:val="4"/>
        </w:rPr>
        <w:t>公章</w:t>
      </w:r>
      <w:r>
        <w:rPr>
          <w:rFonts w:hint="eastAsia" w:ascii="宋体" w:hAnsi="宋体"/>
          <w:color w:val="auto"/>
        </w:rPr>
        <w:t>）：</w:t>
      </w:r>
      <w:r>
        <w:rPr>
          <w:rFonts w:hint="eastAsia" w:ascii="宋体" w:hAnsi="宋体"/>
          <w:color w:val="auto"/>
          <w:u w:val="single"/>
        </w:rPr>
        <w:t xml:space="preserve">           </w:t>
      </w:r>
    </w:p>
    <w:p>
      <w:pPr>
        <w:spacing w:line="500" w:lineRule="exact"/>
        <w:rPr>
          <w:rFonts w:ascii="宋体" w:hAnsi="宋体"/>
          <w:color w:val="auto"/>
        </w:rPr>
      </w:pPr>
      <w:r>
        <w:rPr>
          <w:rFonts w:hint="eastAsia" w:ascii="宋体" w:hAnsi="宋体"/>
          <w:color w:val="auto"/>
        </w:rPr>
        <w:t xml:space="preserve">                                           地址：</w:t>
      </w:r>
      <w:r>
        <w:rPr>
          <w:rFonts w:hint="eastAsia" w:ascii="宋体" w:hAnsi="宋体"/>
          <w:color w:val="auto"/>
          <w:u w:val="single"/>
        </w:rPr>
        <w:t xml:space="preserve">           </w:t>
      </w:r>
    </w:p>
    <w:p>
      <w:pPr>
        <w:spacing w:line="500" w:lineRule="exact"/>
        <w:rPr>
          <w:rFonts w:ascii="宋体" w:hAnsi="宋体"/>
          <w:color w:val="auto"/>
          <w:u w:val="single"/>
        </w:rPr>
      </w:pPr>
      <w:r>
        <w:rPr>
          <w:rFonts w:hint="eastAsia" w:ascii="宋体" w:hAnsi="宋体"/>
          <w:color w:val="auto"/>
        </w:rPr>
        <w:t xml:space="preserve">                                           签发日期：</w:t>
      </w:r>
      <w:r>
        <w:rPr>
          <w:rFonts w:hint="eastAsia" w:ascii="宋体" w:hAnsi="宋体"/>
          <w:color w:val="auto"/>
          <w:u w:val="single"/>
        </w:rPr>
        <w:t xml:space="preserve">           </w:t>
      </w:r>
    </w:p>
    <w:p>
      <w:pPr>
        <w:spacing w:line="440" w:lineRule="exact"/>
        <w:rPr>
          <w:rFonts w:ascii="宋体" w:hAnsi="宋体"/>
          <w:b/>
          <w:bCs/>
          <w:color w:val="auto"/>
        </w:rPr>
      </w:pP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公平竞争承诺书</w:t>
      </w:r>
    </w:p>
    <w:p>
      <w:pPr>
        <w:spacing w:line="360" w:lineRule="auto"/>
        <w:ind w:firstLine="420" w:firstLineChars="200"/>
        <w:rPr>
          <w:rFonts w:ascii="宋体" w:hAnsi="宋体"/>
          <w:color w:val="auto"/>
        </w:rPr>
      </w:pPr>
      <w:r>
        <w:rPr>
          <w:rFonts w:hint="eastAsia" w:ascii="宋体" w:hAnsi="宋体"/>
          <w:color w:val="auto"/>
        </w:rPr>
        <w:t>本公司郑重承诺：本公司保证所提交的相关资质文件和证明材料的真实性，有良好的历史诚信记录，并将依法参与</w:t>
      </w:r>
      <w:r>
        <w:rPr>
          <w:rFonts w:hint="eastAsia" w:ascii="宋体" w:hAnsi="宋体"/>
          <w:color w:val="auto"/>
          <w:u w:val="single"/>
        </w:rPr>
        <w:t xml:space="preserve">  </w:t>
      </w:r>
      <w:r>
        <w:rPr>
          <w:rFonts w:hint="eastAsia" w:ascii="宋体" w:hAnsi="宋体"/>
          <w:color w:val="auto"/>
          <w:kern w:val="28"/>
          <w:u w:val="single"/>
          <w:lang w:eastAsia="zh-CN"/>
        </w:rPr>
        <w:t>2021年市桥街环卫车辆易损件采购项目</w:t>
      </w:r>
      <w:r>
        <w:rPr>
          <w:rFonts w:hint="eastAsia" w:ascii="宋体" w:hAnsi="宋体"/>
          <w:color w:val="auto"/>
          <w:u w:val="single"/>
        </w:rPr>
        <w:t xml:space="preserve">    </w:t>
      </w:r>
      <w:r>
        <w:rPr>
          <w:rFonts w:hint="eastAsia" w:ascii="宋体" w:hAnsi="宋体"/>
          <w:color w:val="auto"/>
        </w:rPr>
        <w:t xml:space="preserve">项目的公平竞争，不以任何不正当行为谋取不当利益，否则承担相应的法律责任。  </w:t>
      </w:r>
    </w:p>
    <w:p>
      <w:pPr>
        <w:spacing w:line="360" w:lineRule="auto"/>
        <w:ind w:right="541"/>
        <w:jc w:val="center"/>
        <w:rPr>
          <w:rFonts w:ascii="宋体" w:hAnsi="宋体"/>
          <w:color w:val="auto"/>
          <w:spacing w:val="4"/>
          <w:u w:val="single"/>
        </w:rPr>
      </w:pPr>
      <w:r>
        <w:rPr>
          <w:rFonts w:hint="eastAsia" w:ascii="宋体" w:hAnsi="宋体"/>
          <w:color w:val="auto"/>
          <w:spacing w:val="4"/>
        </w:rPr>
        <w:t xml:space="preserve">      投标人名称（加盖公章）：</w:t>
      </w:r>
      <w:r>
        <w:rPr>
          <w:rFonts w:hint="eastAsia" w:ascii="宋体" w:hAnsi="宋体"/>
          <w:color w:val="auto"/>
          <w:spacing w:val="4"/>
          <w:u w:val="single"/>
        </w:rPr>
        <w:t xml:space="preserve">                       </w:t>
      </w:r>
    </w:p>
    <w:p>
      <w:pPr>
        <w:adjustRightInd w:val="0"/>
        <w:snapToGrid w:val="0"/>
        <w:spacing w:line="360" w:lineRule="auto"/>
        <w:jc w:val="center"/>
        <w:rPr>
          <w:rFonts w:ascii="宋体" w:hAnsi="宋体"/>
          <w:color w:val="auto"/>
          <w:spacing w:val="4"/>
        </w:rPr>
      </w:pPr>
      <w:r>
        <w:rPr>
          <w:rFonts w:hint="eastAsia" w:ascii="宋体" w:hAnsi="宋体"/>
          <w:color w:val="auto"/>
          <w:spacing w:val="4"/>
        </w:rPr>
        <w:t xml:space="preserve"> 日期：</w:t>
      </w:r>
      <w:r>
        <w:rPr>
          <w:rFonts w:hint="eastAsia" w:ascii="宋体" w:hAnsi="宋体"/>
          <w:color w:val="auto"/>
          <w:spacing w:val="4"/>
          <w:u w:val="single"/>
        </w:rPr>
        <w:t xml:space="preserve">   </w:t>
      </w:r>
      <w:r>
        <w:rPr>
          <w:rFonts w:hint="eastAsia" w:ascii="宋体" w:hAnsi="宋体"/>
          <w:color w:val="auto"/>
          <w:spacing w:val="4"/>
        </w:rPr>
        <w:t>年</w:t>
      </w:r>
      <w:r>
        <w:rPr>
          <w:rFonts w:hint="eastAsia" w:ascii="宋体" w:hAnsi="宋体"/>
          <w:color w:val="auto"/>
          <w:spacing w:val="4"/>
          <w:u w:val="single"/>
        </w:rPr>
        <w:t xml:space="preserve">   </w:t>
      </w:r>
      <w:r>
        <w:rPr>
          <w:rFonts w:hint="eastAsia" w:ascii="宋体" w:hAnsi="宋体"/>
          <w:color w:val="auto"/>
          <w:spacing w:val="4"/>
        </w:rPr>
        <w:t>月</w:t>
      </w:r>
      <w:r>
        <w:rPr>
          <w:rFonts w:hint="eastAsia" w:ascii="宋体" w:hAnsi="宋体"/>
          <w:color w:val="auto"/>
          <w:spacing w:val="4"/>
          <w:u w:val="single"/>
        </w:rPr>
        <w:t xml:space="preserve">   </w:t>
      </w:r>
      <w:r>
        <w:rPr>
          <w:rFonts w:hint="eastAsia" w:ascii="宋体" w:hAnsi="宋体"/>
          <w:color w:val="auto"/>
          <w:spacing w:val="4"/>
        </w:rPr>
        <w:t>日</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开标一览表(报价表)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 xml:space="preserve">                                   </w:t>
      </w:r>
    </w:p>
    <w:tbl>
      <w:tblPr>
        <w:tblStyle w:val="22"/>
        <w:tblW w:w="9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50"/>
        <w:gridCol w:w="2595"/>
        <w:gridCol w:w="32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子包</w:t>
            </w:r>
          </w:p>
        </w:tc>
        <w:tc>
          <w:tcPr>
            <w:tcW w:w="2550"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采购内容</w:t>
            </w:r>
          </w:p>
        </w:tc>
        <w:tc>
          <w:tcPr>
            <w:tcW w:w="2595"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服务期</w:t>
            </w:r>
          </w:p>
        </w:tc>
        <w:tc>
          <w:tcPr>
            <w:tcW w:w="3249"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投标单价报价</w:t>
            </w:r>
            <w:r>
              <w:rPr>
                <w:rFonts w:hint="eastAsia" w:ascii="宋体" w:hAnsi="宋体"/>
                <w:b/>
                <w:color w:val="auto"/>
                <w:szCs w:val="21"/>
                <w:lang w:eastAsia="zh-CN"/>
              </w:rPr>
              <w:t>合计</w:t>
            </w:r>
            <w:r>
              <w:rPr>
                <w:rFonts w:hint="eastAsia" w:ascii="宋体" w:hAnsi="宋体"/>
                <w:b/>
                <w:color w:val="auto"/>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atLeast"/>
          <w:jc w:val="center"/>
        </w:trPr>
        <w:tc>
          <w:tcPr>
            <w:tcW w:w="1451" w:type="dxa"/>
            <w:tcBorders>
              <w:top w:val="single" w:color="auto" w:sz="4" w:space="0"/>
              <w:bottom w:val="single" w:color="auto" w:sz="4" w:space="0"/>
            </w:tcBorders>
            <w:vAlign w:val="center"/>
          </w:tcPr>
          <w:p>
            <w:pPr>
              <w:jc w:val="center"/>
              <w:rPr>
                <w:rFonts w:ascii="宋体" w:hAnsi="宋体"/>
                <w:bCs/>
                <w:color w:val="auto"/>
                <w:szCs w:val="21"/>
              </w:rPr>
            </w:pPr>
            <w:r>
              <w:rPr>
                <w:rFonts w:hint="eastAsia" w:ascii="宋体" w:hAnsi="宋体"/>
                <w:bCs/>
                <w:color w:val="auto"/>
                <w:szCs w:val="21"/>
              </w:rPr>
              <w:t>1</w:t>
            </w:r>
          </w:p>
        </w:tc>
        <w:tc>
          <w:tcPr>
            <w:tcW w:w="2550" w:type="dxa"/>
            <w:tcBorders>
              <w:top w:val="single" w:color="auto" w:sz="4" w:space="0"/>
            </w:tcBorders>
            <w:vAlign w:val="center"/>
          </w:tcPr>
          <w:p>
            <w:pPr>
              <w:adjustRightInd w:val="0"/>
              <w:snapToGrid w:val="0"/>
              <w:jc w:val="center"/>
              <w:rPr>
                <w:rFonts w:ascii="宋体" w:hAnsi="宋体"/>
                <w:bCs/>
                <w:color w:val="auto"/>
                <w:szCs w:val="21"/>
                <w:u w:val="single"/>
              </w:rPr>
            </w:pPr>
            <w:r>
              <w:rPr>
                <w:rFonts w:hint="eastAsia" w:ascii="宋体" w:hAnsi="宋体" w:cs="宋体"/>
                <w:bCs/>
                <w:color w:val="auto"/>
                <w:szCs w:val="21"/>
              </w:rPr>
              <w:t>环卫车辆易损件和用品类</w:t>
            </w:r>
          </w:p>
        </w:tc>
        <w:tc>
          <w:tcPr>
            <w:tcW w:w="2595" w:type="dxa"/>
            <w:tcBorders>
              <w:top w:val="single" w:color="auto" w:sz="4" w:space="0"/>
            </w:tcBorders>
            <w:vAlign w:val="center"/>
          </w:tcPr>
          <w:p>
            <w:pPr>
              <w:jc w:val="center"/>
              <w:rPr>
                <w:rFonts w:ascii="宋体" w:hAnsi="宋体"/>
                <w:bCs/>
                <w:color w:val="auto"/>
                <w:szCs w:val="21"/>
              </w:rPr>
            </w:pPr>
            <w:r>
              <w:rPr>
                <w:rFonts w:hint="eastAsia" w:ascii="宋体" w:hAnsi="宋体" w:cs="宋体"/>
                <w:color w:val="auto"/>
                <w:szCs w:val="21"/>
              </w:rPr>
              <w:t>自合同签订之日起一年；采购预算或合同期限其中一项先达到的，即合同终止</w:t>
            </w:r>
          </w:p>
        </w:tc>
        <w:tc>
          <w:tcPr>
            <w:tcW w:w="3249" w:type="dxa"/>
            <w:tcBorders>
              <w:top w:val="single" w:color="auto" w:sz="4" w:space="0"/>
              <w:bottom w:val="single" w:color="auto" w:sz="4" w:space="0"/>
            </w:tcBorders>
            <w:vAlign w:val="center"/>
          </w:tcPr>
          <w:p>
            <w:pPr>
              <w:spacing w:line="360" w:lineRule="auto"/>
              <w:ind w:left="-2" w:leftChars="-1" w:firstLine="2" w:firstLineChars="1"/>
              <w:rPr>
                <w:rFonts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RMB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rPr>
                <w:rFonts w:ascii="宋体" w:hAnsi="宋体"/>
                <w:bCs/>
                <w:color w:val="auto"/>
                <w:szCs w:val="21"/>
                <w:u w:val="single"/>
              </w:rPr>
            </w:pP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6" w:hRule="atLeast"/>
          <w:jc w:val="center"/>
        </w:trPr>
        <w:tc>
          <w:tcPr>
            <w:tcW w:w="1451" w:type="dxa"/>
            <w:tcBorders>
              <w:top w:val="single" w:color="auto" w:sz="4" w:space="0"/>
              <w:bottom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2550" w:type="dxa"/>
            <w:vAlign w:val="center"/>
          </w:tcPr>
          <w:p>
            <w:pPr>
              <w:adjustRightInd w:val="0"/>
              <w:snapToGrid w:val="0"/>
              <w:jc w:val="center"/>
              <w:rPr>
                <w:rFonts w:ascii="宋体" w:hAnsi="宋体"/>
                <w:color w:val="auto"/>
                <w:szCs w:val="21"/>
              </w:rPr>
            </w:pPr>
            <w:r>
              <w:rPr>
                <w:rFonts w:hint="eastAsia" w:ascii="宋体" w:hAnsi="宋体" w:cs="宋体"/>
                <w:bCs/>
                <w:color w:val="auto"/>
                <w:szCs w:val="21"/>
              </w:rPr>
              <w:t>轮胎</w:t>
            </w:r>
          </w:p>
        </w:tc>
        <w:tc>
          <w:tcPr>
            <w:tcW w:w="2595" w:type="dxa"/>
            <w:vAlign w:val="center"/>
          </w:tcPr>
          <w:p>
            <w:pPr>
              <w:jc w:val="center"/>
              <w:rPr>
                <w:rFonts w:ascii="宋体" w:hAnsi="宋体"/>
                <w:color w:val="auto"/>
                <w:szCs w:val="21"/>
              </w:rPr>
            </w:pPr>
            <w:r>
              <w:rPr>
                <w:rFonts w:hint="eastAsia" w:ascii="宋体" w:hAnsi="宋体" w:cs="宋体"/>
                <w:color w:val="auto"/>
                <w:szCs w:val="21"/>
              </w:rPr>
              <w:t>自合同签订之日起一年；采购预算或合同期限其中一项先达到的，即合同终止</w:t>
            </w:r>
          </w:p>
        </w:tc>
        <w:tc>
          <w:tcPr>
            <w:tcW w:w="3249" w:type="dxa"/>
            <w:tcBorders>
              <w:top w:val="single" w:color="auto" w:sz="4" w:space="0"/>
              <w:bottom w:val="single" w:color="auto" w:sz="4" w:space="0"/>
            </w:tcBorders>
            <w:vAlign w:val="center"/>
          </w:tcPr>
          <w:p>
            <w:pPr>
              <w:spacing w:line="360" w:lineRule="auto"/>
              <w:ind w:left="-2" w:leftChars="-1" w:firstLine="2" w:firstLineChars="1"/>
              <w:rPr>
                <w:rFonts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RMB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rPr>
                <w:rFonts w:ascii="宋体" w:hAnsi="宋体"/>
                <w:color w:val="auto"/>
                <w:szCs w:val="21"/>
                <w:u w:val="single"/>
              </w:rPr>
            </w:pP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6" w:hRule="atLeast"/>
          <w:jc w:val="center"/>
        </w:trPr>
        <w:tc>
          <w:tcPr>
            <w:tcW w:w="1451" w:type="dxa"/>
            <w:tcBorders>
              <w:top w:val="single" w:color="auto" w:sz="4" w:space="0"/>
            </w:tcBorders>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2550" w:type="dxa"/>
            <w:vAlign w:val="center"/>
          </w:tcPr>
          <w:p>
            <w:pPr>
              <w:adjustRightInd w:val="0"/>
              <w:snapToGrid w:val="0"/>
              <w:jc w:val="center"/>
              <w:rPr>
                <w:rFonts w:ascii="宋体" w:hAnsi="宋体"/>
                <w:color w:val="auto"/>
                <w:szCs w:val="21"/>
              </w:rPr>
            </w:pPr>
            <w:r>
              <w:rPr>
                <w:rFonts w:hint="eastAsia" w:ascii="宋体" w:hAnsi="宋体" w:cs="宋体"/>
                <w:bCs/>
                <w:color w:val="auto"/>
                <w:szCs w:val="21"/>
              </w:rPr>
              <w:t>润滑油</w:t>
            </w:r>
          </w:p>
        </w:tc>
        <w:tc>
          <w:tcPr>
            <w:tcW w:w="2595" w:type="dxa"/>
            <w:vAlign w:val="center"/>
          </w:tcPr>
          <w:p>
            <w:pPr>
              <w:jc w:val="center"/>
              <w:rPr>
                <w:rFonts w:ascii="宋体" w:hAnsi="宋体"/>
                <w:color w:val="auto"/>
                <w:szCs w:val="21"/>
              </w:rPr>
            </w:pPr>
            <w:r>
              <w:rPr>
                <w:rFonts w:hint="eastAsia" w:ascii="宋体" w:hAnsi="宋体" w:cs="宋体"/>
                <w:color w:val="auto"/>
                <w:szCs w:val="21"/>
              </w:rPr>
              <w:t>自合同签订之日起一年；采购预算或合同期限其中一项先达到的，即合同终止</w:t>
            </w:r>
          </w:p>
        </w:tc>
        <w:tc>
          <w:tcPr>
            <w:tcW w:w="3249" w:type="dxa"/>
            <w:tcBorders>
              <w:top w:val="single" w:color="auto" w:sz="4" w:space="0"/>
            </w:tcBorders>
            <w:vAlign w:val="center"/>
          </w:tcPr>
          <w:p>
            <w:pPr>
              <w:spacing w:line="360" w:lineRule="auto"/>
              <w:ind w:left="-2" w:leftChars="-1" w:firstLine="2" w:firstLineChars="1"/>
              <w:rPr>
                <w:rFonts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RMB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rPr>
                <w:rFonts w:hint="eastAsia" w:ascii="宋体" w:hAnsi="宋体"/>
                <w:color w:val="auto"/>
                <w:szCs w:val="21"/>
              </w:rPr>
            </w:pP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tc>
      </w:tr>
    </w:tbl>
    <w:p>
      <w:pPr>
        <w:spacing w:line="500" w:lineRule="exact"/>
        <w:ind w:firstLine="436" w:firstLineChars="200"/>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r>
        <w:rPr>
          <w:rFonts w:hint="eastAsia" w:ascii="宋体" w:hAnsi="宋体"/>
          <w:color w:val="auto"/>
          <w:spacing w:val="4"/>
          <w:u w:val="single"/>
        </w:rPr>
        <w:t xml:space="preserve">  </w:t>
      </w:r>
      <w:r>
        <w:rPr>
          <w:rFonts w:ascii="宋体" w:hAnsi="宋体"/>
          <w:color w:val="auto"/>
          <w:spacing w:val="4"/>
          <w:u w:val="single"/>
        </w:rPr>
        <w:t xml:space="preserve">     </w:t>
      </w:r>
    </w:p>
    <w:p>
      <w:pPr>
        <w:spacing w:line="400" w:lineRule="exact"/>
        <w:rPr>
          <w:rFonts w:ascii="宋体" w:hAnsi="宋体"/>
          <w:b/>
          <w:bCs/>
          <w:color w:val="auto"/>
          <w:szCs w:val="21"/>
        </w:rPr>
      </w:pPr>
      <w:r>
        <w:rPr>
          <w:rFonts w:hint="eastAsia" w:ascii="宋体" w:hAnsi="宋体"/>
          <w:b/>
          <w:bCs/>
          <w:color w:val="auto"/>
          <w:szCs w:val="21"/>
        </w:rPr>
        <w:t>备注：</w:t>
      </w:r>
    </w:p>
    <w:p>
      <w:pPr>
        <w:adjustRightInd w:val="0"/>
        <w:spacing w:line="360" w:lineRule="auto"/>
        <w:ind w:left="315" w:hanging="315" w:hangingChars="150"/>
        <w:rPr>
          <w:rFonts w:ascii="宋体" w:hAnsi="宋体"/>
          <w:color w:val="auto"/>
          <w:szCs w:val="21"/>
        </w:rPr>
      </w:pPr>
      <w:r>
        <w:rPr>
          <w:rFonts w:hint="eastAsia" w:ascii="宋体" w:hAnsi="宋体"/>
          <w:color w:val="auto"/>
          <w:szCs w:val="21"/>
        </w:rPr>
        <w:t>1. 报价要求投标货币为人民币报价，报价应包括：人工费、管理费用、相关用具的使用费用、各项税费及合同实施过程中不可预见费等完成本招标内容所需的一切费用。</w:t>
      </w:r>
    </w:p>
    <w:p>
      <w:pPr>
        <w:spacing w:line="440" w:lineRule="exact"/>
        <w:rPr>
          <w:rFonts w:ascii="宋体" w:hAnsi="宋体"/>
          <w:color w:val="auto"/>
          <w:szCs w:val="21"/>
        </w:rPr>
      </w:pPr>
      <w:r>
        <w:rPr>
          <w:rFonts w:hint="eastAsia" w:ascii="宋体" w:hAnsi="宋体"/>
          <w:color w:val="auto"/>
          <w:szCs w:val="21"/>
        </w:rPr>
        <w:t>2. 此表除装订于投标文件中外，还应将此表复印一份置于开标信封中。</w:t>
      </w:r>
    </w:p>
    <w:p>
      <w:pPr>
        <w:spacing w:line="440" w:lineRule="exact"/>
        <w:rPr>
          <w:rFonts w:hint="eastAsia" w:ascii="宋体" w:hAnsi="宋体"/>
          <w:color w:val="auto"/>
          <w:szCs w:val="21"/>
        </w:rPr>
      </w:pPr>
      <w:r>
        <w:rPr>
          <w:rFonts w:hint="eastAsia" w:ascii="宋体" w:hAnsi="宋体"/>
          <w:color w:val="auto"/>
          <w:szCs w:val="21"/>
        </w:rPr>
        <w:br w:type="page"/>
      </w:r>
    </w:p>
    <w:p>
      <w:pPr>
        <w:outlineLvl w:val="0"/>
        <w:rPr>
          <w:rFonts w:ascii="宋体" w:hAnsi="宋体"/>
          <w:b/>
          <w:bCs/>
          <w:color w:val="auto"/>
          <w:szCs w:val="21"/>
        </w:rPr>
      </w:pPr>
      <w:r>
        <w:rPr>
          <w:rFonts w:hint="eastAsia" w:ascii="宋体" w:hAnsi="宋体"/>
          <w:b/>
          <w:bCs/>
          <w:color w:val="auto"/>
          <w:szCs w:val="21"/>
        </w:rPr>
        <w:t>包组一：环卫车辆易损件和用品类：</w:t>
      </w:r>
    </w:p>
    <w:tbl>
      <w:tblPr>
        <w:tblStyle w:val="22"/>
        <w:tblW w:w="103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244"/>
        <w:gridCol w:w="818"/>
        <w:gridCol w:w="2280"/>
        <w:gridCol w:w="1734"/>
        <w:gridCol w:w="881"/>
        <w:gridCol w:w="1084"/>
        <w:gridCol w:w="1243"/>
        <w:gridCol w:w="1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类别</w:t>
            </w:r>
          </w:p>
        </w:tc>
        <w:tc>
          <w:tcPr>
            <w:tcW w:w="818"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2280"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名称</w:t>
            </w:r>
          </w:p>
        </w:tc>
        <w:tc>
          <w:tcPr>
            <w:tcW w:w="1734"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型号/规格</w:t>
            </w:r>
          </w:p>
        </w:tc>
        <w:tc>
          <w:tcPr>
            <w:tcW w:w="881" w:type="dxa"/>
            <w:shd w:val="clear" w:color="auto" w:fill="A4A4A4"/>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单位</w:t>
            </w:r>
          </w:p>
        </w:tc>
        <w:tc>
          <w:tcPr>
            <w:tcW w:w="1084" w:type="dxa"/>
            <w:shd w:val="clear" w:color="auto" w:fill="A4A4A4"/>
            <w:vAlign w:val="center"/>
          </w:tcPr>
          <w:p>
            <w:pPr>
              <w:pStyle w:val="2"/>
              <w:spacing w:line="288" w:lineRule="auto"/>
              <w:ind w:firstLine="0"/>
              <w:jc w:val="both"/>
              <w:rPr>
                <w:rFonts w:hint="eastAsia"/>
                <w:b/>
                <w:color w:val="auto"/>
                <w:sz w:val="21"/>
                <w:szCs w:val="21"/>
              </w:rPr>
            </w:pPr>
            <w:r>
              <w:rPr>
                <w:rFonts w:hint="eastAsia"/>
                <w:b/>
                <w:color w:val="auto"/>
                <w:sz w:val="21"/>
                <w:szCs w:val="21"/>
              </w:rPr>
              <w:t>单价最</w:t>
            </w:r>
          </w:p>
          <w:p>
            <w:pPr>
              <w:pStyle w:val="2"/>
              <w:spacing w:line="288" w:lineRule="auto"/>
              <w:ind w:firstLine="0"/>
              <w:jc w:val="both"/>
              <w:rPr>
                <w:b/>
                <w:color w:val="auto"/>
                <w:sz w:val="21"/>
                <w:szCs w:val="21"/>
              </w:rPr>
            </w:pPr>
            <w:r>
              <w:rPr>
                <w:rFonts w:hint="eastAsia"/>
                <w:b/>
                <w:color w:val="auto"/>
                <w:sz w:val="21"/>
                <w:szCs w:val="21"/>
              </w:rPr>
              <w:t>高限价</w:t>
            </w:r>
          </w:p>
          <w:p>
            <w:pPr>
              <w:widowControl/>
              <w:jc w:val="center"/>
              <w:textAlignment w:val="center"/>
              <w:rPr>
                <w:rFonts w:ascii="宋体" w:hAnsi="宋体" w:cs="宋体"/>
                <w:b/>
                <w:bCs/>
                <w:color w:val="auto"/>
                <w:szCs w:val="21"/>
              </w:rPr>
            </w:pPr>
            <w:r>
              <w:rPr>
                <w:rFonts w:hint="eastAsia"/>
                <w:b/>
                <w:color w:val="auto"/>
                <w:szCs w:val="21"/>
              </w:rPr>
              <w:t>（元）</w:t>
            </w:r>
          </w:p>
        </w:tc>
        <w:tc>
          <w:tcPr>
            <w:tcW w:w="1243" w:type="dxa"/>
            <w:shd w:val="clear" w:color="auto" w:fill="A4A4A4"/>
            <w:vAlign w:val="center"/>
          </w:tcPr>
          <w:p>
            <w:pPr>
              <w:widowControl/>
              <w:jc w:val="center"/>
              <w:textAlignment w:val="center"/>
              <w:rPr>
                <w:rFonts w:hint="eastAsia"/>
                <w:b/>
                <w:color w:val="auto"/>
                <w:szCs w:val="21"/>
                <w:lang w:eastAsia="zh-CN"/>
              </w:rPr>
            </w:pPr>
            <w:r>
              <w:rPr>
                <w:rFonts w:hint="eastAsia"/>
                <w:b/>
                <w:color w:val="auto"/>
                <w:szCs w:val="21"/>
                <w:lang w:eastAsia="zh-CN"/>
              </w:rPr>
              <w:t>投标单</w:t>
            </w:r>
          </w:p>
          <w:p>
            <w:pPr>
              <w:widowControl/>
              <w:jc w:val="center"/>
              <w:textAlignment w:val="center"/>
              <w:rPr>
                <w:rFonts w:hint="eastAsia" w:eastAsia="宋体"/>
                <w:b/>
                <w:color w:val="auto"/>
                <w:szCs w:val="21"/>
                <w:lang w:eastAsia="zh-CN"/>
              </w:rPr>
            </w:pPr>
            <w:r>
              <w:rPr>
                <w:rFonts w:hint="eastAsia"/>
                <w:b/>
                <w:color w:val="auto"/>
                <w:szCs w:val="21"/>
                <w:lang w:eastAsia="zh-CN"/>
              </w:rPr>
              <w:t>价报价（元）</w:t>
            </w:r>
          </w:p>
        </w:tc>
        <w:tc>
          <w:tcPr>
            <w:tcW w:w="1021" w:type="dxa"/>
            <w:shd w:val="clear" w:color="auto" w:fill="A4A4A4"/>
            <w:vAlign w:val="center"/>
          </w:tcPr>
          <w:p>
            <w:pPr>
              <w:widowControl/>
              <w:jc w:val="center"/>
              <w:textAlignment w:val="center"/>
              <w:rPr>
                <w:b/>
                <w:color w:val="auto"/>
                <w:szCs w:val="21"/>
              </w:rPr>
            </w:pPr>
            <w:r>
              <w:rPr>
                <w:rFonts w:hint="eastAsia"/>
                <w:b/>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w:t>
            </w:r>
          </w:p>
          <w:p>
            <w:pPr>
              <w:widowControl/>
              <w:jc w:val="center"/>
              <w:textAlignment w:val="center"/>
              <w:rPr>
                <w:rFonts w:ascii="宋体" w:hAnsi="宋体" w:cs="宋体"/>
                <w:color w:val="auto"/>
                <w:szCs w:val="21"/>
              </w:rPr>
            </w:pPr>
            <w:r>
              <w:rPr>
                <w:rFonts w:hint="eastAsia" w:ascii="宋体" w:hAnsi="宋体" w:cs="宋体"/>
                <w:color w:val="auto"/>
                <w:kern w:val="0"/>
                <w:szCs w:val="21"/>
              </w:rPr>
              <w:t>电动扫路车易损件</w:t>
            </w: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保险丝（线束）</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线束5A/10A/30A/50A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普通20A/30A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940A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20A（线束）</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主刷（滚筒）</w:t>
            </w:r>
          </w:p>
        </w:tc>
        <w:tc>
          <w:tcPr>
            <w:tcW w:w="1734" w:type="dxa"/>
            <w:vAlign w:val="center"/>
          </w:tcPr>
          <w:p>
            <w:pPr>
              <w:widowControl/>
              <w:jc w:val="center"/>
              <w:textAlignment w:val="center"/>
              <w:rPr>
                <w:color w:val="auto"/>
              </w:rPr>
            </w:pPr>
            <w:r>
              <w:rPr>
                <w:rFonts w:hint="eastAsia"/>
                <w:color w:val="auto"/>
              </w:rPr>
              <w:t>半软半硬</w:t>
            </w:r>
          </w:p>
          <w:p>
            <w:pPr>
              <w:pStyle w:val="8"/>
              <w:jc w:val="center"/>
              <w:rPr>
                <w:color w:val="auto"/>
              </w:rPr>
            </w:pPr>
            <w:r>
              <w:rPr>
                <w:rFonts w:hint="eastAsia" w:ascii="宋体" w:hAnsi="宋体" w:cs="宋体"/>
                <w:color w:val="auto"/>
                <w:kern w:val="0"/>
                <w:szCs w:val="21"/>
              </w:rPr>
              <w:t>（通用型）</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边刷</w:t>
            </w:r>
          </w:p>
        </w:tc>
        <w:tc>
          <w:tcPr>
            <w:tcW w:w="1734" w:type="dxa"/>
            <w:vAlign w:val="center"/>
          </w:tcPr>
          <w:p>
            <w:pPr>
              <w:widowControl/>
              <w:jc w:val="center"/>
              <w:textAlignment w:val="center"/>
              <w:rPr>
                <w:color w:val="auto"/>
              </w:rPr>
            </w:pPr>
            <w:r>
              <w:rPr>
                <w:rFonts w:hint="eastAsia"/>
                <w:color w:val="auto"/>
              </w:rPr>
              <w:t>半软半硬</w:t>
            </w:r>
          </w:p>
          <w:p>
            <w:pPr>
              <w:pStyle w:val="8"/>
              <w:jc w:val="center"/>
              <w:rPr>
                <w:color w:val="auto"/>
              </w:rPr>
            </w:pPr>
            <w:r>
              <w:rPr>
                <w:rFonts w:hint="eastAsia" w:ascii="宋体" w:hAnsi="宋体" w:cs="宋体"/>
                <w:color w:val="auto"/>
                <w:kern w:val="0"/>
                <w:szCs w:val="21"/>
              </w:rPr>
              <w:t>（通用型）</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四周挡皮（四块）</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1.8公斤/台</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空气滤清器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6006、6205、6204</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6个/套</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边刷电机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主刷电机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行程开关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后轮轴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皮带张紧器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垃圾箱小轮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电动推杆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警示灯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前档皮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前摇臂套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钥匙开关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DC接触器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链条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7"/>
              </w:numPr>
              <w:jc w:val="center"/>
              <w:textAlignment w:val="center"/>
              <w:rPr>
                <w:rFonts w:ascii="宋体" w:hAnsi="宋体" w:cs="宋体"/>
                <w:color w:val="auto"/>
                <w:kern w:val="0"/>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链条轮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（二）</w:t>
            </w:r>
          </w:p>
          <w:p>
            <w:pPr>
              <w:jc w:val="center"/>
              <w:rPr>
                <w:rFonts w:ascii="宋体" w:hAnsi="宋体" w:cs="宋体"/>
                <w:color w:val="auto"/>
                <w:szCs w:val="21"/>
              </w:rPr>
            </w:pPr>
            <w:r>
              <w:rPr>
                <w:rFonts w:hint="eastAsia" w:ascii="宋体" w:hAnsi="宋体" w:cs="宋体"/>
                <w:color w:val="auto"/>
                <w:kern w:val="0"/>
                <w:szCs w:val="21"/>
              </w:rPr>
              <w:t>扫路车及洒水车耗材</w:t>
            </w: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高压水管</w:t>
            </w:r>
          </w:p>
        </w:tc>
        <w:tc>
          <w:tcPr>
            <w:tcW w:w="1734"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15米/条</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电子风扇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脚轮支架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伸缩套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扫把盘及盖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扫路车轮</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铁</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扫车挡胶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油马达联座总成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消防管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65#</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风机皮带轮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音乐喇叭</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扫路车胶轮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调压阀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后喷枪总成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环形喷水支架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吸盘风管/吸盘旁边风管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气阀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水滤器总成</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大</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工具箱锁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100A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机油传感器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发动机水泵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大</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中</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扫路车扫把</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小</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柴油格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冷却液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4L/桶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专用尿素液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20L/桶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处理器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离合器总成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遥控开关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电机继电器总成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498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4655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制动液</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2L/瓶</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尿素泵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刹车套装</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干燥器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汽车冷媒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空调蒸发器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动力转向泵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扫路车气阀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NR200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FS36253</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310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扫路车扫把铁夹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档泥板吊耳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污水盖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扫路车工具箱锁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扫路车轮轴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多路阀手柄</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油马达联座总成</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860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扫路车胶粒喷水咀</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扫路车环形喷水支架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充电胶条</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670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油封</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防尘</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挖板油缸</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515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2260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扫盘总成</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副机输出轴</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扫盘调节杆</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调节支架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538</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扫盘提升气缸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吸盘提升油缸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1275</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副机油门接线</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1000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副机死火接线</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风机皮带</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扫盘支架销</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摆动桥</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345</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扫盘喷水轮架</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508</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尾门油缸</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953</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风机胶垫</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风机刹车片</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155</w:t>
            </w:r>
          </w:p>
        </w:tc>
        <w:tc>
          <w:tcPr>
            <w:tcW w:w="1243" w:type="dxa"/>
            <w:shd w:val="clear" w:color="auto" w:fill="auto"/>
            <w:vAlign w:val="center"/>
          </w:tcPr>
          <w:p>
            <w:pPr>
              <w:widowControl/>
              <w:jc w:val="center"/>
              <w:textAlignment w:val="center"/>
              <w:rPr>
                <w:rFonts w:ascii="宋体" w:hAnsi="宋体" w:cs="宋体"/>
                <w:color w:val="auto"/>
                <w:kern w:val="0"/>
                <w:szCs w:val="21"/>
              </w:rPr>
            </w:pPr>
          </w:p>
        </w:tc>
        <w:tc>
          <w:tcPr>
            <w:tcW w:w="1021" w:type="dxa"/>
            <w:shd w:val="clear" w:color="auto" w:fill="auto"/>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吸盘总成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14450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水炮总成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电磁气阀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4V230C-</w:t>
            </w:r>
            <w:r>
              <w:rPr>
                <w:rFonts w:ascii="Arial" w:hAnsi="Arial" w:cs="Arial"/>
                <w:color w:val="auto"/>
                <w:szCs w:val="21"/>
              </w:rPr>
              <w:t>θ</w:t>
            </w:r>
            <w:r>
              <w:rPr>
                <w:rFonts w:hint="eastAsia" w:ascii="宋体" w:hAnsi="宋体" w:cs="宋体"/>
                <w:color w:val="auto"/>
                <w:szCs w:val="21"/>
              </w:rPr>
              <w:t>8</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洒水车球阀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洒水车气动切断阀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洒水车后喷水咀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水泵叶轮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水泵密封垫</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07多路阀片</w:t>
            </w:r>
          </w:p>
        </w:tc>
        <w:tc>
          <w:tcPr>
            <w:tcW w:w="1734" w:type="dxa"/>
            <w:shd w:val="clear" w:color="auto" w:fill="auto"/>
            <w:vAlign w:val="center"/>
          </w:tcPr>
          <w:p>
            <w:pPr>
              <w:jc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洒水车放水阀</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kern w:val="0"/>
                <w:szCs w:val="21"/>
              </w:rPr>
              <w:t>GF-3Z</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水车水管</w:t>
            </w:r>
          </w:p>
        </w:tc>
        <w:tc>
          <w:tcPr>
            <w:tcW w:w="1734" w:type="dxa"/>
            <w:shd w:val="clear" w:color="auto" w:fill="auto"/>
            <w:vAlign w:val="center"/>
          </w:tcPr>
          <w:p>
            <w:pPr>
              <w:jc w:val="center"/>
              <w:rPr>
                <w:rFonts w:ascii="宋体" w:hAnsi="宋体" w:cs="宋体"/>
                <w:color w:val="auto"/>
                <w:szCs w:val="21"/>
              </w:rPr>
            </w:pPr>
            <w:r>
              <w:rPr>
                <w:rFonts w:hint="eastAsia" w:ascii="宋体" w:hAnsi="宋体" w:cs="宋体"/>
                <w:color w:val="auto"/>
                <w:szCs w:val="21"/>
              </w:rPr>
              <w:t>90*105</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洒水车传动轴</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760#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洒水车前喷咀</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万向</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车门双向阀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车门内饰板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刹车蹄销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车牌灯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车厢边灯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车厢顶灯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大灯插座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倒车灯开关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方向机油壶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法兰轴承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99</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后轮螺母</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后轮螺丝</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灭火器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3kg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三角架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消防水带</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卷</w:t>
            </w:r>
          </w:p>
        </w:tc>
        <w:tc>
          <w:tcPr>
            <w:tcW w:w="1084"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580 </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高压水枪</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把</w:t>
            </w:r>
          </w:p>
        </w:tc>
        <w:tc>
          <w:tcPr>
            <w:tcW w:w="1084"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18"/>
              </w:numPr>
              <w:jc w:val="center"/>
              <w:rPr>
                <w:rFonts w:ascii="宋体" w:hAnsi="宋体" w:cs="宋体"/>
                <w:color w:val="auto"/>
                <w:szCs w:val="21"/>
              </w:rPr>
            </w:pPr>
          </w:p>
        </w:tc>
        <w:tc>
          <w:tcPr>
            <w:tcW w:w="2280" w:type="dxa"/>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高压喷头</w:t>
            </w:r>
          </w:p>
        </w:tc>
        <w:tc>
          <w:tcPr>
            <w:tcW w:w="1734" w:type="dxa"/>
            <w:vAlign w:val="center"/>
          </w:tcPr>
          <w:p>
            <w:pPr>
              <w:jc w:val="center"/>
              <w:rPr>
                <w:rFonts w:ascii="宋体" w:hAnsi="宋体" w:eastAsia="宋体" w:cs="宋体"/>
                <w:color w:val="auto"/>
                <w:kern w:val="2"/>
                <w:sz w:val="21"/>
                <w:szCs w:val="21"/>
                <w:highlight w:val="none"/>
                <w:lang w:val="en-US" w:eastAsia="zh-CN" w:bidi="ar-SA"/>
              </w:rPr>
            </w:pPr>
          </w:p>
        </w:tc>
        <w:tc>
          <w:tcPr>
            <w:tcW w:w="881"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个</w:t>
            </w:r>
          </w:p>
        </w:tc>
        <w:tc>
          <w:tcPr>
            <w:tcW w:w="1084" w:type="dxa"/>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w:t>
            </w:r>
          </w:p>
          <w:p>
            <w:pPr>
              <w:widowControl/>
              <w:jc w:val="center"/>
              <w:textAlignment w:val="center"/>
              <w:rPr>
                <w:rFonts w:ascii="宋体" w:hAnsi="宋体" w:cs="宋体"/>
                <w:color w:val="auto"/>
                <w:szCs w:val="21"/>
              </w:rPr>
            </w:pPr>
            <w:r>
              <w:rPr>
                <w:rFonts w:hint="eastAsia" w:ascii="宋体" w:hAnsi="宋体" w:cs="宋体"/>
                <w:color w:val="auto"/>
                <w:kern w:val="0"/>
                <w:szCs w:val="21"/>
              </w:rPr>
              <w:t>垃圾桶装车耗材</w:t>
            </w: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离合器总成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处理器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遥控开关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电机继电器总成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498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尿素泵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刹车套装</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真空助力器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玻璃升降机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传感器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空调蒸发器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水箱电子扇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空调干燥器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启动机水泵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1900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动力转向泵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柴油格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电池头</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铜</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刹车鼓</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离合器压盘</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离合器分器拨叉</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离合器分离拨叉轴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涡轮增压器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发电机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启动机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离合器总泵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离合器分离拨叉</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真空助力器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付</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雾灯开关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点火开关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传动轴十字头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上车扶手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后轮内油封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后轮外油封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后灯总成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83</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冷气机皮带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玻璃升降搞手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冷气机压带轮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19"/>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半轴油封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w:t>
            </w:r>
          </w:p>
          <w:p>
            <w:pPr>
              <w:widowControl/>
              <w:jc w:val="center"/>
              <w:textAlignment w:val="center"/>
              <w:rPr>
                <w:rFonts w:ascii="宋体" w:hAnsi="宋体" w:cs="宋体"/>
                <w:color w:val="auto"/>
                <w:szCs w:val="21"/>
              </w:rPr>
            </w:pPr>
            <w:r>
              <w:rPr>
                <w:rFonts w:hint="eastAsia" w:ascii="宋体" w:hAnsi="宋体" w:cs="宋体"/>
                <w:color w:val="auto"/>
                <w:kern w:val="0"/>
                <w:szCs w:val="21"/>
                <w:lang w:eastAsia="zh-CN"/>
              </w:rPr>
              <w:t>垃圾</w:t>
            </w:r>
            <w:r>
              <w:rPr>
                <w:rFonts w:hint="eastAsia" w:ascii="宋体" w:hAnsi="宋体" w:cs="宋体"/>
                <w:color w:val="auto"/>
                <w:kern w:val="0"/>
                <w:szCs w:val="21"/>
              </w:rPr>
              <w:t>压缩箱易损件</w:t>
            </w: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密封条</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13米/箱</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推铲缸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翻转缸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4360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单相断路器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电脑总成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滤芯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接触器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排水胶圈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0"/>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排水塞</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（五）</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碎树机</w:t>
            </w:r>
          </w:p>
          <w:p>
            <w:pPr>
              <w:widowControl/>
              <w:jc w:val="center"/>
              <w:textAlignment w:val="center"/>
              <w:rPr>
                <w:rFonts w:ascii="宋体" w:hAnsi="宋体" w:cs="宋体"/>
                <w:color w:val="auto"/>
                <w:szCs w:val="21"/>
              </w:rPr>
            </w:pPr>
            <w:r>
              <w:rPr>
                <w:rFonts w:hint="eastAsia" w:ascii="宋体" w:hAnsi="宋体" w:cs="宋体"/>
                <w:color w:val="auto"/>
                <w:kern w:val="0"/>
                <w:szCs w:val="21"/>
              </w:rPr>
              <w:t>易损件</w:t>
            </w: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碎树机合金钢刀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皮带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1"/>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（六）</w:t>
            </w:r>
          </w:p>
          <w:p>
            <w:pPr>
              <w:widowControl/>
              <w:jc w:val="center"/>
              <w:textAlignment w:val="center"/>
              <w:rPr>
                <w:rFonts w:ascii="宋体" w:hAnsi="宋体" w:cs="宋体"/>
                <w:color w:val="auto"/>
                <w:szCs w:val="21"/>
              </w:rPr>
            </w:pPr>
            <w:r>
              <w:rPr>
                <w:rFonts w:hint="eastAsia" w:ascii="宋体" w:hAnsi="宋体" w:cs="宋体"/>
                <w:color w:val="auto"/>
                <w:kern w:val="0"/>
                <w:szCs w:val="21"/>
              </w:rPr>
              <w:t>用品类</w:t>
            </w: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马路扫</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水龙头</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氢氧化钠</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路面清洗剂</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4分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6分</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大卷纸</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箱</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长形地拖</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90cm</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毛巾</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84#</w:t>
            </w:r>
            <w:r>
              <w:rPr>
                <w:rFonts w:hint="eastAsia" w:ascii="宋体" w:hAnsi="宋体" w:cs="宋体"/>
                <w:color w:val="auto"/>
                <w:kern w:val="0"/>
                <w:szCs w:val="21"/>
              </w:rPr>
              <w:t>消毒水</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洗手液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洁厕宝</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洗衣粉</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5KG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洗衣粉</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20KG</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棉纱手套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反光衣</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雨衣（橙色加厚）</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水鞋</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胶手套</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双</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一次性口罩</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防护</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布袖套</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对</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环卫工人反光帽</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救生衣</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救生圈</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水裤</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防毒口罩</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塑料小扫把</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铁制垃圾铲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大胶铲</w:t>
            </w:r>
          </w:p>
        </w:tc>
        <w:tc>
          <w:tcPr>
            <w:tcW w:w="1734" w:type="dxa"/>
            <w:vAlign w:val="center"/>
          </w:tcPr>
          <w:p>
            <w:pP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垃圾夹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洗洁精</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地拖</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地拖桶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1.2*1.4m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1*1.2m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0.8*1m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0.58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塑料垃圾袋</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0.54*0.6m</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0.3</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草帽</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油桶</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雪糕桶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生料带</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水龙头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4分/50米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胶管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6分/50米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手喷壶</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1L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灭火器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消防水带</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20米</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切割机</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380V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塑料凳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张</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焊条</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包</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电焊机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钢刷</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卫生间纸篓</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稀盐酸</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20kg</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小卷纸</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维达</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大卷纸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卷</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厕所刷</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排气扇</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8寸</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化油器清洗剂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防锈剂</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DW-40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丁晴手套</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对</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tblHeader/>
          <w:jc w:val="center"/>
        </w:trPr>
        <w:tc>
          <w:tcPr>
            <w:tcW w:w="1244" w:type="dxa"/>
            <w:vMerge w:val="continue"/>
            <w:tcBorders>
              <w:bottom w:val="single" w:color="auto" w:sz="4" w:space="0"/>
            </w:tcBorders>
            <w:vAlign w:val="center"/>
          </w:tcPr>
          <w:p>
            <w:pPr>
              <w:jc w:val="center"/>
              <w:rPr>
                <w:rFonts w:ascii="宋体" w:hAnsi="宋体" w:cs="宋体"/>
                <w:color w:val="auto"/>
                <w:szCs w:val="21"/>
              </w:rPr>
            </w:pPr>
          </w:p>
        </w:tc>
        <w:tc>
          <w:tcPr>
            <w:tcW w:w="818" w:type="dxa"/>
            <w:tcBorders>
              <w:bottom w:val="single" w:color="auto" w:sz="4" w:space="0"/>
            </w:tcBorders>
            <w:vAlign w:val="center"/>
          </w:tcPr>
          <w:p>
            <w:pPr>
              <w:widowControl/>
              <w:numPr>
                <w:ilvl w:val="0"/>
                <w:numId w:val="22"/>
              </w:numPr>
              <w:jc w:val="center"/>
              <w:textAlignment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灭蚊灯</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8w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tcBorders>
              <w:top w:val="single" w:color="auto"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（七）</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四轮电动高压冲洗车及驳运车</w:t>
            </w:r>
          </w:p>
          <w:p>
            <w:pPr>
              <w:jc w:val="center"/>
              <w:rPr>
                <w:rFonts w:ascii="宋体" w:hAnsi="宋体" w:cs="宋体"/>
                <w:color w:val="auto"/>
                <w:szCs w:val="21"/>
              </w:rPr>
            </w:pPr>
            <w:r>
              <w:rPr>
                <w:rFonts w:hint="eastAsia" w:ascii="宋体" w:hAnsi="宋体" w:cs="宋体"/>
                <w:color w:val="auto"/>
                <w:kern w:val="0"/>
                <w:szCs w:val="21"/>
              </w:rPr>
              <w:t>易损件</w:t>
            </w:r>
          </w:p>
        </w:tc>
        <w:tc>
          <w:tcPr>
            <w:tcW w:w="818" w:type="dxa"/>
            <w:tcBorders>
              <w:top w:val="single" w:color="auto" w:sz="4" w:space="0"/>
            </w:tcBorders>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汽油格</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整车电池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6个/套</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80A</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空气滤芯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火花塞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机油滤芯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启动马达继电器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点火线圈</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启动开关及钥匙</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拉盘</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widowControl/>
              <w:jc w:val="center"/>
              <w:textAlignment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拉绳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油门控制手柄</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控制线</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化油器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百力通18HP</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启动电瓶       </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通用12V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压力表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水封（每套3个）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油封（每套3个）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高压阀（每套6个）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分体式调压阀总成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柱塞陶瓷套（每套3个）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高压管</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15米</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高压水枪柄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高压水枪杆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旋转喷头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喷嘴</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15#</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进水嘴接头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进水过滤器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平面清洗器枪柄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旋转体硬质合金</w:t>
            </w:r>
          </w:p>
        </w:tc>
        <w:tc>
          <w:tcPr>
            <w:tcW w:w="1734" w:type="dxa"/>
            <w:vAlign w:val="center"/>
          </w:tcPr>
          <w:p>
            <w:pPr>
              <w:jc w:val="center"/>
              <w:rPr>
                <w:rFonts w:ascii="宋体" w:hAnsi="宋体" w:cs="宋体"/>
                <w:color w:val="auto"/>
                <w:szCs w:val="21"/>
              </w:rPr>
            </w:pPr>
          </w:p>
        </w:tc>
        <w:tc>
          <w:tcPr>
            <w:tcW w:w="881"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清洗杆</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单孔喷嘴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挡水毛边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万向轮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转换接头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充电接头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前轮轴承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转向灯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支</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行走电机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手刹柄</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驳运车方向机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转向节总成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刹车总泵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液压油缸</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液压马达</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398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控制开关总成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普通开关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6V225AH</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12个/组</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电机</w:t>
            </w:r>
          </w:p>
        </w:tc>
        <w:tc>
          <w:tcPr>
            <w:tcW w:w="1734" w:type="dxa"/>
            <w:vAlign w:val="center"/>
          </w:tcPr>
          <w:p>
            <w:pPr>
              <w:jc w:val="center"/>
              <w:rPr>
                <w:rFonts w:ascii="宋体" w:hAnsi="宋体" w:cs="宋体"/>
                <w:color w:val="auto"/>
                <w:szCs w:val="21"/>
              </w:rPr>
            </w:pPr>
            <w:r>
              <w:rPr>
                <w:rFonts w:hint="eastAsia" w:ascii="宋体" w:hAnsi="宋体" w:cs="宋体"/>
                <w:color w:val="auto"/>
                <w:kern w:val="0"/>
                <w:szCs w:val="21"/>
              </w:rPr>
              <w:t>72V</w:t>
            </w: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控制器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加速器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冲洗车方向机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轮辋</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仪表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后桥</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侧视镜</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动力线耒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前小灯</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尾灯组件</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刹车分泵</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组</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液压尾板总成</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动力单元</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加速器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雨刮臂</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刮片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前挡风玻璃</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刹车蹄片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前减震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组合开关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档位开关</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直流换向接触器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72V直流转换器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电喇叭</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左羊角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右羊角</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主减速器</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半轴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液压单元电机</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四轮高压冲洗车充电器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3"/>
              </w:numPr>
              <w:jc w:val="center"/>
              <w:rPr>
                <w:rFonts w:ascii="宋体" w:hAnsi="宋体" w:cs="宋体"/>
                <w:color w:val="auto"/>
                <w:szCs w:val="21"/>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驳运车充电器</w:t>
            </w:r>
          </w:p>
        </w:tc>
        <w:tc>
          <w:tcPr>
            <w:tcW w:w="1734" w:type="dxa"/>
            <w:vAlign w:val="center"/>
          </w:tcPr>
          <w:p>
            <w:pPr>
              <w:jc w:val="center"/>
              <w:rPr>
                <w:rFonts w:ascii="宋体" w:hAnsi="宋体" w:cs="宋体"/>
                <w:color w:val="auto"/>
                <w:szCs w:val="21"/>
              </w:rPr>
            </w:pPr>
            <w:r>
              <w:rPr>
                <w:rFonts w:hint="eastAsia" w:ascii="宋体" w:hAnsi="宋体" w:cs="宋体"/>
                <w:color w:val="auto"/>
                <w:szCs w:val="21"/>
              </w:rPr>
              <w:t>72V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（八）</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餐厨设备</w:t>
            </w:r>
          </w:p>
          <w:p>
            <w:pPr>
              <w:widowControl/>
              <w:jc w:val="center"/>
              <w:textAlignment w:val="center"/>
              <w:rPr>
                <w:rFonts w:ascii="宋体" w:hAnsi="宋体" w:cs="宋体"/>
                <w:color w:val="auto"/>
                <w:szCs w:val="21"/>
              </w:rPr>
            </w:pPr>
            <w:r>
              <w:rPr>
                <w:rFonts w:hint="eastAsia" w:ascii="宋体" w:hAnsi="宋体" w:cs="宋体"/>
                <w:color w:val="auto"/>
                <w:kern w:val="0"/>
                <w:szCs w:val="21"/>
              </w:rPr>
              <w:t>易损件</w:t>
            </w: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破碎机动刀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破碎机定刀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密封圈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破碎机调心滚子轴承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电磁阀</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弹簧</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输送机带座轴承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链板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裙边</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大齿轮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小齿轮</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发酵仓调心滚子轴承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发酵仓带座球轴承</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4600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发酵仓密封圈</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件</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发酵仓搅拌叶片</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胶水管</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米</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水龙头</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铜水枪</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4"/>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卷闸门锁</w:t>
            </w:r>
          </w:p>
        </w:tc>
        <w:tc>
          <w:tcPr>
            <w:tcW w:w="1734" w:type="dxa"/>
            <w:vAlign w:val="center"/>
          </w:tcPr>
          <w:p>
            <w:pPr>
              <w:jc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把</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九</w:t>
            </w:r>
            <w:r>
              <w:rPr>
                <w:rFonts w:hint="eastAsia" w:ascii="宋体" w:hAnsi="宋体" w:cs="宋体"/>
                <w:color w:val="auto"/>
                <w:kern w:val="0"/>
                <w:szCs w:val="21"/>
              </w:rPr>
              <w:t>）</w:t>
            </w:r>
          </w:p>
          <w:p>
            <w:pPr>
              <w:widowControl/>
              <w:jc w:val="center"/>
              <w:textAlignment w:val="center"/>
              <w:rPr>
                <w:rFonts w:ascii="宋体" w:hAnsi="宋体" w:cs="宋体"/>
                <w:color w:val="auto"/>
                <w:szCs w:val="21"/>
              </w:rPr>
            </w:pPr>
            <w:r>
              <w:rPr>
                <w:rFonts w:hint="eastAsia" w:ascii="宋体" w:hAnsi="宋体" w:cs="宋体"/>
                <w:color w:val="auto"/>
                <w:kern w:val="0"/>
                <w:szCs w:val="21"/>
              </w:rPr>
              <w:t>自装卸式垃圾车易损件</w:t>
            </w: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汽油格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雨刮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空气滤芯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空调压缩机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高压油管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液压电机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继电器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电子阀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反桶架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手刹线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开关总成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方向机（电子）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电池头（铜）</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水箱电子风扇</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空调散热网</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5"/>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szCs w:val="21"/>
              </w:rPr>
            </w:pPr>
            <w:r>
              <w:rPr>
                <w:rFonts w:hint="eastAsia" w:ascii="宋体" w:hAnsi="宋体" w:cs="宋体"/>
                <w:color w:val="auto"/>
                <w:szCs w:val="21"/>
              </w:rPr>
              <w:t>（十）</w:t>
            </w:r>
          </w:p>
          <w:p>
            <w:pPr>
              <w:jc w:val="center"/>
              <w:rPr>
                <w:rFonts w:ascii="宋体" w:hAnsi="宋体" w:cs="宋体"/>
                <w:color w:val="auto"/>
                <w:szCs w:val="21"/>
              </w:rPr>
            </w:pPr>
            <w:r>
              <w:rPr>
                <w:rFonts w:hint="eastAsia" w:ascii="宋体" w:hAnsi="宋体" w:cs="宋体"/>
                <w:color w:val="auto"/>
                <w:szCs w:val="21"/>
              </w:rPr>
              <w:t>压缩车</w:t>
            </w:r>
          </w:p>
          <w:p>
            <w:pPr>
              <w:jc w:val="center"/>
              <w:rPr>
                <w:rFonts w:ascii="宋体" w:hAnsi="宋体" w:cs="宋体"/>
                <w:color w:val="auto"/>
                <w:szCs w:val="21"/>
              </w:rPr>
            </w:pPr>
            <w:r>
              <w:rPr>
                <w:rFonts w:hint="eastAsia" w:ascii="宋体" w:hAnsi="宋体" w:cs="宋体"/>
                <w:color w:val="auto"/>
                <w:szCs w:val="21"/>
              </w:rPr>
              <w:t>易损件</w:t>
            </w: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保险丝</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60A/80A/100A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六脚继电器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玻璃升降器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倒档拨叉</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脚踏板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刹车继动阀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打风泵总成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雨刮连动杆</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油水分离器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车门外锁</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入档防尘套</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高压油管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柴油网管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柴油格感应器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废气管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挂档支架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尾灯总成</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三色</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前雾灯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水温传感器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空调散热网</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组合开关</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干燥瓶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空气格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油门回位弹簧</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打</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空调皮带轮</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暖风电机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前刹车鼓</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发电机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气压传感器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进气伸缩管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顶灯</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离合片</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430</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车门外拉手</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导流板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前轮油封</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消声器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副车箱</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前刹车分泵</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方向机油管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储气筒</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40L</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转速传感器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转向助力泵</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驾驶室座椅</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张</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压缩机</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刹车风管</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柴油格</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前轮板</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车门玻璃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组合仪表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3568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温控开关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车门下护板</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钢圈</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控制单元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刹车皮</w:t>
            </w:r>
          </w:p>
        </w:tc>
        <w:tc>
          <w:tcPr>
            <w:tcW w:w="173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14.5mm</w:t>
            </w: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遮阳罩总成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水箱</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点火开关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倒车镜</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方向机总成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排气接管</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前大灯</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支</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排气门油封</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进气门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转向主销</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高压油泵总成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风扇叶</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车门密封条</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气喇叭电磁阀</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取力器总成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挡风玻璃</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件</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水泵总成</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雨刮喷水嘴</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后轮毂</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喷水马达</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电源总开关</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皮带</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电子调节器</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雨刮片</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shd w:val="clear" w:color="auto" w:fill="auto"/>
            <w:vAlign w:val="center"/>
          </w:tcPr>
          <w:p>
            <w:pPr>
              <w:numPr>
                <w:ilvl w:val="0"/>
                <w:numId w:val="26"/>
              </w:numPr>
              <w:jc w:val="center"/>
              <w:rPr>
                <w:rFonts w:ascii="宋体" w:hAnsi="宋体" w:cs="宋体"/>
                <w:color w:val="auto"/>
                <w:sz w:val="24"/>
              </w:rPr>
            </w:pPr>
          </w:p>
        </w:tc>
        <w:tc>
          <w:tcPr>
            <w:tcW w:w="2280"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尿素箱</w:t>
            </w:r>
          </w:p>
        </w:tc>
        <w:tc>
          <w:tcPr>
            <w:tcW w:w="1734" w:type="dxa"/>
            <w:shd w:val="clear" w:color="auto" w:fill="auto"/>
            <w:vAlign w:val="center"/>
          </w:tcPr>
          <w:p>
            <w:pPr>
              <w:widowControl/>
              <w:jc w:val="center"/>
              <w:textAlignment w:val="center"/>
              <w:rPr>
                <w:rFonts w:ascii="宋体" w:hAnsi="宋体" w:cs="宋体"/>
                <w:color w:val="auto"/>
                <w:szCs w:val="21"/>
              </w:rPr>
            </w:pPr>
          </w:p>
        </w:tc>
        <w:tc>
          <w:tcPr>
            <w:tcW w:w="881"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电源比例阀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3950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水箱盖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保险杠</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空调控制器面板总成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595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中心螺丝</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尿素盖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油门座</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拉线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拉力杆螺丝</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箱</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膨胀阀</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补胎胶</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盒</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补胎胶水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瓶</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快速接头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电喇叭</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喇叭线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6"/>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手刹感应器</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restart"/>
            <w:vAlign w:val="center"/>
          </w:tcPr>
          <w:p>
            <w:pPr>
              <w:jc w:val="center"/>
              <w:rPr>
                <w:rFonts w:ascii="宋体" w:hAns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一</w:t>
            </w:r>
            <w:r>
              <w:rPr>
                <w:rFonts w:hint="eastAsia" w:ascii="宋体" w:hAnsi="宋体" w:cs="宋体"/>
                <w:color w:val="auto"/>
                <w:szCs w:val="21"/>
              </w:rPr>
              <w:t>）</w:t>
            </w:r>
          </w:p>
          <w:p>
            <w:pPr>
              <w:jc w:val="center"/>
              <w:rPr>
                <w:rFonts w:ascii="宋体" w:hAnsi="宋体" w:cs="宋体"/>
                <w:color w:val="auto"/>
                <w:szCs w:val="21"/>
              </w:rPr>
            </w:pPr>
            <w:r>
              <w:rPr>
                <w:rFonts w:hint="eastAsia" w:ascii="宋体" w:hAnsi="宋体" w:cs="宋体"/>
                <w:color w:val="auto"/>
                <w:szCs w:val="21"/>
              </w:rPr>
              <w:t>电动三轮车易损件</w:t>
            </w:r>
          </w:p>
          <w:p>
            <w:pPr>
              <w:jc w:val="center"/>
              <w:rPr>
                <w:color w:val="auto"/>
              </w:rPr>
            </w:pPr>
          </w:p>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48V800W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电机</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60V1500W</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780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48V32A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1560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48V22A</w:t>
            </w:r>
            <w:r>
              <w:rPr>
                <w:rFonts w:hint="eastAsia" w:ascii="宋体" w:hAnsi="宋体" w:cs="宋体"/>
                <w:color w:val="auto"/>
                <w:kern w:val="0"/>
                <w:szCs w:val="21"/>
              </w:rPr>
              <w:t>黑金</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电池</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60V35A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组</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48V20A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110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48V32A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充电器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60V35A</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刹车柄</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76</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前刹线</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前刹车边盖</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jc w:val="center"/>
              <w:rPr>
                <w:rFonts w:ascii="宋体" w:hAnsi="宋体" w:cs="宋体"/>
                <w:color w:val="auto"/>
                <w:szCs w:val="21"/>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控制器</w:t>
            </w:r>
          </w:p>
        </w:tc>
        <w:tc>
          <w:tcPr>
            <w:tcW w:w="17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48V</w:t>
            </w: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258</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 xml:space="preserve">后桥 </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850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加速手柄</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锁胆</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刹车鼓</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刹车片</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片</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前刹车总成</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套</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前轮半轴</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1244" w:type="dxa"/>
            <w:vMerge w:val="continue"/>
            <w:vAlign w:val="center"/>
          </w:tcPr>
          <w:p>
            <w:pPr>
              <w:pStyle w:val="2"/>
              <w:rPr>
                <w:color w:val="auto"/>
              </w:rPr>
            </w:pPr>
          </w:p>
        </w:tc>
        <w:tc>
          <w:tcPr>
            <w:tcW w:w="818" w:type="dxa"/>
            <w:vAlign w:val="center"/>
          </w:tcPr>
          <w:p>
            <w:pPr>
              <w:numPr>
                <w:ilvl w:val="0"/>
                <w:numId w:val="27"/>
              </w:numPr>
              <w:jc w:val="center"/>
              <w:rPr>
                <w:rFonts w:ascii="宋体" w:hAnsi="宋体" w:cs="宋体"/>
                <w:color w:val="auto"/>
                <w:sz w:val="24"/>
              </w:rPr>
            </w:pPr>
          </w:p>
        </w:tc>
        <w:tc>
          <w:tcPr>
            <w:tcW w:w="22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后视镜</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243" w:type="dxa"/>
            <w:vAlign w:val="center"/>
          </w:tcPr>
          <w:p>
            <w:pPr>
              <w:widowControl/>
              <w:jc w:val="center"/>
              <w:textAlignment w:val="center"/>
              <w:rPr>
                <w:rFonts w:ascii="宋体" w:hAnsi="宋体" w:cs="宋体"/>
                <w:color w:val="auto"/>
                <w:kern w:val="0"/>
                <w:szCs w:val="21"/>
              </w:rPr>
            </w:pPr>
          </w:p>
        </w:tc>
        <w:tc>
          <w:tcPr>
            <w:tcW w:w="1021" w:type="dxa"/>
            <w:vAlign w:val="center"/>
          </w:tcPr>
          <w:p>
            <w:pPr>
              <w:widowControl/>
              <w:jc w:val="center"/>
              <w:textAlignment w:val="center"/>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10" w:hRule="atLeast"/>
          <w:tblHeader/>
          <w:jc w:val="center"/>
        </w:trPr>
        <w:tc>
          <w:tcPr>
            <w:tcW w:w="4342" w:type="dxa"/>
            <w:gridSpan w:val="3"/>
            <w:vAlign w:val="center"/>
          </w:tcPr>
          <w:p>
            <w:pPr>
              <w:widowControl/>
              <w:jc w:val="center"/>
              <w:textAlignment w:val="center"/>
              <w:rPr>
                <w:rFonts w:ascii="宋体" w:hAnsi="宋体" w:cs="宋体"/>
                <w:color w:val="auto"/>
                <w:kern w:val="0"/>
                <w:szCs w:val="21"/>
              </w:rPr>
            </w:pPr>
            <w:r>
              <w:rPr>
                <w:rFonts w:hint="eastAsia" w:ascii="宋体" w:hAnsi="宋体" w:cs="宋体"/>
                <w:b/>
                <w:color w:val="auto"/>
                <w:kern w:val="0"/>
                <w:szCs w:val="21"/>
              </w:rPr>
              <w:t>单价合计（元）</w:t>
            </w:r>
          </w:p>
        </w:tc>
        <w:tc>
          <w:tcPr>
            <w:tcW w:w="1734" w:type="dxa"/>
            <w:vAlign w:val="center"/>
          </w:tcPr>
          <w:p>
            <w:pPr>
              <w:widowControl/>
              <w:jc w:val="center"/>
              <w:textAlignment w:val="center"/>
              <w:rPr>
                <w:rFonts w:ascii="宋体" w:hAnsi="宋体" w:cs="宋体"/>
                <w:color w:val="auto"/>
                <w:szCs w:val="21"/>
              </w:rPr>
            </w:pPr>
          </w:p>
        </w:tc>
        <w:tc>
          <w:tcPr>
            <w:tcW w:w="881" w:type="dxa"/>
            <w:vAlign w:val="center"/>
          </w:tcPr>
          <w:p>
            <w:pPr>
              <w:widowControl/>
              <w:jc w:val="center"/>
              <w:textAlignment w:val="center"/>
              <w:rPr>
                <w:rFonts w:ascii="宋体" w:hAnsi="宋体" w:cs="宋体"/>
                <w:color w:val="auto"/>
                <w:kern w:val="0"/>
                <w:szCs w:val="21"/>
              </w:rPr>
            </w:pPr>
          </w:p>
        </w:tc>
        <w:tc>
          <w:tcPr>
            <w:tcW w:w="108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sum(F2:F567) \* MERGEFORMAT </w:instrText>
            </w:r>
            <w:r>
              <w:rPr>
                <w:rFonts w:hint="eastAsia" w:ascii="宋体" w:hAnsi="宋体" w:cs="宋体"/>
                <w:color w:val="auto"/>
                <w:kern w:val="0"/>
                <w:szCs w:val="21"/>
              </w:rPr>
              <w:fldChar w:fldCharType="separate"/>
            </w:r>
            <w:r>
              <w:rPr>
                <w:rFonts w:hint="eastAsia" w:ascii="宋体" w:hAnsi="宋体" w:cs="宋体"/>
                <w:color w:val="auto"/>
                <w:kern w:val="0"/>
                <w:szCs w:val="21"/>
              </w:rPr>
              <w:t>533903.43</w:t>
            </w:r>
            <w:r>
              <w:rPr>
                <w:rFonts w:hint="eastAsia" w:ascii="宋体" w:hAnsi="宋体" w:cs="宋体"/>
                <w:color w:val="auto"/>
                <w:kern w:val="0"/>
                <w:szCs w:val="21"/>
              </w:rPr>
              <w:fldChar w:fldCharType="end"/>
            </w:r>
          </w:p>
        </w:tc>
        <w:tc>
          <w:tcPr>
            <w:tcW w:w="1243" w:type="dxa"/>
            <w:vAlign w:val="center"/>
          </w:tcPr>
          <w:p>
            <w:pPr>
              <w:widowControl/>
              <w:jc w:val="center"/>
              <w:textAlignment w:val="center"/>
              <w:rPr>
                <w:rFonts w:ascii="宋体" w:hAnsi="宋体" w:cs="宋体"/>
                <w:color w:val="auto"/>
                <w:sz w:val="22"/>
                <w:szCs w:val="22"/>
              </w:rPr>
            </w:pPr>
          </w:p>
        </w:tc>
        <w:tc>
          <w:tcPr>
            <w:tcW w:w="1021" w:type="dxa"/>
            <w:vAlign w:val="center"/>
          </w:tcPr>
          <w:p>
            <w:pPr>
              <w:widowControl/>
              <w:jc w:val="center"/>
              <w:textAlignment w:val="center"/>
              <w:rPr>
                <w:rFonts w:ascii="宋体" w:hAnsi="宋体" w:cs="宋体"/>
                <w:color w:val="auto"/>
                <w:sz w:val="22"/>
                <w:szCs w:val="22"/>
              </w:rPr>
            </w:pPr>
          </w:p>
        </w:tc>
      </w:tr>
    </w:tbl>
    <w:p>
      <w:pPr>
        <w:pStyle w:val="5"/>
        <w:rPr>
          <w:rFonts w:hint="eastAsia" w:ascii="宋体" w:hAnsi="宋体" w:eastAsia="宋体" w:cs="Times New Roman"/>
          <w:b/>
          <w:bCs w:val="0"/>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包组二：轮胎</w:t>
      </w:r>
    </w:p>
    <w:tbl>
      <w:tblPr>
        <w:tblStyle w:val="22"/>
        <w:tblW w:w="98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833"/>
        <w:gridCol w:w="1212"/>
        <w:gridCol w:w="1062"/>
        <w:gridCol w:w="968"/>
        <w:gridCol w:w="1437"/>
        <w:gridCol w:w="1168"/>
        <w:gridCol w:w="1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b/>
                <w:color w:val="auto"/>
                <w:sz w:val="21"/>
                <w:szCs w:val="21"/>
              </w:rPr>
            </w:pPr>
            <w:r>
              <w:rPr>
                <w:rFonts w:hint="eastAsia"/>
                <w:b/>
                <w:color w:val="auto"/>
                <w:sz w:val="21"/>
                <w:szCs w:val="21"/>
              </w:rPr>
              <w:t>序号</w:t>
            </w:r>
          </w:p>
        </w:tc>
        <w:tc>
          <w:tcPr>
            <w:tcW w:w="1833" w:type="dxa"/>
            <w:vAlign w:val="center"/>
          </w:tcPr>
          <w:p>
            <w:pPr>
              <w:pStyle w:val="2"/>
              <w:spacing w:line="288" w:lineRule="auto"/>
              <w:ind w:firstLine="0"/>
              <w:jc w:val="center"/>
              <w:rPr>
                <w:b/>
                <w:color w:val="auto"/>
                <w:sz w:val="21"/>
                <w:szCs w:val="21"/>
              </w:rPr>
            </w:pPr>
            <w:r>
              <w:rPr>
                <w:rFonts w:hint="eastAsia"/>
                <w:b/>
                <w:color w:val="auto"/>
                <w:sz w:val="21"/>
                <w:szCs w:val="21"/>
              </w:rPr>
              <w:t>轮胎型号</w:t>
            </w:r>
          </w:p>
        </w:tc>
        <w:tc>
          <w:tcPr>
            <w:tcW w:w="1212" w:type="dxa"/>
            <w:vAlign w:val="center"/>
          </w:tcPr>
          <w:p>
            <w:pPr>
              <w:pStyle w:val="2"/>
              <w:spacing w:line="288" w:lineRule="auto"/>
              <w:ind w:firstLine="0"/>
              <w:jc w:val="center"/>
              <w:rPr>
                <w:b/>
                <w:color w:val="auto"/>
                <w:sz w:val="21"/>
                <w:szCs w:val="21"/>
              </w:rPr>
            </w:pPr>
            <w:r>
              <w:rPr>
                <w:rFonts w:hint="eastAsia"/>
                <w:b/>
                <w:color w:val="auto"/>
                <w:sz w:val="21"/>
                <w:szCs w:val="21"/>
              </w:rPr>
              <w:t>规格</w:t>
            </w:r>
          </w:p>
        </w:tc>
        <w:tc>
          <w:tcPr>
            <w:tcW w:w="1062" w:type="dxa"/>
            <w:vAlign w:val="center"/>
          </w:tcPr>
          <w:p>
            <w:pPr>
              <w:pStyle w:val="2"/>
              <w:spacing w:line="288" w:lineRule="auto"/>
              <w:ind w:firstLine="0"/>
              <w:jc w:val="center"/>
              <w:rPr>
                <w:b/>
                <w:color w:val="auto"/>
                <w:sz w:val="21"/>
                <w:szCs w:val="21"/>
              </w:rPr>
            </w:pPr>
            <w:r>
              <w:rPr>
                <w:rFonts w:hint="eastAsia"/>
                <w:b/>
                <w:color w:val="auto"/>
                <w:sz w:val="21"/>
                <w:szCs w:val="21"/>
              </w:rPr>
              <w:t>单位</w:t>
            </w:r>
          </w:p>
        </w:tc>
        <w:tc>
          <w:tcPr>
            <w:tcW w:w="968" w:type="dxa"/>
            <w:vAlign w:val="center"/>
          </w:tcPr>
          <w:p>
            <w:pPr>
              <w:pStyle w:val="2"/>
              <w:spacing w:line="288" w:lineRule="auto"/>
              <w:ind w:firstLine="0"/>
              <w:jc w:val="center"/>
              <w:rPr>
                <w:b/>
                <w:color w:val="auto"/>
                <w:sz w:val="21"/>
                <w:szCs w:val="21"/>
              </w:rPr>
            </w:pPr>
            <w:r>
              <w:rPr>
                <w:rFonts w:hint="eastAsia"/>
                <w:b/>
                <w:color w:val="auto"/>
                <w:sz w:val="21"/>
                <w:szCs w:val="21"/>
              </w:rPr>
              <w:t>层级</w:t>
            </w:r>
          </w:p>
        </w:tc>
        <w:tc>
          <w:tcPr>
            <w:tcW w:w="1437" w:type="dxa"/>
            <w:vAlign w:val="center"/>
          </w:tcPr>
          <w:p>
            <w:pPr>
              <w:pStyle w:val="2"/>
              <w:spacing w:line="288" w:lineRule="auto"/>
              <w:ind w:firstLine="0"/>
              <w:jc w:val="center"/>
              <w:rPr>
                <w:b/>
                <w:color w:val="auto"/>
                <w:sz w:val="21"/>
                <w:szCs w:val="21"/>
              </w:rPr>
            </w:pPr>
            <w:r>
              <w:rPr>
                <w:rFonts w:hint="eastAsia"/>
                <w:b/>
                <w:color w:val="auto"/>
                <w:sz w:val="21"/>
                <w:szCs w:val="21"/>
              </w:rPr>
              <w:t>单价最高限价</w:t>
            </w:r>
          </w:p>
          <w:p>
            <w:pPr>
              <w:pStyle w:val="2"/>
              <w:spacing w:line="288" w:lineRule="auto"/>
              <w:ind w:firstLine="0"/>
              <w:jc w:val="center"/>
              <w:rPr>
                <w:b/>
                <w:color w:val="auto"/>
                <w:sz w:val="21"/>
                <w:szCs w:val="21"/>
              </w:rPr>
            </w:pPr>
            <w:r>
              <w:rPr>
                <w:rFonts w:hint="eastAsia"/>
                <w:b/>
                <w:color w:val="auto"/>
                <w:sz w:val="21"/>
                <w:szCs w:val="21"/>
              </w:rPr>
              <w:t>（元）</w:t>
            </w:r>
          </w:p>
        </w:tc>
        <w:tc>
          <w:tcPr>
            <w:tcW w:w="1168" w:type="dxa"/>
            <w:vAlign w:val="center"/>
          </w:tcPr>
          <w:p>
            <w:pPr>
              <w:pStyle w:val="2"/>
              <w:spacing w:line="288" w:lineRule="auto"/>
              <w:ind w:firstLine="0"/>
              <w:jc w:val="center"/>
              <w:rPr>
                <w:rFonts w:hint="eastAsia" w:eastAsia="宋体"/>
                <w:b/>
                <w:color w:val="auto"/>
                <w:sz w:val="21"/>
                <w:szCs w:val="21"/>
                <w:lang w:eastAsia="zh-CN"/>
              </w:rPr>
            </w:pPr>
            <w:r>
              <w:rPr>
                <w:rFonts w:hint="eastAsia"/>
                <w:b/>
                <w:color w:val="auto"/>
                <w:sz w:val="21"/>
                <w:szCs w:val="21"/>
                <w:lang w:eastAsia="zh-CN"/>
              </w:rPr>
              <w:t>投标</w:t>
            </w:r>
            <w:r>
              <w:rPr>
                <w:rFonts w:hint="eastAsia"/>
                <w:b/>
                <w:color w:val="auto"/>
                <w:sz w:val="21"/>
                <w:szCs w:val="21"/>
              </w:rPr>
              <w:t>单价</w:t>
            </w:r>
            <w:r>
              <w:rPr>
                <w:rFonts w:hint="eastAsia"/>
                <w:b/>
                <w:color w:val="auto"/>
                <w:sz w:val="21"/>
                <w:szCs w:val="21"/>
                <w:lang w:eastAsia="zh-CN"/>
              </w:rPr>
              <w:t>报价</w:t>
            </w:r>
          </w:p>
          <w:p>
            <w:pPr>
              <w:pStyle w:val="2"/>
              <w:spacing w:line="288" w:lineRule="auto"/>
              <w:ind w:firstLine="0"/>
              <w:jc w:val="center"/>
              <w:rPr>
                <w:b/>
                <w:color w:val="auto"/>
                <w:sz w:val="21"/>
                <w:szCs w:val="21"/>
              </w:rPr>
            </w:pPr>
            <w:r>
              <w:rPr>
                <w:rFonts w:hint="eastAsia"/>
                <w:b/>
                <w:color w:val="auto"/>
                <w:sz w:val="21"/>
                <w:szCs w:val="21"/>
              </w:rPr>
              <w:t>（元）</w:t>
            </w:r>
          </w:p>
        </w:tc>
        <w:tc>
          <w:tcPr>
            <w:tcW w:w="1165" w:type="dxa"/>
            <w:vAlign w:val="center"/>
          </w:tcPr>
          <w:p>
            <w:pPr>
              <w:pStyle w:val="2"/>
              <w:spacing w:line="288" w:lineRule="auto"/>
              <w:ind w:firstLine="0"/>
              <w:jc w:val="center"/>
              <w:rPr>
                <w:rFonts w:hint="eastAsia"/>
                <w:b/>
                <w:color w:val="auto"/>
                <w:sz w:val="21"/>
                <w:szCs w:val="21"/>
              </w:rPr>
            </w:pPr>
            <w:r>
              <w:rPr>
                <w:rFonts w:hint="eastAsia"/>
                <w:b/>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11.00R20</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16PR</w:t>
            </w:r>
          </w:p>
        </w:tc>
        <w:tc>
          <w:tcPr>
            <w:tcW w:w="1437" w:type="dxa"/>
            <w:vAlign w:val="center"/>
          </w:tcPr>
          <w:p>
            <w:pPr>
              <w:pStyle w:val="2"/>
              <w:spacing w:line="288" w:lineRule="auto"/>
              <w:ind w:firstLine="0"/>
              <w:jc w:val="center"/>
              <w:rPr>
                <w:color w:val="auto"/>
                <w:sz w:val="21"/>
                <w:szCs w:val="21"/>
              </w:rPr>
            </w:pPr>
            <w:r>
              <w:rPr>
                <w:rFonts w:hint="eastAsia"/>
                <w:color w:val="auto"/>
                <w:sz w:val="21"/>
                <w:szCs w:val="21"/>
              </w:rPr>
              <w:t>2940</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2</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内胎11.00R20</w:t>
            </w:r>
          </w:p>
        </w:tc>
        <w:tc>
          <w:tcPr>
            <w:tcW w:w="1212" w:type="dxa"/>
            <w:vAlign w:val="center"/>
          </w:tcPr>
          <w:p>
            <w:pPr>
              <w:pStyle w:val="2"/>
              <w:spacing w:line="288" w:lineRule="auto"/>
              <w:ind w:firstLine="0"/>
              <w:jc w:val="center"/>
              <w:rPr>
                <w:color w:val="auto"/>
                <w:sz w:val="21"/>
                <w:szCs w:val="21"/>
              </w:rPr>
            </w:pPr>
          </w:p>
        </w:tc>
        <w:tc>
          <w:tcPr>
            <w:tcW w:w="1062" w:type="dxa"/>
            <w:vAlign w:val="center"/>
          </w:tcPr>
          <w:p>
            <w:pPr>
              <w:pStyle w:val="2"/>
              <w:spacing w:line="288" w:lineRule="auto"/>
              <w:ind w:firstLine="0"/>
              <w:jc w:val="center"/>
              <w:rPr>
                <w:color w:val="auto"/>
                <w:sz w:val="21"/>
                <w:szCs w:val="21"/>
              </w:rPr>
            </w:pPr>
          </w:p>
        </w:tc>
        <w:tc>
          <w:tcPr>
            <w:tcW w:w="968" w:type="dxa"/>
            <w:vAlign w:val="center"/>
          </w:tcPr>
          <w:p>
            <w:pPr>
              <w:pStyle w:val="2"/>
              <w:spacing w:line="288" w:lineRule="auto"/>
              <w:ind w:firstLine="0"/>
              <w:jc w:val="center"/>
              <w:rPr>
                <w:color w:val="auto"/>
                <w:sz w:val="21"/>
                <w:szCs w:val="21"/>
              </w:rPr>
            </w:pPr>
          </w:p>
        </w:tc>
        <w:tc>
          <w:tcPr>
            <w:tcW w:w="1437"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185</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3</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10.00R20</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18PR</w:t>
            </w:r>
          </w:p>
        </w:tc>
        <w:tc>
          <w:tcPr>
            <w:tcW w:w="1437"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2410</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4</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内胎10.00R20</w:t>
            </w:r>
          </w:p>
        </w:tc>
        <w:tc>
          <w:tcPr>
            <w:tcW w:w="1212" w:type="dxa"/>
            <w:vAlign w:val="center"/>
          </w:tcPr>
          <w:p>
            <w:pPr>
              <w:pStyle w:val="2"/>
              <w:spacing w:line="288" w:lineRule="auto"/>
              <w:ind w:firstLine="0"/>
              <w:jc w:val="center"/>
              <w:rPr>
                <w:color w:val="auto"/>
                <w:sz w:val="21"/>
                <w:szCs w:val="21"/>
              </w:rPr>
            </w:pPr>
          </w:p>
        </w:tc>
        <w:tc>
          <w:tcPr>
            <w:tcW w:w="1062" w:type="dxa"/>
            <w:vAlign w:val="center"/>
          </w:tcPr>
          <w:p>
            <w:pPr>
              <w:pStyle w:val="2"/>
              <w:spacing w:line="288" w:lineRule="auto"/>
              <w:ind w:firstLine="0"/>
              <w:jc w:val="center"/>
              <w:rPr>
                <w:color w:val="auto"/>
                <w:sz w:val="21"/>
                <w:szCs w:val="21"/>
              </w:rPr>
            </w:pPr>
          </w:p>
        </w:tc>
        <w:tc>
          <w:tcPr>
            <w:tcW w:w="968" w:type="dxa"/>
            <w:vAlign w:val="center"/>
          </w:tcPr>
          <w:p>
            <w:pPr>
              <w:pStyle w:val="2"/>
              <w:spacing w:line="288" w:lineRule="auto"/>
              <w:ind w:firstLine="0"/>
              <w:jc w:val="center"/>
              <w:rPr>
                <w:color w:val="auto"/>
                <w:sz w:val="21"/>
                <w:szCs w:val="21"/>
              </w:rPr>
            </w:pPr>
          </w:p>
        </w:tc>
        <w:tc>
          <w:tcPr>
            <w:tcW w:w="1437"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160</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5</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8.25R16</w:t>
            </w:r>
          </w:p>
          <w:p>
            <w:pPr>
              <w:pStyle w:val="2"/>
              <w:spacing w:line="288" w:lineRule="auto"/>
              <w:ind w:firstLine="0"/>
              <w:jc w:val="center"/>
              <w:rPr>
                <w:color w:val="auto"/>
                <w:sz w:val="21"/>
                <w:szCs w:val="21"/>
              </w:rPr>
            </w:pPr>
            <w:r>
              <w:rPr>
                <w:rFonts w:hint="eastAsia" w:cs="宋体"/>
                <w:color w:val="auto"/>
                <w:sz w:val="21"/>
                <w:szCs w:val="21"/>
              </w:rPr>
              <w:t>（含内胎及胎垫）</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16PR</w:t>
            </w:r>
          </w:p>
        </w:tc>
        <w:tc>
          <w:tcPr>
            <w:tcW w:w="1437"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1425</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833"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7.00R16</w:t>
            </w:r>
          </w:p>
          <w:p>
            <w:pPr>
              <w:pStyle w:val="2"/>
              <w:spacing w:line="288" w:lineRule="auto"/>
              <w:ind w:firstLine="0"/>
              <w:jc w:val="center"/>
              <w:rPr>
                <w:rFonts w:cs="宋体"/>
                <w:color w:val="auto"/>
                <w:sz w:val="21"/>
                <w:szCs w:val="21"/>
              </w:rPr>
            </w:pPr>
            <w:r>
              <w:rPr>
                <w:rFonts w:hint="eastAsia" w:cs="宋体"/>
                <w:color w:val="auto"/>
                <w:sz w:val="21"/>
                <w:szCs w:val="21"/>
              </w:rPr>
              <w:t>（含内胎及胎垫）</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套</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14PR</w:t>
            </w:r>
          </w:p>
        </w:tc>
        <w:tc>
          <w:tcPr>
            <w:tcW w:w="1437" w:type="dxa"/>
            <w:vAlign w:val="center"/>
          </w:tcPr>
          <w:p>
            <w:pPr>
              <w:pStyle w:val="2"/>
              <w:spacing w:line="288" w:lineRule="auto"/>
              <w:ind w:firstLine="0"/>
              <w:jc w:val="center"/>
              <w:rPr>
                <w:rFonts w:cs="宋体"/>
                <w:color w:val="auto"/>
                <w:sz w:val="21"/>
                <w:szCs w:val="21"/>
              </w:rPr>
            </w:pPr>
            <w:r>
              <w:rPr>
                <w:rFonts w:hint="eastAsia" w:cs="宋体"/>
                <w:color w:val="auto"/>
                <w:sz w:val="21"/>
                <w:szCs w:val="21"/>
              </w:rPr>
              <w:t>1190</w:t>
            </w:r>
          </w:p>
        </w:tc>
        <w:tc>
          <w:tcPr>
            <w:tcW w:w="1168" w:type="dxa"/>
            <w:vAlign w:val="center"/>
          </w:tcPr>
          <w:p>
            <w:pPr>
              <w:pStyle w:val="2"/>
              <w:spacing w:line="288" w:lineRule="auto"/>
              <w:ind w:firstLine="0"/>
              <w:jc w:val="center"/>
              <w:rPr>
                <w:color w:val="auto"/>
                <w:sz w:val="21"/>
                <w:szCs w:val="21"/>
              </w:rPr>
            </w:pPr>
          </w:p>
        </w:tc>
        <w:tc>
          <w:tcPr>
            <w:tcW w:w="1165" w:type="dxa"/>
            <w:vAlign w:val="center"/>
          </w:tcPr>
          <w:p>
            <w:pPr>
              <w:pStyle w:val="2"/>
              <w:spacing w:line="288" w:lineRule="auto"/>
              <w:ind w:firstLine="0"/>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8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175R14</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437"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650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8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165R13</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437"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580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8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155R12</w:t>
            </w:r>
          </w:p>
        </w:tc>
        <w:tc>
          <w:tcPr>
            <w:tcW w:w="1212" w:type="dxa"/>
            <w:vAlign w:val="center"/>
          </w:tcPr>
          <w:p>
            <w:pPr>
              <w:pStyle w:val="2"/>
              <w:spacing w:line="288" w:lineRule="auto"/>
              <w:ind w:firstLine="0"/>
              <w:jc w:val="center"/>
              <w:rPr>
                <w:color w:val="auto"/>
                <w:sz w:val="21"/>
                <w:szCs w:val="21"/>
              </w:rPr>
            </w:pPr>
            <w:r>
              <w:rPr>
                <w:rFonts w:hint="eastAsia"/>
                <w:color w:val="auto"/>
                <w:sz w:val="21"/>
                <w:szCs w:val="21"/>
              </w:rPr>
              <w:t>国标</w:t>
            </w:r>
          </w:p>
        </w:tc>
        <w:tc>
          <w:tcPr>
            <w:tcW w:w="1062" w:type="dxa"/>
            <w:vAlign w:val="center"/>
          </w:tcPr>
          <w:p>
            <w:pPr>
              <w:pStyle w:val="2"/>
              <w:spacing w:line="288" w:lineRule="auto"/>
              <w:ind w:firstLine="0"/>
              <w:jc w:val="center"/>
              <w:rPr>
                <w:color w:val="auto"/>
                <w:sz w:val="21"/>
                <w:szCs w:val="21"/>
              </w:rPr>
            </w:pPr>
            <w:r>
              <w:rPr>
                <w:rFonts w:hint="eastAsia"/>
                <w:color w:val="auto"/>
                <w:sz w:val="21"/>
                <w:szCs w:val="21"/>
              </w:rPr>
              <w:t>条</w:t>
            </w:r>
          </w:p>
        </w:tc>
        <w:tc>
          <w:tcPr>
            <w:tcW w:w="968" w:type="dxa"/>
            <w:vAlign w:val="center"/>
          </w:tcPr>
          <w:p>
            <w:pPr>
              <w:pStyle w:val="2"/>
              <w:spacing w:line="288" w:lineRule="auto"/>
              <w:ind w:firstLine="0"/>
              <w:jc w:val="center"/>
              <w:rPr>
                <w:color w:val="auto"/>
                <w:sz w:val="21"/>
                <w:szCs w:val="21"/>
              </w:rPr>
            </w:pPr>
            <w:r>
              <w:rPr>
                <w:rFonts w:hint="eastAsia"/>
                <w:color w:val="auto"/>
                <w:sz w:val="21"/>
                <w:szCs w:val="21"/>
              </w:rPr>
              <w:t>8PR</w:t>
            </w:r>
          </w:p>
        </w:tc>
        <w:tc>
          <w:tcPr>
            <w:tcW w:w="1437"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16*3.0</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76</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16*3.0</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14*3.0</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75</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14*3.0</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4.00-12</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4.00-12</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外胎</w:t>
            </w:r>
            <w:r>
              <w:rPr>
                <w:rFonts w:hint="eastAsia" w:ascii="宋体" w:hAnsi="宋体" w:cs="宋体"/>
                <w:color w:val="auto"/>
                <w:szCs w:val="21"/>
              </w:rPr>
              <w:t>5.00-12</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295</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内胎</w:t>
            </w:r>
            <w:r>
              <w:rPr>
                <w:rFonts w:hint="eastAsia" w:ascii="宋体" w:hAnsi="宋体" w:cs="宋体"/>
                <w:color w:val="auto"/>
                <w:szCs w:val="21"/>
              </w:rPr>
              <w:t>5.00-12</w:t>
            </w:r>
          </w:p>
        </w:tc>
        <w:tc>
          <w:tcPr>
            <w:tcW w:w="1212" w:type="dxa"/>
            <w:vAlign w:val="center"/>
          </w:tcPr>
          <w:p>
            <w:pPr>
              <w:widowControl/>
              <w:jc w:val="center"/>
              <w:textAlignment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kern w:val="0"/>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39</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9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8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225/55B</w:t>
            </w:r>
          </w:p>
        </w:tc>
        <w:tc>
          <w:tcPr>
            <w:tcW w:w="1212" w:type="dxa"/>
            <w:vAlign w:val="center"/>
          </w:tcPr>
          <w:p>
            <w:pPr>
              <w:jc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w:t>
            </w:r>
          </w:p>
        </w:tc>
        <w:tc>
          <w:tcPr>
            <w:tcW w:w="968" w:type="dxa"/>
            <w:vAlign w:val="center"/>
          </w:tcPr>
          <w:p>
            <w:pPr>
              <w:widowControl/>
              <w:jc w:val="center"/>
              <w:textAlignment w:val="center"/>
              <w:rPr>
                <w:rFonts w:ascii="宋体" w:hAnsi="宋体" w:cs="宋体"/>
                <w:color w:val="auto"/>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660</w:t>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828"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b/>
                <w:color w:val="auto"/>
                <w:kern w:val="0"/>
                <w:szCs w:val="21"/>
              </w:rPr>
              <w:t>单价合计（元）</w:t>
            </w:r>
          </w:p>
        </w:tc>
        <w:tc>
          <w:tcPr>
            <w:tcW w:w="1212" w:type="dxa"/>
            <w:vAlign w:val="center"/>
          </w:tcPr>
          <w:p>
            <w:pPr>
              <w:jc w:val="center"/>
              <w:rPr>
                <w:rFonts w:ascii="宋体" w:hAnsi="宋体" w:cs="宋体"/>
                <w:color w:val="auto"/>
                <w:szCs w:val="21"/>
              </w:rPr>
            </w:pPr>
          </w:p>
        </w:tc>
        <w:tc>
          <w:tcPr>
            <w:tcW w:w="1062" w:type="dxa"/>
            <w:vAlign w:val="center"/>
          </w:tcPr>
          <w:p>
            <w:pPr>
              <w:widowControl/>
              <w:jc w:val="center"/>
              <w:textAlignment w:val="center"/>
              <w:rPr>
                <w:rFonts w:ascii="宋体" w:hAnsi="宋体" w:cs="宋体"/>
                <w:color w:val="auto"/>
                <w:kern w:val="0"/>
                <w:szCs w:val="21"/>
              </w:rPr>
            </w:pPr>
          </w:p>
        </w:tc>
        <w:tc>
          <w:tcPr>
            <w:tcW w:w="968" w:type="dxa"/>
            <w:vAlign w:val="center"/>
          </w:tcPr>
          <w:p>
            <w:pPr>
              <w:widowControl/>
              <w:jc w:val="center"/>
              <w:textAlignment w:val="center"/>
              <w:rPr>
                <w:rFonts w:ascii="宋体" w:hAnsi="宋体" w:cs="宋体"/>
                <w:color w:val="auto"/>
                <w:szCs w:val="21"/>
              </w:rPr>
            </w:pPr>
          </w:p>
        </w:tc>
        <w:tc>
          <w:tcPr>
            <w:tcW w:w="1437" w:type="dxa"/>
            <w:vAlign w:val="center"/>
          </w:tcPr>
          <w:p>
            <w:pPr>
              <w:widowControl/>
              <w:jc w:val="center"/>
              <w:textAlignment w:val="center"/>
              <w:rPr>
                <w:rFonts w:ascii="宋体" w:hAnsi="宋体" w:cs="宋体"/>
                <w:color w:val="auto"/>
                <w:kern w:val="0"/>
                <w:szCs w:val="21"/>
              </w:rPr>
            </w:pPr>
            <w:r>
              <w:rPr>
                <w:rFonts w:hint="eastAsia" w:ascii="宋体" w:hAnsi="宋体"/>
                <w:color w:val="auto"/>
                <w:szCs w:val="21"/>
              </w:rPr>
              <w:fldChar w:fldCharType="begin"/>
            </w:r>
            <w:r>
              <w:rPr>
                <w:rFonts w:hint="eastAsia" w:ascii="宋体" w:hAnsi="宋体"/>
                <w:color w:val="auto"/>
                <w:szCs w:val="21"/>
              </w:rPr>
              <w:instrText xml:space="preserve"> = sum(F2:F19) \* MERGEFORMAT </w:instrText>
            </w:r>
            <w:r>
              <w:rPr>
                <w:rFonts w:hint="eastAsia" w:ascii="宋体" w:hAnsi="宋体"/>
                <w:color w:val="auto"/>
                <w:szCs w:val="21"/>
              </w:rPr>
              <w:fldChar w:fldCharType="separate"/>
            </w:r>
            <w:r>
              <w:rPr>
                <w:rFonts w:hint="eastAsia" w:ascii="宋体" w:hAnsi="宋体"/>
                <w:color w:val="auto"/>
                <w:szCs w:val="21"/>
              </w:rPr>
              <w:t>11413</w:t>
            </w:r>
            <w:r>
              <w:rPr>
                <w:rFonts w:hint="eastAsia" w:ascii="宋体" w:hAnsi="宋体"/>
                <w:color w:val="auto"/>
                <w:szCs w:val="21"/>
              </w:rPr>
              <w:fldChar w:fldCharType="end"/>
            </w:r>
          </w:p>
        </w:tc>
        <w:tc>
          <w:tcPr>
            <w:tcW w:w="1168" w:type="dxa"/>
            <w:vAlign w:val="center"/>
          </w:tcPr>
          <w:p>
            <w:pPr>
              <w:widowControl/>
              <w:jc w:val="center"/>
              <w:textAlignment w:val="center"/>
              <w:rPr>
                <w:rFonts w:ascii="宋体" w:hAnsi="宋体"/>
                <w:color w:val="auto"/>
                <w:szCs w:val="21"/>
              </w:rPr>
            </w:pPr>
          </w:p>
        </w:tc>
        <w:tc>
          <w:tcPr>
            <w:tcW w:w="1165" w:type="dxa"/>
            <w:vAlign w:val="center"/>
          </w:tcPr>
          <w:p>
            <w:pPr>
              <w:widowControl/>
              <w:jc w:val="center"/>
              <w:textAlignment w:val="center"/>
              <w:rPr>
                <w:rFonts w:ascii="宋体" w:hAnsi="宋体"/>
                <w:color w:val="auto"/>
                <w:szCs w:val="21"/>
              </w:rPr>
            </w:pPr>
          </w:p>
        </w:tc>
      </w:tr>
    </w:tbl>
    <w:p>
      <w:pPr>
        <w:pStyle w:val="5"/>
        <w:rPr>
          <w:color w:val="auto"/>
        </w:rPr>
      </w:pPr>
      <w:r>
        <w:rPr>
          <w:color w:val="auto"/>
        </w:rPr>
        <w:br w:type="page"/>
      </w:r>
    </w:p>
    <w:p>
      <w:pPr>
        <w:pStyle w:val="5"/>
        <w:rPr>
          <w:rFonts w:hint="eastAsia" w:ascii="宋体" w:hAnsi="宋体" w:eastAsia="宋体" w:cs="Times New Roman"/>
          <w:b/>
          <w:bCs w:val="0"/>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包组三：润滑油</w:t>
      </w:r>
    </w:p>
    <w:tbl>
      <w:tblPr>
        <w:tblStyle w:val="22"/>
        <w:tblW w:w="98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434"/>
        <w:gridCol w:w="1862"/>
        <w:gridCol w:w="1442"/>
        <w:gridCol w:w="1442"/>
        <w:gridCol w:w="1428"/>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4" w:type="dxa"/>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434" w:type="dxa"/>
            <w:vAlign w:val="center"/>
          </w:tcPr>
          <w:p>
            <w:pPr>
              <w:jc w:val="center"/>
              <w:rPr>
                <w:rFonts w:ascii="宋体" w:hAnsi="宋体" w:cs="宋体"/>
                <w:b/>
                <w:color w:val="auto"/>
                <w:szCs w:val="21"/>
              </w:rPr>
            </w:pPr>
            <w:r>
              <w:rPr>
                <w:rFonts w:hint="eastAsia" w:ascii="宋体" w:hAnsi="宋体" w:cs="宋体"/>
                <w:b/>
                <w:color w:val="auto"/>
                <w:szCs w:val="21"/>
              </w:rPr>
              <w:t>配件名称</w:t>
            </w:r>
          </w:p>
        </w:tc>
        <w:tc>
          <w:tcPr>
            <w:tcW w:w="1862" w:type="dxa"/>
            <w:vAlign w:val="center"/>
          </w:tcPr>
          <w:p>
            <w:pPr>
              <w:jc w:val="center"/>
              <w:rPr>
                <w:rFonts w:ascii="宋体" w:hAnsi="宋体" w:cs="宋体"/>
                <w:b/>
                <w:color w:val="auto"/>
                <w:szCs w:val="21"/>
              </w:rPr>
            </w:pPr>
            <w:r>
              <w:rPr>
                <w:rFonts w:hint="eastAsia" w:ascii="宋体" w:hAnsi="宋体" w:cs="宋体"/>
                <w:b/>
                <w:color w:val="auto"/>
                <w:szCs w:val="21"/>
              </w:rPr>
              <w:t>规格型号</w:t>
            </w:r>
          </w:p>
        </w:tc>
        <w:tc>
          <w:tcPr>
            <w:tcW w:w="1442" w:type="dxa"/>
            <w:vAlign w:val="center"/>
          </w:tcPr>
          <w:p>
            <w:pPr>
              <w:jc w:val="center"/>
              <w:rPr>
                <w:rFonts w:ascii="宋体" w:hAnsi="宋体" w:cs="宋体"/>
                <w:b/>
                <w:color w:val="auto"/>
                <w:szCs w:val="21"/>
              </w:rPr>
            </w:pPr>
            <w:r>
              <w:rPr>
                <w:rFonts w:hint="eastAsia" w:ascii="宋体" w:hAnsi="宋体" w:cs="宋体"/>
                <w:b/>
                <w:color w:val="auto"/>
                <w:szCs w:val="21"/>
              </w:rPr>
              <w:t>计量单位</w:t>
            </w:r>
          </w:p>
        </w:tc>
        <w:tc>
          <w:tcPr>
            <w:tcW w:w="1442" w:type="dxa"/>
            <w:vAlign w:val="center"/>
          </w:tcPr>
          <w:p>
            <w:pPr>
              <w:pStyle w:val="2"/>
              <w:spacing w:line="288" w:lineRule="auto"/>
              <w:ind w:firstLine="0"/>
              <w:jc w:val="center"/>
              <w:rPr>
                <w:b/>
                <w:color w:val="auto"/>
                <w:sz w:val="21"/>
                <w:szCs w:val="21"/>
              </w:rPr>
            </w:pPr>
            <w:r>
              <w:rPr>
                <w:rFonts w:hint="eastAsia"/>
                <w:b/>
                <w:color w:val="auto"/>
                <w:sz w:val="21"/>
                <w:szCs w:val="21"/>
              </w:rPr>
              <w:t>单价最高限价</w:t>
            </w:r>
          </w:p>
          <w:p>
            <w:pPr>
              <w:jc w:val="center"/>
              <w:rPr>
                <w:rFonts w:ascii="宋体" w:hAnsi="宋体" w:cs="宋体"/>
                <w:b/>
                <w:color w:val="auto"/>
                <w:szCs w:val="21"/>
              </w:rPr>
            </w:pPr>
            <w:r>
              <w:rPr>
                <w:rFonts w:hint="eastAsia"/>
                <w:b/>
                <w:color w:val="auto"/>
                <w:szCs w:val="21"/>
              </w:rPr>
              <w:t>（元）</w:t>
            </w:r>
          </w:p>
        </w:tc>
        <w:tc>
          <w:tcPr>
            <w:tcW w:w="1428" w:type="dxa"/>
            <w:vAlign w:val="center"/>
          </w:tcPr>
          <w:p>
            <w:pPr>
              <w:pStyle w:val="2"/>
              <w:spacing w:line="288" w:lineRule="auto"/>
              <w:ind w:firstLine="0"/>
              <w:jc w:val="center"/>
              <w:rPr>
                <w:rFonts w:hint="eastAsia" w:eastAsia="宋体"/>
                <w:b/>
                <w:color w:val="auto"/>
                <w:sz w:val="21"/>
                <w:szCs w:val="21"/>
                <w:lang w:eastAsia="zh-CN"/>
              </w:rPr>
            </w:pPr>
            <w:r>
              <w:rPr>
                <w:rFonts w:hint="eastAsia"/>
                <w:b/>
                <w:color w:val="auto"/>
                <w:sz w:val="21"/>
                <w:szCs w:val="21"/>
                <w:lang w:eastAsia="zh-CN"/>
              </w:rPr>
              <w:t>投标</w:t>
            </w:r>
            <w:r>
              <w:rPr>
                <w:rFonts w:hint="eastAsia"/>
                <w:b/>
                <w:color w:val="auto"/>
                <w:sz w:val="21"/>
                <w:szCs w:val="21"/>
              </w:rPr>
              <w:t>单价</w:t>
            </w:r>
            <w:r>
              <w:rPr>
                <w:rFonts w:hint="eastAsia"/>
                <w:b/>
                <w:color w:val="auto"/>
                <w:sz w:val="21"/>
                <w:szCs w:val="21"/>
                <w:lang w:eastAsia="zh-CN"/>
              </w:rPr>
              <w:t>报价</w:t>
            </w:r>
          </w:p>
          <w:p>
            <w:pPr>
              <w:jc w:val="center"/>
              <w:rPr>
                <w:rFonts w:hint="eastAsia"/>
                <w:b/>
                <w:color w:val="auto"/>
                <w:szCs w:val="21"/>
              </w:rPr>
            </w:pPr>
            <w:r>
              <w:rPr>
                <w:rFonts w:hint="eastAsia"/>
                <w:b/>
                <w:color w:val="auto"/>
                <w:sz w:val="21"/>
                <w:szCs w:val="21"/>
              </w:rPr>
              <w:t>（元）</w:t>
            </w:r>
          </w:p>
        </w:tc>
        <w:tc>
          <w:tcPr>
            <w:tcW w:w="1421" w:type="dxa"/>
            <w:vAlign w:val="center"/>
          </w:tcPr>
          <w:p>
            <w:pPr>
              <w:jc w:val="center"/>
              <w:rPr>
                <w:rFonts w:hint="eastAsia" w:eastAsia="宋体"/>
                <w:b/>
                <w:color w:val="auto"/>
                <w:szCs w:val="21"/>
                <w:lang w:eastAsia="zh-CN"/>
              </w:rPr>
            </w:pPr>
            <w:r>
              <w:rPr>
                <w:rFonts w:hint="eastAsia"/>
                <w:b/>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4"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434" w:type="dxa"/>
            <w:vAlign w:val="center"/>
          </w:tcPr>
          <w:p>
            <w:pPr>
              <w:jc w:val="center"/>
              <w:rPr>
                <w:rFonts w:ascii="宋体" w:hAnsi="宋体" w:cs="宋体"/>
                <w:color w:val="auto"/>
                <w:szCs w:val="21"/>
              </w:rPr>
            </w:pPr>
            <w:r>
              <w:rPr>
                <w:rFonts w:hint="eastAsia" w:ascii="宋体" w:hAnsi="宋体" w:cs="宋体"/>
                <w:color w:val="auto"/>
                <w:szCs w:val="21"/>
              </w:rPr>
              <w:t>液压油</w:t>
            </w:r>
          </w:p>
        </w:tc>
        <w:tc>
          <w:tcPr>
            <w:tcW w:w="1862" w:type="dxa"/>
            <w:vAlign w:val="center"/>
          </w:tcPr>
          <w:p>
            <w:pPr>
              <w:jc w:val="center"/>
              <w:rPr>
                <w:rFonts w:ascii="宋体" w:hAnsi="宋体"/>
                <w:color w:val="auto"/>
                <w:szCs w:val="21"/>
              </w:rPr>
            </w:pPr>
            <w:r>
              <w:rPr>
                <w:rFonts w:hint="eastAsia" w:ascii="宋体" w:hAnsi="宋体" w:cs="宋体"/>
                <w:color w:val="auto"/>
                <w:szCs w:val="21"/>
              </w:rPr>
              <w:t>68#（16L）</w:t>
            </w:r>
          </w:p>
        </w:tc>
        <w:tc>
          <w:tcPr>
            <w:tcW w:w="1442"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4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1428" w:type="dxa"/>
            <w:vAlign w:val="center"/>
          </w:tcPr>
          <w:p>
            <w:pPr>
              <w:widowControl/>
              <w:jc w:val="center"/>
              <w:textAlignment w:val="center"/>
              <w:rPr>
                <w:rFonts w:hint="eastAsia" w:ascii="宋体" w:hAnsi="宋体" w:cs="宋体"/>
                <w:color w:val="auto"/>
                <w:kern w:val="0"/>
                <w:szCs w:val="21"/>
              </w:rPr>
            </w:pPr>
          </w:p>
        </w:tc>
        <w:tc>
          <w:tcPr>
            <w:tcW w:w="1421" w:type="dxa"/>
            <w:vAlign w:val="center"/>
          </w:tcPr>
          <w:p>
            <w:pPr>
              <w:widowControl/>
              <w:jc w:val="center"/>
              <w:textAlignment w:val="center"/>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4"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434" w:type="dxa"/>
            <w:vAlign w:val="center"/>
          </w:tcPr>
          <w:p>
            <w:pPr>
              <w:jc w:val="center"/>
              <w:rPr>
                <w:rFonts w:ascii="宋体" w:hAnsi="宋体" w:cs="宋体"/>
                <w:color w:val="auto"/>
                <w:szCs w:val="21"/>
              </w:rPr>
            </w:pPr>
            <w:r>
              <w:rPr>
                <w:rFonts w:hint="eastAsia" w:ascii="宋体" w:hAnsi="宋体" w:cs="宋体"/>
                <w:color w:val="auto"/>
                <w:szCs w:val="21"/>
              </w:rPr>
              <w:t>黄油</w:t>
            </w:r>
          </w:p>
        </w:tc>
        <w:tc>
          <w:tcPr>
            <w:tcW w:w="1862" w:type="dxa"/>
            <w:vAlign w:val="center"/>
          </w:tcPr>
          <w:p>
            <w:pPr>
              <w:jc w:val="center"/>
              <w:rPr>
                <w:rFonts w:ascii="宋体" w:hAnsi="宋体" w:cs="宋体"/>
                <w:color w:val="auto"/>
                <w:szCs w:val="21"/>
              </w:rPr>
            </w:pPr>
            <w:r>
              <w:rPr>
                <w:rFonts w:hint="eastAsia" w:ascii="宋体" w:hAnsi="宋体" w:cs="宋体"/>
                <w:color w:val="auto"/>
                <w:szCs w:val="21"/>
              </w:rPr>
              <w:t>3#（15KG）</w:t>
            </w:r>
          </w:p>
        </w:tc>
        <w:tc>
          <w:tcPr>
            <w:tcW w:w="1442"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4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340</w:t>
            </w:r>
          </w:p>
        </w:tc>
        <w:tc>
          <w:tcPr>
            <w:tcW w:w="1428" w:type="dxa"/>
            <w:vAlign w:val="center"/>
          </w:tcPr>
          <w:p>
            <w:pPr>
              <w:widowControl/>
              <w:jc w:val="center"/>
              <w:textAlignment w:val="center"/>
              <w:rPr>
                <w:rFonts w:hint="eastAsia" w:ascii="宋体" w:hAnsi="宋体" w:cs="宋体"/>
                <w:color w:val="auto"/>
                <w:kern w:val="0"/>
                <w:szCs w:val="21"/>
              </w:rPr>
            </w:pPr>
          </w:p>
        </w:tc>
        <w:tc>
          <w:tcPr>
            <w:tcW w:w="1421" w:type="dxa"/>
            <w:vAlign w:val="center"/>
          </w:tcPr>
          <w:p>
            <w:pPr>
              <w:widowControl/>
              <w:jc w:val="center"/>
              <w:textAlignment w:val="center"/>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4"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434" w:type="dxa"/>
            <w:vAlign w:val="center"/>
          </w:tcPr>
          <w:p>
            <w:pPr>
              <w:jc w:val="center"/>
              <w:rPr>
                <w:rFonts w:ascii="宋体" w:hAnsi="宋体" w:cs="宋体"/>
                <w:color w:val="auto"/>
                <w:szCs w:val="21"/>
              </w:rPr>
            </w:pPr>
            <w:r>
              <w:rPr>
                <w:rFonts w:hint="eastAsia" w:ascii="宋体" w:hAnsi="宋体" w:cs="宋体"/>
                <w:color w:val="auto"/>
                <w:szCs w:val="21"/>
              </w:rPr>
              <w:t>齿轮油</w:t>
            </w:r>
          </w:p>
        </w:tc>
        <w:tc>
          <w:tcPr>
            <w:tcW w:w="1862" w:type="dxa"/>
            <w:vAlign w:val="center"/>
          </w:tcPr>
          <w:p>
            <w:pPr>
              <w:jc w:val="center"/>
              <w:rPr>
                <w:rFonts w:ascii="宋体" w:hAnsi="宋体" w:cs="宋体"/>
                <w:color w:val="auto"/>
                <w:szCs w:val="21"/>
              </w:rPr>
            </w:pPr>
            <w:r>
              <w:rPr>
                <w:rFonts w:hint="eastAsia" w:ascii="宋体" w:hAnsi="宋体" w:cs="宋体"/>
                <w:color w:val="auto"/>
                <w:szCs w:val="21"/>
              </w:rPr>
              <w:t>140#（16L）</w:t>
            </w:r>
          </w:p>
        </w:tc>
        <w:tc>
          <w:tcPr>
            <w:tcW w:w="1442"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4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420</w:t>
            </w:r>
          </w:p>
        </w:tc>
        <w:tc>
          <w:tcPr>
            <w:tcW w:w="1428" w:type="dxa"/>
            <w:vAlign w:val="center"/>
          </w:tcPr>
          <w:p>
            <w:pPr>
              <w:widowControl/>
              <w:jc w:val="center"/>
              <w:textAlignment w:val="center"/>
              <w:rPr>
                <w:rFonts w:hint="eastAsia" w:ascii="宋体" w:hAnsi="宋体" w:cs="宋体"/>
                <w:color w:val="auto"/>
                <w:kern w:val="0"/>
                <w:szCs w:val="21"/>
              </w:rPr>
            </w:pPr>
          </w:p>
        </w:tc>
        <w:tc>
          <w:tcPr>
            <w:tcW w:w="1421" w:type="dxa"/>
            <w:vAlign w:val="center"/>
          </w:tcPr>
          <w:p>
            <w:pPr>
              <w:widowControl/>
              <w:jc w:val="center"/>
              <w:textAlignment w:val="center"/>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14"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434" w:type="dxa"/>
            <w:vAlign w:val="center"/>
          </w:tcPr>
          <w:p>
            <w:pPr>
              <w:jc w:val="center"/>
              <w:rPr>
                <w:rFonts w:ascii="宋体" w:hAnsi="宋体" w:cs="宋体"/>
                <w:color w:val="auto"/>
                <w:szCs w:val="21"/>
              </w:rPr>
            </w:pPr>
            <w:r>
              <w:rPr>
                <w:rFonts w:hint="eastAsia" w:ascii="宋体" w:hAnsi="宋体" w:cs="宋体"/>
                <w:color w:val="auto"/>
                <w:szCs w:val="21"/>
              </w:rPr>
              <w:t>机油</w:t>
            </w:r>
          </w:p>
        </w:tc>
        <w:tc>
          <w:tcPr>
            <w:tcW w:w="1862" w:type="dxa"/>
            <w:vAlign w:val="center"/>
          </w:tcPr>
          <w:p>
            <w:pPr>
              <w:jc w:val="center"/>
              <w:rPr>
                <w:rFonts w:ascii="宋体" w:hAnsi="宋体" w:cs="宋体"/>
                <w:color w:val="auto"/>
                <w:szCs w:val="21"/>
              </w:rPr>
            </w:pPr>
            <w:r>
              <w:rPr>
                <w:rFonts w:hint="eastAsia" w:ascii="宋体" w:hAnsi="宋体" w:cs="宋体"/>
                <w:color w:val="auto"/>
                <w:szCs w:val="21"/>
              </w:rPr>
              <w:t>15W40（18L）</w:t>
            </w:r>
          </w:p>
        </w:tc>
        <w:tc>
          <w:tcPr>
            <w:tcW w:w="1442"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桶</w:t>
            </w:r>
          </w:p>
        </w:tc>
        <w:tc>
          <w:tcPr>
            <w:tcW w:w="1442" w:type="dxa"/>
            <w:vAlign w:val="center"/>
          </w:tcPr>
          <w:p>
            <w:pPr>
              <w:jc w:val="center"/>
              <w:rPr>
                <w:rFonts w:ascii="宋体" w:hAnsi="宋体" w:cs="宋体"/>
                <w:color w:val="auto"/>
                <w:szCs w:val="21"/>
              </w:rPr>
            </w:pPr>
            <w:r>
              <w:rPr>
                <w:rFonts w:hint="eastAsia" w:ascii="宋体" w:hAnsi="宋体" w:cs="宋体"/>
                <w:color w:val="auto"/>
                <w:szCs w:val="21"/>
              </w:rPr>
              <w:t>410</w:t>
            </w:r>
          </w:p>
        </w:tc>
        <w:tc>
          <w:tcPr>
            <w:tcW w:w="1428" w:type="dxa"/>
            <w:vAlign w:val="center"/>
          </w:tcPr>
          <w:p>
            <w:pPr>
              <w:jc w:val="center"/>
              <w:rPr>
                <w:rFonts w:hint="eastAsia" w:ascii="宋体" w:hAnsi="宋体" w:cs="宋体"/>
                <w:color w:val="auto"/>
                <w:szCs w:val="21"/>
              </w:rPr>
            </w:pPr>
          </w:p>
        </w:tc>
        <w:tc>
          <w:tcPr>
            <w:tcW w:w="1421" w:type="dxa"/>
            <w:vAlign w:val="center"/>
          </w:tcPr>
          <w:p>
            <w:pPr>
              <w:jc w:val="cente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48" w:type="dxa"/>
            <w:gridSpan w:val="2"/>
            <w:vAlign w:val="center"/>
          </w:tcPr>
          <w:p>
            <w:pPr>
              <w:jc w:val="center"/>
              <w:rPr>
                <w:rFonts w:ascii="宋体" w:hAnsi="宋体" w:cs="宋体"/>
                <w:color w:val="auto"/>
                <w:szCs w:val="21"/>
              </w:rPr>
            </w:pPr>
            <w:r>
              <w:rPr>
                <w:rFonts w:hint="eastAsia" w:ascii="宋体" w:hAnsi="宋体" w:cs="宋体"/>
                <w:b/>
                <w:color w:val="auto"/>
                <w:kern w:val="0"/>
                <w:szCs w:val="21"/>
              </w:rPr>
              <w:t>单价合计（元）</w:t>
            </w:r>
          </w:p>
        </w:tc>
        <w:tc>
          <w:tcPr>
            <w:tcW w:w="1862" w:type="dxa"/>
            <w:vAlign w:val="center"/>
          </w:tcPr>
          <w:p>
            <w:pPr>
              <w:jc w:val="center"/>
              <w:rPr>
                <w:rFonts w:ascii="宋体" w:hAnsi="宋体" w:cs="宋体"/>
                <w:color w:val="auto"/>
                <w:szCs w:val="21"/>
              </w:rPr>
            </w:pPr>
          </w:p>
        </w:tc>
        <w:tc>
          <w:tcPr>
            <w:tcW w:w="1442" w:type="dxa"/>
            <w:vAlign w:val="center"/>
          </w:tcPr>
          <w:p>
            <w:pPr>
              <w:widowControl/>
              <w:jc w:val="center"/>
              <w:textAlignment w:val="center"/>
              <w:rPr>
                <w:rFonts w:ascii="宋体" w:hAnsi="宋体" w:cs="宋体"/>
                <w:color w:val="auto"/>
                <w:kern w:val="0"/>
                <w:szCs w:val="21"/>
              </w:rPr>
            </w:pPr>
          </w:p>
        </w:tc>
        <w:tc>
          <w:tcPr>
            <w:tcW w:w="1442" w:type="dxa"/>
            <w:vAlign w:val="center"/>
          </w:tcPr>
          <w:p>
            <w:pPr>
              <w:jc w:val="center"/>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sum(E2:E5) \* MERGEFORMAT </w:instrText>
            </w:r>
            <w:r>
              <w:rPr>
                <w:rFonts w:hint="eastAsia" w:ascii="宋体" w:hAnsi="宋体" w:cs="宋体"/>
                <w:color w:val="auto"/>
                <w:szCs w:val="21"/>
              </w:rPr>
              <w:fldChar w:fldCharType="separate"/>
            </w:r>
            <w:r>
              <w:rPr>
                <w:rFonts w:hint="eastAsia" w:ascii="宋体" w:hAnsi="宋体" w:cs="宋体"/>
                <w:color w:val="auto"/>
                <w:szCs w:val="21"/>
              </w:rPr>
              <w:t>1470</w:t>
            </w:r>
            <w:r>
              <w:rPr>
                <w:rFonts w:hint="eastAsia" w:ascii="宋体" w:hAnsi="宋体" w:cs="宋体"/>
                <w:color w:val="auto"/>
                <w:szCs w:val="21"/>
              </w:rPr>
              <w:fldChar w:fldCharType="end"/>
            </w:r>
          </w:p>
        </w:tc>
        <w:tc>
          <w:tcPr>
            <w:tcW w:w="1428" w:type="dxa"/>
            <w:vAlign w:val="center"/>
          </w:tcPr>
          <w:p>
            <w:pPr>
              <w:jc w:val="center"/>
              <w:rPr>
                <w:rFonts w:hint="eastAsia" w:ascii="宋体" w:hAnsi="宋体" w:cs="宋体"/>
                <w:color w:val="auto"/>
                <w:szCs w:val="21"/>
              </w:rPr>
            </w:pPr>
          </w:p>
        </w:tc>
        <w:tc>
          <w:tcPr>
            <w:tcW w:w="1421" w:type="dxa"/>
            <w:vAlign w:val="center"/>
          </w:tcPr>
          <w:p>
            <w:pPr>
              <w:jc w:val="center"/>
              <w:rPr>
                <w:rFonts w:hint="eastAsia" w:ascii="宋体" w:hAnsi="宋体" w:cs="宋体"/>
                <w:color w:val="auto"/>
                <w:szCs w:val="21"/>
              </w:rPr>
            </w:pPr>
          </w:p>
        </w:tc>
      </w:tr>
    </w:tbl>
    <w:p>
      <w:pPr>
        <w:pStyle w:val="5"/>
        <w:rPr>
          <w:rFonts w:hint="eastAsia"/>
          <w:color w:val="auto"/>
          <w:lang w:eastAsia="zh-CN"/>
        </w:rPr>
      </w:pPr>
    </w:p>
    <w:p>
      <w:pPr>
        <w:rPr>
          <w:color w:val="auto"/>
        </w:rPr>
      </w:pPr>
    </w:p>
    <w:p>
      <w:pPr>
        <w:rPr>
          <w:color w:val="auto"/>
        </w:rPr>
      </w:pPr>
    </w:p>
    <w:p>
      <w:pPr>
        <w:pStyle w:val="8"/>
        <w:rPr>
          <w:color w:val="auto"/>
        </w:rPr>
      </w:pPr>
    </w:p>
    <w:p>
      <w:pPr>
        <w:pStyle w:val="8"/>
        <w:rPr>
          <w:color w:val="auto"/>
        </w:rPr>
      </w:pPr>
      <w:r>
        <w:rPr>
          <w:color w:val="auto"/>
        </w:rPr>
        <w:br w:type="page"/>
      </w:r>
    </w:p>
    <w:p>
      <w:pPr>
        <w:pStyle w:val="9"/>
        <w:rPr>
          <w:color w:val="auto"/>
        </w:rPr>
      </w:pPr>
    </w:p>
    <w:p>
      <w:pPr>
        <w:numPr>
          <w:ilvl w:val="0"/>
          <w:numId w:val="34"/>
        </w:numPr>
        <w:spacing w:line="440" w:lineRule="exact"/>
        <w:rPr>
          <w:rFonts w:ascii="宋体" w:hAnsi="宋体"/>
          <w:color w:val="auto"/>
          <w:spacing w:val="4"/>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中小企业声明函（可选）</w:t>
      </w:r>
    </w:p>
    <w:p>
      <w:pPr>
        <w:adjustRightInd w:val="0"/>
        <w:snapToGrid w:val="0"/>
        <w:spacing w:line="360" w:lineRule="auto"/>
        <w:ind w:firstLine="420" w:firstLineChars="200"/>
        <w:rPr>
          <w:rFonts w:ascii="宋体" w:hAnsi="宋体"/>
          <w:color w:val="auto"/>
        </w:rPr>
      </w:pPr>
      <w:r>
        <w:rPr>
          <w:rFonts w:hint="eastAsia" w:ascii="宋体" w:hAnsi="宋体"/>
          <w:color w:val="auto"/>
        </w:rPr>
        <w:t>本公司郑重声明，根据《政府采购促进中小企业发展暂行办法》（财库[2011]181号）的规定，本公司为</w:t>
      </w:r>
      <w:r>
        <w:rPr>
          <w:rFonts w:hint="eastAsia" w:ascii="宋体" w:hAnsi="宋体"/>
          <w:color w:val="auto"/>
          <w:u w:val="single"/>
        </w:rPr>
        <w:t xml:space="preserve">         </w:t>
      </w:r>
      <w:r>
        <w:rPr>
          <w:rFonts w:hint="eastAsia" w:ascii="宋体" w:hAnsi="宋体"/>
          <w:color w:val="auto"/>
        </w:rPr>
        <w:t>（请填写：中型、小型、微型）企业。即，本公司同时满足以下条件：</w:t>
      </w:r>
    </w:p>
    <w:p>
      <w:pPr>
        <w:numPr>
          <w:ilvl w:val="0"/>
          <w:numId w:val="37"/>
        </w:numPr>
        <w:adjustRightInd w:val="0"/>
        <w:snapToGrid w:val="0"/>
        <w:spacing w:line="360" w:lineRule="auto"/>
        <w:rPr>
          <w:rFonts w:ascii="宋体" w:hAnsi="宋体"/>
          <w:color w:val="auto"/>
        </w:rPr>
      </w:pPr>
      <w:r>
        <w:rPr>
          <w:rFonts w:hint="eastAsia" w:ascii="宋体" w:hAnsi="宋体"/>
          <w:color w:val="auto"/>
        </w:rPr>
        <w:t>根据《工业和信息化部、国家统计局、国家发展和改革委员会、财政部关于印发中小企业划型标准规定的通知》（工信部联企业[2011]300号）规定的划分标准，本公司为</w:t>
      </w:r>
      <w:r>
        <w:rPr>
          <w:rFonts w:hint="eastAsia" w:ascii="宋体" w:hAnsi="宋体"/>
          <w:color w:val="auto"/>
          <w:u w:val="single"/>
        </w:rPr>
        <w:t xml:space="preserve">             </w:t>
      </w:r>
      <w:r>
        <w:rPr>
          <w:rFonts w:hint="eastAsia" w:ascii="宋体" w:hAnsi="宋体"/>
          <w:color w:val="auto"/>
        </w:rPr>
        <w:t>（请填写：中型、小型、微型）企业。</w:t>
      </w:r>
    </w:p>
    <w:p>
      <w:pPr>
        <w:numPr>
          <w:ilvl w:val="0"/>
          <w:numId w:val="37"/>
        </w:numPr>
        <w:adjustRightInd w:val="0"/>
        <w:snapToGrid w:val="0"/>
        <w:spacing w:line="360" w:lineRule="auto"/>
        <w:rPr>
          <w:rFonts w:ascii="宋体" w:hAnsi="宋体"/>
          <w:color w:val="auto"/>
        </w:rPr>
      </w:pPr>
      <w:r>
        <w:rPr>
          <w:rFonts w:hint="eastAsia" w:ascii="宋体" w:hAnsi="宋体"/>
          <w:color w:val="auto"/>
        </w:rPr>
        <w:t>本公司参加</w:t>
      </w:r>
      <w:r>
        <w:rPr>
          <w:rFonts w:hint="eastAsia" w:ascii="宋体" w:hAnsi="宋体"/>
          <w:color w:val="auto"/>
          <w:u w:val="single"/>
        </w:rPr>
        <w:t xml:space="preserve">     (采购人单位名称)    </w:t>
      </w:r>
      <w:r>
        <w:rPr>
          <w:rFonts w:hint="eastAsia" w:ascii="宋体" w:hAnsi="宋体"/>
          <w:color w:val="auto"/>
        </w:rPr>
        <w:t>的</w:t>
      </w:r>
      <w:r>
        <w:rPr>
          <w:rFonts w:hint="eastAsia" w:ascii="宋体" w:hAnsi="宋体"/>
          <w:color w:val="auto"/>
          <w:u w:val="single"/>
        </w:rPr>
        <w:t xml:space="preserve">   (项目名称) </w:t>
      </w:r>
      <w:r>
        <w:rPr>
          <w:rFonts w:hint="eastAsia" w:ascii="宋体" w:hAnsi="宋体"/>
          <w:color w:val="auto"/>
        </w:rPr>
        <w:t>采购活动提供本企业制造的货物，由本企业承担工程、提供服务，或者提供其他</w:t>
      </w:r>
      <w:r>
        <w:rPr>
          <w:rFonts w:hint="eastAsia" w:ascii="宋体" w:hAnsi="宋体"/>
          <w:color w:val="auto"/>
          <w:u w:val="single"/>
        </w:rPr>
        <w:t xml:space="preserve">           </w:t>
      </w:r>
      <w:r>
        <w:rPr>
          <w:rFonts w:hint="eastAsia" w:ascii="宋体" w:hAnsi="宋体"/>
          <w:color w:val="auto"/>
        </w:rPr>
        <w:t>（请填写：中型、小型、微型）企业制造的货物。本条所称货物不包括使用大型企业注册商标的货物。</w:t>
      </w:r>
    </w:p>
    <w:p>
      <w:pPr>
        <w:adjustRightInd w:val="0"/>
        <w:snapToGrid w:val="0"/>
        <w:spacing w:line="360" w:lineRule="auto"/>
        <w:ind w:left="420"/>
        <w:rPr>
          <w:rFonts w:ascii="宋体" w:hAnsi="宋体"/>
          <w:b/>
          <w:color w:val="auto"/>
        </w:rPr>
      </w:pPr>
      <w:r>
        <w:rPr>
          <w:rFonts w:hint="eastAsia" w:ascii="宋体" w:hAnsi="宋体"/>
          <w:b/>
          <w:color w:val="auto"/>
        </w:rPr>
        <w:t>本公司对上述声明的真实性负责。如有虚假，将依法承担相应责任。</w:t>
      </w:r>
    </w:p>
    <w:p>
      <w:pPr>
        <w:spacing w:line="360" w:lineRule="auto"/>
        <w:ind w:firstLine="420" w:firstLineChars="200"/>
        <w:jc w:val="center"/>
        <w:rPr>
          <w:rFonts w:ascii="宋体" w:hAnsi="宋体"/>
          <w:color w:val="auto"/>
        </w:rPr>
      </w:pPr>
      <w:r>
        <w:rPr>
          <w:rFonts w:hint="eastAsia" w:ascii="宋体" w:hAnsi="宋体"/>
          <w:color w:val="auto"/>
        </w:rPr>
        <w:t xml:space="preserve">                            投标人名称（加盖</w:t>
      </w:r>
      <w:r>
        <w:rPr>
          <w:rFonts w:hint="eastAsia" w:ascii="宋体" w:hAnsi="宋体"/>
          <w:color w:val="auto"/>
          <w:spacing w:val="4"/>
        </w:rPr>
        <w:t>公章</w:t>
      </w:r>
      <w:r>
        <w:rPr>
          <w:rFonts w:hint="eastAsia" w:ascii="宋体" w:hAnsi="宋体"/>
          <w:color w:val="auto"/>
        </w:rPr>
        <w:t>）：</w:t>
      </w:r>
    </w:p>
    <w:p>
      <w:pPr>
        <w:spacing w:line="360" w:lineRule="auto"/>
        <w:ind w:firstLine="420" w:firstLineChars="200"/>
        <w:jc w:val="center"/>
        <w:rPr>
          <w:rFonts w:ascii="宋体" w:hAnsi="宋体"/>
          <w:color w:val="auto"/>
        </w:rPr>
      </w:pPr>
      <w:r>
        <w:rPr>
          <w:rFonts w:hint="eastAsia" w:ascii="宋体" w:hAnsi="宋体"/>
          <w:color w:val="auto"/>
        </w:rPr>
        <w:t xml:space="preserve">                         日 期：  年   月  日</w:t>
      </w:r>
    </w:p>
    <w:p>
      <w:pPr>
        <w:adjustRightInd w:val="0"/>
        <w:snapToGrid w:val="0"/>
        <w:spacing w:line="360" w:lineRule="auto"/>
        <w:ind w:left="315" w:leftChars="150"/>
        <w:rPr>
          <w:rFonts w:ascii="宋体" w:hAnsi="宋体"/>
          <w:color w:val="auto"/>
          <w:szCs w:val="21"/>
          <w:lang w:val="en-GB"/>
        </w:rPr>
      </w:pPr>
      <w:bookmarkStart w:id="21" w:name="_Toc435514876"/>
      <w:bookmarkStart w:id="22" w:name="_Toc435515316"/>
      <w:r>
        <w:rPr>
          <w:rFonts w:hint="eastAsia" w:ascii="宋体" w:hAnsi="宋体"/>
          <w:color w:val="auto"/>
          <w:szCs w:val="21"/>
          <w:lang w:val="en-GB"/>
        </w:rPr>
        <w:t>备注：</w:t>
      </w:r>
    </w:p>
    <w:p>
      <w:pPr>
        <w:numPr>
          <w:ilvl w:val="0"/>
          <w:numId w:val="38"/>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本声明函对中小企业参与政府采购活动时适用。</w:t>
      </w:r>
    </w:p>
    <w:p>
      <w:pPr>
        <w:numPr>
          <w:ilvl w:val="0"/>
          <w:numId w:val="38"/>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如果投标人不是中小企业的，可不提供该中小企业声明函。</w:t>
      </w:r>
      <w:bookmarkEnd w:id="21"/>
      <w:bookmarkEnd w:id="22"/>
    </w:p>
    <w:p>
      <w:pPr>
        <w:numPr>
          <w:ilvl w:val="0"/>
          <w:numId w:val="38"/>
        </w:numPr>
        <w:adjustRightInd w:val="0"/>
        <w:snapToGrid w:val="0"/>
        <w:spacing w:line="360" w:lineRule="auto"/>
        <w:rPr>
          <w:rFonts w:ascii="宋体" w:hAnsi="宋体"/>
          <w:color w:val="auto"/>
          <w:szCs w:val="21"/>
          <w:lang w:val="en-GB"/>
        </w:rPr>
      </w:pPr>
      <w:r>
        <w:rPr>
          <w:rFonts w:hint="eastAsia" w:ascii="宋体" w:hAnsi="宋体"/>
          <w:color w:val="auto"/>
          <w:szCs w:val="21"/>
          <w:lang w:val="en-GB"/>
        </w:rPr>
        <w:br w:type="page"/>
      </w:r>
    </w:p>
    <w:p>
      <w:pPr>
        <w:pStyle w:val="24"/>
        <w:ind w:firstLine="0" w:firstLineChars="0"/>
        <w:jc w:val="center"/>
        <w:rPr>
          <w:rFonts w:cs="Times New Roman"/>
          <w:b/>
          <w:color w:val="auto"/>
          <w:kern w:val="2"/>
          <w:szCs w:val="28"/>
          <w:lang w:val="en-GB"/>
        </w:rPr>
      </w:pPr>
      <w:r>
        <w:rPr>
          <w:rFonts w:hint="eastAsia" w:cs="Times New Roman"/>
          <w:b/>
          <w:color w:val="auto"/>
          <w:kern w:val="2"/>
          <w:szCs w:val="28"/>
          <w:lang w:val="en-GB"/>
        </w:rPr>
        <w:t>监狱企业的证明文件（如适用）</w:t>
      </w:r>
    </w:p>
    <w:p>
      <w:pPr>
        <w:pStyle w:val="24"/>
        <w:ind w:firstLine="420"/>
        <w:rPr>
          <w:rFonts w:cs="Times New Roman"/>
          <w:color w:val="auto"/>
          <w:kern w:val="2"/>
          <w:sz w:val="21"/>
          <w:lang w:val="en-GB"/>
        </w:rPr>
      </w:pPr>
      <w:r>
        <w:rPr>
          <w:rFonts w:hint="eastAsia" w:cs="Times New Roman"/>
          <w:color w:val="auto"/>
          <w:kern w:val="2"/>
          <w:sz w:val="21"/>
          <w:lang w:val="en-GB"/>
        </w:rPr>
        <w:t>说明：监狱企业参加政府采购活动时，应当提供由省级以上监狱管理局、戒毒管理局（含新疆生产建设兵团）出具的属于监狱企业的证明文件。</w:t>
      </w:r>
    </w:p>
    <w:p>
      <w:pPr>
        <w:pStyle w:val="24"/>
        <w:ind w:firstLine="560"/>
        <w:rPr>
          <w:color w:val="auto"/>
          <w:lang w:val="en-GB"/>
        </w:rPr>
      </w:pPr>
    </w:p>
    <w:p>
      <w:pPr>
        <w:pStyle w:val="24"/>
        <w:ind w:firstLine="560"/>
        <w:rPr>
          <w:color w:val="auto"/>
          <w:lang w:val="en-GB"/>
        </w:rPr>
      </w:pPr>
    </w:p>
    <w:p>
      <w:pPr>
        <w:pStyle w:val="24"/>
        <w:ind w:firstLine="560"/>
        <w:rPr>
          <w:color w:val="auto"/>
          <w:lang w:val="en-GB"/>
        </w:rPr>
      </w:pPr>
    </w:p>
    <w:p>
      <w:pPr>
        <w:pStyle w:val="24"/>
        <w:ind w:firstLine="560"/>
        <w:rPr>
          <w:color w:val="auto"/>
          <w:lang w:val="en-GB"/>
        </w:rPr>
      </w:pPr>
    </w:p>
    <w:p>
      <w:pPr>
        <w:pStyle w:val="24"/>
        <w:ind w:firstLine="560"/>
        <w:rPr>
          <w:color w:val="auto"/>
          <w:lang w:val="en-GB"/>
        </w:rPr>
      </w:pPr>
    </w:p>
    <w:p>
      <w:pPr>
        <w:pStyle w:val="24"/>
        <w:ind w:firstLine="560"/>
        <w:rPr>
          <w:color w:val="auto"/>
          <w:lang w:val="en-GB"/>
        </w:rPr>
      </w:pPr>
    </w:p>
    <w:p>
      <w:pPr>
        <w:pStyle w:val="24"/>
        <w:ind w:firstLine="0" w:firstLineChars="0"/>
        <w:jc w:val="center"/>
        <w:rPr>
          <w:rFonts w:cs="Times New Roman"/>
          <w:b/>
          <w:color w:val="auto"/>
          <w:kern w:val="2"/>
          <w:szCs w:val="28"/>
          <w:lang w:val="en-GB"/>
        </w:rPr>
      </w:pPr>
      <w:r>
        <w:rPr>
          <w:rFonts w:hint="eastAsia" w:cs="Times New Roman"/>
          <w:b/>
          <w:color w:val="auto"/>
          <w:kern w:val="2"/>
          <w:szCs w:val="28"/>
          <w:lang w:val="en-GB"/>
        </w:rPr>
        <w:t>残疾人福利性单位的声明函及证明文件（如适用）</w:t>
      </w:r>
    </w:p>
    <w:p>
      <w:pPr>
        <w:pStyle w:val="24"/>
        <w:ind w:firstLine="420"/>
        <w:rPr>
          <w:rFonts w:cs="Times New Roman"/>
          <w:color w:val="auto"/>
          <w:kern w:val="2"/>
          <w:sz w:val="21"/>
          <w:lang w:val="en-GB"/>
        </w:rPr>
      </w:pPr>
      <w:r>
        <w:rPr>
          <w:rFonts w:hint="eastAsia" w:cs="Times New Roman"/>
          <w:color w:val="auto"/>
          <w:kern w:val="2"/>
          <w:sz w:val="21"/>
          <w:lang w:val="en-GB"/>
        </w:rPr>
        <w:t>本公司郑重声明，根据《财政部 民政部 中国残疾人联合会关于促进残疾人就业政府采购政策的通</w:t>
      </w:r>
    </w:p>
    <w:p>
      <w:pPr>
        <w:pStyle w:val="24"/>
        <w:ind w:firstLine="420"/>
        <w:rPr>
          <w:rFonts w:cs="Times New Roman"/>
          <w:color w:val="auto"/>
          <w:kern w:val="2"/>
          <w:sz w:val="21"/>
          <w:lang w:val="en-GB"/>
        </w:rPr>
      </w:pPr>
      <w:r>
        <w:rPr>
          <w:rFonts w:hint="eastAsia" w:cs="Times New Roman"/>
          <w:color w:val="auto"/>
          <w:kern w:val="2"/>
          <w:sz w:val="21"/>
          <w:lang w:val="en-GB"/>
        </w:rPr>
        <w:t>知》（财库〔2017〕 141 号）的规定，本公司为符合条件的残疾人福利性单位，且本公司参加 单位的______项目采购活动提供本公司制造的货物（由本公司承担工程/提供服务），或者提供其他残疾人</w:t>
      </w:r>
    </w:p>
    <w:p>
      <w:pPr>
        <w:pStyle w:val="24"/>
        <w:ind w:firstLine="420"/>
        <w:rPr>
          <w:rFonts w:cs="Times New Roman"/>
          <w:color w:val="auto"/>
          <w:kern w:val="2"/>
          <w:sz w:val="21"/>
          <w:lang w:val="en-GB"/>
        </w:rPr>
      </w:pPr>
      <w:r>
        <w:rPr>
          <w:rFonts w:hint="eastAsia" w:cs="Times New Roman"/>
          <w:color w:val="auto"/>
          <w:kern w:val="2"/>
          <w:sz w:val="21"/>
          <w:lang w:val="en-GB"/>
        </w:rPr>
        <w:t>福利性单位制造的货物（不包括使用非残疾人福利性单位注册商标的货物）。</w:t>
      </w:r>
    </w:p>
    <w:p>
      <w:pPr>
        <w:pStyle w:val="24"/>
        <w:ind w:firstLine="420"/>
        <w:rPr>
          <w:rFonts w:cs="Times New Roman"/>
          <w:color w:val="auto"/>
          <w:kern w:val="2"/>
          <w:sz w:val="21"/>
          <w:lang w:val="en-GB"/>
        </w:rPr>
      </w:pPr>
      <w:r>
        <w:rPr>
          <w:rFonts w:hint="eastAsia" w:cs="Times New Roman"/>
          <w:color w:val="auto"/>
          <w:kern w:val="2"/>
          <w:sz w:val="21"/>
          <w:lang w:val="en-GB"/>
        </w:rPr>
        <w:t>本公司对上述声明的真实性负责。如有虚假，将依法承担相应责任。</w:t>
      </w:r>
    </w:p>
    <w:p>
      <w:pPr>
        <w:pStyle w:val="24"/>
        <w:ind w:firstLine="420"/>
        <w:rPr>
          <w:rFonts w:cs="Times New Roman"/>
          <w:color w:val="auto"/>
          <w:kern w:val="2"/>
          <w:sz w:val="21"/>
          <w:lang w:val="en-GB"/>
        </w:rPr>
      </w:pPr>
    </w:p>
    <w:p>
      <w:pPr>
        <w:pStyle w:val="24"/>
        <w:ind w:firstLine="420"/>
        <w:rPr>
          <w:rFonts w:cs="Times New Roman"/>
          <w:color w:val="auto"/>
          <w:kern w:val="2"/>
          <w:sz w:val="21"/>
          <w:lang w:val="en-GB"/>
        </w:rPr>
      </w:pPr>
      <w:r>
        <w:rPr>
          <w:rFonts w:hint="eastAsia" w:cs="Times New Roman"/>
          <w:color w:val="auto"/>
          <w:kern w:val="2"/>
          <w:sz w:val="21"/>
          <w:lang w:val="en-GB"/>
        </w:rPr>
        <w:t>企业名称（盖章）：</w:t>
      </w:r>
    </w:p>
    <w:p>
      <w:pPr>
        <w:pStyle w:val="24"/>
        <w:ind w:firstLine="420"/>
        <w:rPr>
          <w:color w:val="auto"/>
          <w:lang w:val="en-GB"/>
        </w:rPr>
      </w:pPr>
      <w:r>
        <w:rPr>
          <w:rFonts w:hint="eastAsia" w:cs="Times New Roman"/>
          <w:color w:val="auto"/>
          <w:kern w:val="2"/>
          <w:sz w:val="21"/>
          <w:lang w:val="en-GB"/>
        </w:rPr>
        <w:t>日 期：</w:t>
      </w:r>
    </w:p>
    <w:p>
      <w:pPr>
        <w:spacing w:line="440" w:lineRule="exact"/>
        <w:rPr>
          <w:color w:val="auto"/>
        </w:rPr>
      </w:pPr>
      <w:r>
        <w:rPr>
          <w:color w:val="auto"/>
        </w:rPr>
        <w:br w:type="page"/>
      </w:r>
    </w:p>
    <w:p>
      <w:pPr>
        <w:pStyle w:val="24"/>
        <w:ind w:firstLine="560"/>
        <w:rPr>
          <w:color w:val="auto"/>
        </w:rPr>
      </w:pPr>
    </w:p>
    <w:p>
      <w:pPr>
        <w:numPr>
          <w:ilvl w:val="0"/>
          <w:numId w:val="34"/>
        </w:numPr>
        <w:spacing w:line="440" w:lineRule="exact"/>
        <w:rPr>
          <w:rFonts w:ascii="宋体" w:hAnsi="宋体"/>
          <w:b/>
          <w:color w:val="auto"/>
          <w:sz w:val="28"/>
          <w:szCs w:val="28"/>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用户需求响应一览表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 xml:space="preserve">                                  </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color w:val="auto"/>
                <w:szCs w:val="21"/>
              </w:rPr>
            </w:pPr>
          </w:p>
          <w:p>
            <w:pPr>
              <w:ind w:left="-63" w:leftChars="-30" w:right="-61" w:rightChars="-29"/>
              <w:jc w:val="center"/>
              <w:rPr>
                <w:rFonts w:ascii="宋体" w:hAnsi="宋体"/>
                <w:b/>
                <w:color w:val="auto"/>
                <w:szCs w:val="21"/>
              </w:rPr>
            </w:pPr>
            <w:r>
              <w:rPr>
                <w:rFonts w:hint="eastAsia" w:ascii="宋体" w:hAnsi="宋体"/>
                <w:b/>
                <w:color w:val="auto"/>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color w:val="auto"/>
              </w:rPr>
            </w:pPr>
            <w:r>
              <w:rPr>
                <w:rFonts w:hint="eastAsia" w:ascii="宋体" w:hAnsi="宋体"/>
                <w:b/>
                <w:color w:val="auto"/>
              </w:rPr>
              <w:t>偏离情况说明</w:t>
            </w:r>
          </w:p>
          <w:p>
            <w:pPr>
              <w:jc w:val="center"/>
              <w:rPr>
                <w:rFonts w:ascii="宋体" w:hAnsi="宋体"/>
                <w:b/>
                <w:color w:val="auto"/>
              </w:rPr>
            </w:pPr>
            <w:r>
              <w:rPr>
                <w:rFonts w:hint="eastAsia" w:ascii="宋体" w:hAnsi="宋体"/>
                <w:b/>
                <w:color w:val="auto"/>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9"/>
              </w:numPr>
              <w:spacing w:line="400" w:lineRule="exact"/>
              <w:jc w:val="center"/>
              <w:rPr>
                <w:rFonts w:ascii="宋体" w:hAnsi="宋体"/>
                <w:color w:val="auto"/>
                <w:szCs w:val="21"/>
              </w:rPr>
            </w:pPr>
          </w:p>
        </w:tc>
        <w:tc>
          <w:tcPr>
            <w:tcW w:w="3599" w:type="dxa"/>
            <w:tcBorders>
              <w:top w:val="double" w:color="auto" w:sz="4" w:space="0"/>
            </w:tcBorders>
            <w:vAlign w:val="center"/>
          </w:tcPr>
          <w:p>
            <w:pPr>
              <w:rPr>
                <w:rFonts w:ascii="宋体" w:hAnsi="宋体"/>
                <w:color w:val="auto"/>
              </w:rPr>
            </w:pPr>
          </w:p>
        </w:tc>
        <w:tc>
          <w:tcPr>
            <w:tcW w:w="1897" w:type="dxa"/>
            <w:tcBorders>
              <w:top w:val="double" w:color="auto" w:sz="4" w:space="0"/>
            </w:tcBorders>
            <w:vAlign w:val="center"/>
          </w:tcPr>
          <w:p>
            <w:pPr>
              <w:jc w:val="center"/>
              <w:rPr>
                <w:rFonts w:ascii="宋体" w:hAnsi="宋体"/>
                <w:color w:val="auto"/>
              </w:rPr>
            </w:pPr>
          </w:p>
        </w:tc>
        <w:tc>
          <w:tcPr>
            <w:tcW w:w="2196" w:type="dxa"/>
            <w:tcBorders>
              <w:top w:val="double" w:color="auto" w:sz="4" w:space="0"/>
              <w:right w:val="single" w:color="auto" w:sz="2" w:space="0"/>
            </w:tcBorders>
            <w:vAlign w:val="center"/>
          </w:tcPr>
          <w:p>
            <w:pPr>
              <w:jc w:val="center"/>
              <w:rPr>
                <w:rFonts w:ascii="宋体" w:hAnsi="宋体"/>
                <w:color w:val="auto"/>
              </w:rPr>
            </w:pPr>
          </w:p>
        </w:tc>
        <w:tc>
          <w:tcPr>
            <w:tcW w:w="1639" w:type="dxa"/>
            <w:tcBorders>
              <w:top w:val="double" w:color="auto" w:sz="4" w:space="0"/>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 w:val="18"/>
                <w:szCs w:val="18"/>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b/>
                <w:bCs/>
                <w:color w:val="auto"/>
                <w:szCs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宋体" w:hAnsi="宋体"/>
                <w:color w:val="auto"/>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Theme="minorEastAsia" w:hAnsiTheme="minorEastAsia" w:eastAsiaTheme="minorEastAsia" w:cstheme="minorEastAsia"/>
                <w:b/>
                <w:bCs/>
                <w:color w:val="auto"/>
                <w:szCs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9"/>
              </w:numPr>
              <w:spacing w:line="400" w:lineRule="exact"/>
              <w:jc w:val="center"/>
              <w:rPr>
                <w:rFonts w:ascii="宋体" w:hAnsi="宋体"/>
                <w:color w:val="auto"/>
                <w:szCs w:val="21"/>
              </w:rPr>
            </w:pPr>
          </w:p>
        </w:tc>
        <w:tc>
          <w:tcPr>
            <w:tcW w:w="3599" w:type="dxa"/>
            <w:vAlign w:val="center"/>
          </w:tcPr>
          <w:p>
            <w:pPr>
              <w:rPr>
                <w:rFonts w:asciiTheme="minorEastAsia" w:hAnsiTheme="minorEastAsia" w:eastAsiaTheme="minorEastAsia" w:cstheme="minorEastAsia"/>
                <w:b/>
                <w:bCs/>
                <w:color w:val="auto"/>
                <w:szCs w:val="21"/>
              </w:rPr>
            </w:pP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pPr>
        <w:spacing w:line="360" w:lineRule="auto"/>
        <w:ind w:left="741" w:leftChars="68" w:right="84" w:rightChars="40" w:hanging="598" w:hangingChars="285"/>
        <w:rPr>
          <w:rFonts w:ascii="宋体" w:hAnsi="宋体"/>
          <w:color w:val="auto"/>
        </w:rPr>
      </w:pPr>
      <w:r>
        <w:rPr>
          <w:rFonts w:hint="eastAsia" w:ascii="宋体" w:hAnsi="宋体"/>
          <w:color w:val="auto"/>
          <w:szCs w:val="21"/>
        </w:rPr>
        <w:t>备注：此</w:t>
      </w:r>
      <w:r>
        <w:rPr>
          <w:rFonts w:hint="eastAsia" w:ascii="宋体" w:hAnsi="宋体"/>
          <w:color w:val="auto"/>
        </w:rPr>
        <w:t>表中“招标文件条款描述”的条款与用户需求中的条款描述不一致的，以用户需求中规定的为准。</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adjustRightInd w:val="0"/>
        <w:snapToGrid w:val="0"/>
        <w:spacing w:afterLines="50"/>
        <w:jc w:val="center"/>
        <w:outlineLvl w:val="2"/>
        <w:rPr>
          <w:rFonts w:ascii="宋体" w:hAnsi="宋体"/>
          <w:b/>
          <w:color w:val="auto"/>
          <w:sz w:val="28"/>
          <w:szCs w:val="28"/>
        </w:rPr>
      </w:pPr>
      <w:bookmarkStart w:id="23" w:name="_Toc275865614"/>
      <w:r>
        <w:rPr>
          <w:rFonts w:hint="eastAsia" w:ascii="宋体" w:hAnsi="宋体"/>
          <w:b/>
          <w:color w:val="auto"/>
          <w:sz w:val="28"/>
          <w:szCs w:val="28"/>
        </w:rPr>
        <w:t>投标服务方案</w:t>
      </w:r>
      <w:bookmarkEnd w:id="23"/>
    </w:p>
    <w:p>
      <w:pPr>
        <w:spacing w:line="360" w:lineRule="auto"/>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 xml:space="preserve">                                   </w:t>
      </w:r>
    </w:p>
    <w:p>
      <w:pPr>
        <w:adjustRightInd w:val="0"/>
        <w:snapToGrid w:val="0"/>
        <w:spacing w:line="360" w:lineRule="auto"/>
        <w:rPr>
          <w:rFonts w:ascii="宋体" w:hAnsi="宋体"/>
          <w:b/>
          <w:color w:val="auto"/>
        </w:rPr>
      </w:pPr>
      <w:r>
        <w:rPr>
          <w:rFonts w:hint="eastAsia" w:ascii="宋体" w:hAnsi="宋体"/>
          <w:b/>
          <w:color w:val="auto"/>
        </w:rPr>
        <w:t>主要内容应包括但不限于以下内容（格式自定）：</w:t>
      </w:r>
    </w:p>
    <w:p>
      <w:pPr>
        <w:widowControl/>
        <w:numPr>
          <w:ilvl w:val="0"/>
          <w:numId w:val="40"/>
        </w:numPr>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；见（ ）页。</w:t>
      </w:r>
    </w:p>
    <w:p>
      <w:pPr>
        <w:widowControl/>
        <w:numPr>
          <w:ilvl w:val="0"/>
          <w:numId w:val="40"/>
        </w:numPr>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；见（ ）页。</w:t>
      </w:r>
    </w:p>
    <w:p>
      <w:pPr>
        <w:widowControl/>
        <w:numPr>
          <w:ilvl w:val="0"/>
          <w:numId w:val="40"/>
        </w:numPr>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；见（ ）页。</w:t>
      </w:r>
    </w:p>
    <w:p>
      <w:pPr>
        <w:widowControl/>
        <w:numPr>
          <w:ilvl w:val="0"/>
          <w:numId w:val="40"/>
        </w:numPr>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；见（ ）页。</w:t>
      </w:r>
    </w:p>
    <w:p>
      <w:pPr>
        <w:widowControl/>
        <w:numPr>
          <w:ilvl w:val="0"/>
          <w:numId w:val="40"/>
        </w:numPr>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；见（ ）页。</w:t>
      </w:r>
    </w:p>
    <w:p>
      <w:pPr>
        <w:adjustRightInd w:val="0"/>
        <w:snapToGrid w:val="0"/>
        <w:spacing w:line="360" w:lineRule="auto"/>
        <w:rPr>
          <w:rFonts w:ascii="宋体" w:hAnsi="宋体"/>
          <w:b/>
          <w:color w:val="auto"/>
        </w:rPr>
      </w:pPr>
    </w:p>
    <w:p>
      <w:pPr>
        <w:adjustRightInd w:val="0"/>
        <w:snapToGrid w:val="0"/>
        <w:spacing w:line="360" w:lineRule="auto"/>
        <w:rPr>
          <w:rFonts w:ascii="宋体" w:hAnsi="宋体"/>
          <w:b/>
          <w:color w:val="auto"/>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jc w:val="center"/>
        <w:outlineLvl w:val="2"/>
        <w:rPr>
          <w:rFonts w:ascii="宋体" w:hAnsi="宋体"/>
          <w:b/>
          <w:color w:val="auto"/>
          <w:sz w:val="28"/>
          <w:szCs w:val="28"/>
        </w:rPr>
      </w:pPr>
      <w:bookmarkStart w:id="24" w:name="_Toc275865616"/>
      <w:bookmarkStart w:id="25" w:name="_Toc173553182"/>
      <w:r>
        <w:rPr>
          <w:rFonts w:hint="eastAsia" w:ascii="宋体" w:hAnsi="宋体"/>
          <w:b/>
          <w:color w:val="auto"/>
          <w:sz w:val="28"/>
          <w:szCs w:val="28"/>
        </w:rPr>
        <w:t>投标人基本情况表</w:t>
      </w:r>
      <w:bookmarkEnd w:id="24"/>
      <w:bookmarkEnd w:id="25"/>
    </w:p>
    <w:p>
      <w:pPr>
        <w:numPr>
          <w:ilvl w:val="0"/>
          <w:numId w:val="41"/>
        </w:numPr>
        <w:spacing w:line="360" w:lineRule="auto"/>
        <w:rPr>
          <w:rFonts w:ascii="宋体" w:hAnsi="宋体" w:cs="Arial"/>
          <w:color w:val="auto"/>
          <w:szCs w:val="21"/>
        </w:rPr>
      </w:pPr>
      <w:r>
        <w:rPr>
          <w:rFonts w:ascii="宋体" w:hAnsi="宋体" w:cs="Arial"/>
          <w:color w:val="auto"/>
          <w:szCs w:val="21"/>
        </w:rPr>
        <w:t>公司基本情况</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公司名称：</w:t>
      </w:r>
      <w:r>
        <w:rPr>
          <w:rFonts w:ascii="宋体" w:hAnsi="宋体" w:cs="Arial"/>
          <w:color w:val="auto"/>
          <w:szCs w:val="21"/>
          <w:u w:val="single"/>
        </w:rPr>
        <w:t xml:space="preserve">                              </w:t>
      </w:r>
      <w:r>
        <w:rPr>
          <w:rFonts w:ascii="宋体" w:hAnsi="宋体" w:cs="Arial"/>
          <w:color w:val="auto"/>
          <w:szCs w:val="21"/>
        </w:rPr>
        <w:t xml:space="preserve">  电话号码：</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地    址：</w:t>
      </w:r>
      <w:r>
        <w:rPr>
          <w:rFonts w:ascii="宋体" w:hAnsi="宋体" w:cs="Arial"/>
          <w:color w:val="auto"/>
          <w:szCs w:val="21"/>
          <w:u w:val="single"/>
        </w:rPr>
        <w:t xml:space="preserve">                              </w:t>
      </w:r>
      <w:r>
        <w:rPr>
          <w:rFonts w:ascii="宋体" w:hAnsi="宋体" w:cs="Arial"/>
          <w:color w:val="auto"/>
          <w:szCs w:val="21"/>
        </w:rPr>
        <w:t xml:space="preserve">  传    真：</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41"/>
        </w:numPr>
        <w:tabs>
          <w:tab w:val="left" w:pos="420"/>
          <w:tab w:val="clear" w:pos="840"/>
        </w:tabs>
        <w:spacing w:line="360" w:lineRule="auto"/>
        <w:ind w:left="420"/>
        <w:rPr>
          <w:rFonts w:ascii="宋体" w:hAnsi="宋体" w:cs="Arial"/>
          <w:color w:val="auto"/>
          <w:szCs w:val="21"/>
          <w:u w:val="single"/>
        </w:rPr>
      </w:pPr>
      <w:r>
        <w:rPr>
          <w:rFonts w:ascii="宋体" w:hAnsi="宋体" w:cs="Arial"/>
          <w:color w:val="auto"/>
          <w:szCs w:val="21"/>
        </w:rPr>
        <w:t>注册资金：</w:t>
      </w:r>
      <w:r>
        <w:rPr>
          <w:rFonts w:ascii="宋体" w:hAnsi="宋体" w:cs="Arial"/>
          <w:color w:val="auto"/>
          <w:szCs w:val="21"/>
          <w:u w:val="single"/>
        </w:rPr>
        <w:t xml:space="preserve">                              </w:t>
      </w:r>
      <w:r>
        <w:rPr>
          <w:rFonts w:ascii="宋体" w:hAnsi="宋体" w:cs="Arial"/>
          <w:color w:val="auto"/>
          <w:szCs w:val="21"/>
        </w:rPr>
        <w:t xml:space="preserve">  经济性质：</w:t>
      </w:r>
      <w:r>
        <w:rPr>
          <w:rFonts w:ascii="宋体" w:hAnsi="宋体" w:cs="Arial"/>
          <w:color w:val="auto"/>
          <w:szCs w:val="21"/>
          <w:u w:val="single"/>
        </w:rPr>
        <w:t xml:space="preserve">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公司开户银行名称及账号：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营业注册执照号：   </w:t>
      </w:r>
    </w:p>
    <w:p>
      <w:pPr>
        <w:numPr>
          <w:ilvl w:val="1"/>
          <w:numId w:val="41"/>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公司简介</w:t>
      </w:r>
    </w:p>
    <w:p>
      <w:pPr>
        <w:spacing w:line="360" w:lineRule="auto"/>
        <w:ind w:left="360"/>
        <w:rPr>
          <w:rFonts w:ascii="宋体" w:hAnsi="宋体" w:cs="Arial"/>
          <w:color w:val="auto"/>
          <w:szCs w:val="21"/>
        </w:rPr>
      </w:pPr>
      <w:r>
        <w:rPr>
          <w:rFonts w:hint="eastAsia" w:ascii="宋体" w:hAnsi="宋体"/>
          <w:color w:val="auto"/>
        </w:rPr>
        <w:t>文字描述：</w:t>
      </w:r>
      <w:r>
        <w:rPr>
          <w:rFonts w:hint="eastAsia" w:ascii="宋体" w:hAnsi="宋体"/>
          <w:bCs/>
          <w:color w:val="auto"/>
          <w:szCs w:val="21"/>
          <w:lang w:val="en-GB"/>
        </w:rPr>
        <w:t>发展历程、经营规模及服务理念</w:t>
      </w:r>
      <w:r>
        <w:rPr>
          <w:rFonts w:hint="eastAsia" w:ascii="宋体" w:hAnsi="宋体"/>
          <w:color w:val="auto"/>
        </w:rPr>
        <w:t>、技术力量、财务状况、</w:t>
      </w:r>
      <w:r>
        <w:rPr>
          <w:rFonts w:ascii="宋体" w:hAnsi="宋体"/>
          <w:color w:val="auto"/>
        </w:rPr>
        <w:t>管理水平</w:t>
      </w:r>
      <w:r>
        <w:rPr>
          <w:rFonts w:hint="eastAsia" w:ascii="宋体" w:hAnsi="宋体"/>
          <w:color w:val="auto"/>
        </w:rPr>
        <w:t>等方面进行阐述；图片描述：</w:t>
      </w:r>
      <w:r>
        <w:rPr>
          <w:rFonts w:hint="eastAsia" w:ascii="宋体" w:hAnsi="宋体"/>
          <w:bCs/>
          <w:color w:val="auto"/>
          <w:szCs w:val="21"/>
          <w:lang w:val="en-GB"/>
        </w:rPr>
        <w:t>经营场所、主要或关键产品介绍、生产场所及服务流程等。</w:t>
      </w:r>
    </w:p>
    <w:p>
      <w:pPr>
        <w:numPr>
          <w:ilvl w:val="0"/>
          <w:numId w:val="41"/>
        </w:numPr>
        <w:spacing w:line="360" w:lineRule="auto"/>
        <w:rPr>
          <w:rFonts w:ascii="宋体" w:hAnsi="宋体" w:cs="Arial"/>
          <w:color w:val="auto"/>
          <w:szCs w:val="21"/>
        </w:rPr>
      </w:pPr>
      <w:r>
        <w:rPr>
          <w:rFonts w:ascii="宋体" w:hAnsi="宋体" w:cs="Arial"/>
          <w:color w:val="auto"/>
          <w:szCs w:val="21"/>
        </w:rPr>
        <w:t>投标人获得国家有关部门颁发的资质</w:t>
      </w:r>
      <w:r>
        <w:rPr>
          <w:rFonts w:hint="eastAsia" w:ascii="宋体" w:hAnsi="宋体" w:cs="Arial"/>
          <w:color w:val="auto"/>
          <w:szCs w:val="21"/>
        </w:rPr>
        <w:t>证书和奖项</w:t>
      </w:r>
      <w:r>
        <w:rPr>
          <w:rFonts w:ascii="宋体" w:hAnsi="宋体" w:cs="Arial"/>
          <w:color w:val="auto"/>
          <w:szCs w:val="21"/>
        </w:rPr>
        <w:t>：</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 xml:space="preserve">  证书名称</w:t>
            </w:r>
          </w:p>
        </w:tc>
        <w:tc>
          <w:tcPr>
            <w:tcW w:w="2490"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发证单位</w:t>
            </w:r>
          </w:p>
        </w:tc>
        <w:tc>
          <w:tcPr>
            <w:tcW w:w="2491"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color w:val="auto"/>
                <w:szCs w:val="21"/>
              </w:rPr>
            </w:pPr>
          </w:p>
        </w:tc>
        <w:tc>
          <w:tcPr>
            <w:tcW w:w="2490" w:type="dxa"/>
          </w:tcPr>
          <w:p>
            <w:pPr>
              <w:spacing w:line="360" w:lineRule="auto"/>
              <w:jc w:val="center"/>
              <w:rPr>
                <w:rFonts w:ascii="宋体" w:hAnsi="宋体" w:cs="Arial"/>
                <w:color w:val="auto"/>
                <w:szCs w:val="21"/>
              </w:rPr>
            </w:pPr>
          </w:p>
        </w:tc>
        <w:tc>
          <w:tcPr>
            <w:tcW w:w="2491" w:type="dxa"/>
          </w:tcPr>
          <w:p>
            <w:pPr>
              <w:spacing w:line="360" w:lineRule="auto"/>
              <w:jc w:val="center"/>
              <w:rPr>
                <w:rFonts w:ascii="宋体" w:hAnsi="宋体" w:cs="Arial"/>
                <w:color w:val="auto"/>
                <w:szCs w:val="21"/>
              </w:rPr>
            </w:pPr>
          </w:p>
        </w:tc>
        <w:tc>
          <w:tcPr>
            <w:tcW w:w="2491" w:type="dxa"/>
            <w:tcBorders>
              <w:right w:val="single" w:color="auto" w:sz="12" w:space="0"/>
            </w:tcBorders>
          </w:tcPr>
          <w:p>
            <w:pPr>
              <w:spacing w:line="360" w:lineRule="auto"/>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color w:val="auto"/>
                <w:szCs w:val="21"/>
              </w:rPr>
            </w:pPr>
          </w:p>
        </w:tc>
        <w:tc>
          <w:tcPr>
            <w:tcW w:w="2490"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color w:val="auto"/>
                <w:szCs w:val="21"/>
              </w:rPr>
            </w:pPr>
          </w:p>
        </w:tc>
      </w:tr>
    </w:tbl>
    <w:p>
      <w:pPr>
        <w:numPr>
          <w:ilvl w:val="0"/>
          <w:numId w:val="41"/>
        </w:numPr>
        <w:spacing w:line="360" w:lineRule="auto"/>
        <w:rPr>
          <w:rFonts w:ascii="宋体" w:hAnsi="宋体" w:cs="Arial"/>
          <w:color w:val="auto"/>
          <w:szCs w:val="21"/>
        </w:rPr>
      </w:pPr>
      <w:r>
        <w:rPr>
          <w:rFonts w:hint="eastAsia" w:ascii="宋体" w:hAnsi="宋体" w:cs="Arial"/>
          <w:color w:val="auto"/>
          <w:szCs w:val="21"/>
        </w:rPr>
        <w:t>提供最近年度经审计的财务报表。</w:t>
      </w:r>
      <w:r>
        <w:rPr>
          <w:rFonts w:ascii="宋体" w:hAnsi="宋体" w:cs="Arial"/>
          <w:color w:val="auto"/>
          <w:szCs w:val="21"/>
        </w:rPr>
        <w:t xml:space="preserve">                                                                                     </w:t>
      </w:r>
    </w:p>
    <w:p>
      <w:pPr>
        <w:adjustRightInd w:val="0"/>
        <w:spacing w:line="360" w:lineRule="auto"/>
        <w:ind w:firstLine="315" w:firstLineChars="150"/>
        <w:rPr>
          <w:rFonts w:ascii="宋体" w:hAnsi="宋体" w:cs="Arial"/>
          <w:color w:val="auto"/>
          <w:szCs w:val="21"/>
        </w:rPr>
      </w:pPr>
      <w:bookmarkStart w:id="26" w:name="_Toc43264525"/>
      <w:r>
        <w:rPr>
          <w:rFonts w:ascii="宋体" w:hAnsi="宋体" w:cs="Arial"/>
          <w:color w:val="auto"/>
          <w:szCs w:val="21"/>
        </w:rPr>
        <w:t>我/我们声明以上所述是正确无误的，您有权进行您认为必要的所有调查</w:t>
      </w:r>
      <w:r>
        <w:rPr>
          <w:rFonts w:hint="eastAsia" w:ascii="宋体" w:hAnsi="宋体" w:cs="Arial"/>
          <w:color w:val="auto"/>
          <w:szCs w:val="21"/>
        </w:rPr>
        <w:t>，</w:t>
      </w:r>
      <w:r>
        <w:rPr>
          <w:rFonts w:hint="eastAsia" w:ascii="宋体" w:hAnsi="宋体"/>
          <w:color w:val="auto"/>
          <w:szCs w:val="21"/>
          <w:lang w:val="en-GB"/>
        </w:rPr>
        <w:t>如以上数据有虚假，一经查实，自行承担相关责任。</w:t>
      </w:r>
    </w:p>
    <w:p>
      <w:pPr>
        <w:adjustRightInd w:val="0"/>
        <w:snapToGrid w:val="0"/>
        <w:spacing w:line="360" w:lineRule="auto"/>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bookmarkEnd w:id="26"/>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color w:val="auto"/>
          <w:spacing w:val="4"/>
          <w:u w:val="single"/>
        </w:rPr>
      </w:pPr>
    </w:p>
    <w:p>
      <w:pPr>
        <w:spacing w:line="440" w:lineRule="exact"/>
        <w:rPr>
          <w:rFonts w:ascii="宋体" w:hAnsi="宋体"/>
          <w:bCs/>
          <w:color w:val="auto"/>
          <w:sz w:val="28"/>
        </w:rPr>
      </w:pPr>
      <w:r>
        <w:rPr>
          <w:rFonts w:ascii="宋体" w:hAnsi="宋体"/>
          <w:bCs/>
          <w:color w:val="auto"/>
          <w:sz w:val="28"/>
        </w:rPr>
        <w:br w:type="page"/>
      </w:r>
    </w:p>
    <w:p>
      <w:pPr>
        <w:numPr>
          <w:ilvl w:val="0"/>
          <w:numId w:val="34"/>
        </w:numPr>
        <w:spacing w:line="440" w:lineRule="exact"/>
        <w:rPr>
          <w:rFonts w:ascii="宋体" w:hAnsi="宋体"/>
          <w:bCs/>
          <w:color w:val="auto"/>
        </w:rPr>
      </w:pPr>
    </w:p>
    <w:p>
      <w:pPr>
        <w:jc w:val="center"/>
        <w:outlineLvl w:val="2"/>
        <w:rPr>
          <w:rFonts w:ascii="宋体" w:hAnsi="宋体"/>
          <w:b/>
          <w:color w:val="auto"/>
          <w:sz w:val="28"/>
          <w:szCs w:val="28"/>
        </w:rPr>
      </w:pPr>
      <w:bookmarkStart w:id="27" w:name="_Toc50736481"/>
      <w:bookmarkStart w:id="28" w:name="_Toc275865617"/>
      <w:bookmarkStart w:id="29" w:name="_Toc50737301"/>
      <w:bookmarkStart w:id="30" w:name="_Toc52165085"/>
      <w:bookmarkStart w:id="31" w:name="_Toc50737333"/>
      <w:bookmarkStart w:id="32" w:name="_Toc50691044"/>
      <w:r>
        <w:rPr>
          <w:rFonts w:hint="eastAsia" w:ascii="宋体" w:hAnsi="宋体"/>
          <w:b/>
          <w:color w:val="auto"/>
          <w:sz w:val="28"/>
          <w:szCs w:val="28"/>
        </w:rPr>
        <w:t>合同经验情况一览表</w:t>
      </w:r>
      <w:bookmarkEnd w:id="27"/>
      <w:bookmarkEnd w:id="28"/>
      <w:bookmarkEnd w:id="29"/>
      <w:bookmarkEnd w:id="30"/>
      <w:bookmarkEnd w:id="31"/>
      <w:bookmarkEnd w:id="32"/>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 xml:space="preserve">                                   </w:t>
      </w:r>
    </w:p>
    <w:tbl>
      <w:tblPr>
        <w:tblStyle w:val="22"/>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42"/>
              </w:numPr>
              <w:jc w:val="center"/>
              <w:rPr>
                <w:rFonts w:ascii="宋体" w:hAnsi="宋体"/>
                <w:color w:val="auto"/>
              </w:rPr>
            </w:pP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color w:val="auto"/>
              </w:rPr>
            </w:pPr>
            <w:r>
              <w:rPr>
                <w:rFonts w:ascii="宋体" w:hAnsi="宋体"/>
                <w:color w:val="auto"/>
              </w:rPr>
              <w:t>…</w:t>
            </w: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color w:val="auto"/>
          <w:szCs w:val="21"/>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spacing w:val="4"/>
        </w:rPr>
        <w:t>法定</w:t>
      </w:r>
      <w:r>
        <w:rPr>
          <w:rFonts w:hint="eastAsia" w:ascii="宋体" w:hAnsi="宋体"/>
          <w:color w:val="auto"/>
        </w:rPr>
        <w:t>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ind w:left="425"/>
        <w:jc w:val="center"/>
        <w:outlineLvl w:val="2"/>
        <w:rPr>
          <w:rFonts w:ascii="宋体" w:hAnsi="宋体"/>
          <w:b/>
          <w:color w:val="auto"/>
          <w:sz w:val="28"/>
          <w:szCs w:val="28"/>
        </w:rPr>
      </w:pPr>
    </w:p>
    <w:p>
      <w:pPr>
        <w:ind w:left="425"/>
        <w:jc w:val="center"/>
        <w:outlineLvl w:val="2"/>
        <w:rPr>
          <w:rFonts w:ascii="宋体" w:hAnsi="宋体"/>
          <w:b/>
          <w:color w:val="auto"/>
          <w:sz w:val="28"/>
          <w:szCs w:val="28"/>
        </w:rPr>
      </w:pP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拟投入本项目的团队人员情况</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 xml:space="preserve">                                   </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944" w:type="dxa"/>
            <w:tcBorders>
              <w:top w:val="single" w:color="auto" w:sz="12" w:space="0"/>
              <w:bottom w:val="double" w:color="auto" w:sz="4" w:space="0"/>
            </w:tcBorders>
            <w:shd w:val="clear" w:color="auto" w:fill="EEECE1"/>
            <w:vAlign w:val="center"/>
          </w:tcPr>
          <w:p>
            <w:pPr>
              <w:pStyle w:val="28"/>
              <w:keepNext w:val="0"/>
              <w:snapToGrid w:val="0"/>
              <w:spacing w:before="0" w:after="0" w:line="240" w:lineRule="auto"/>
              <w:ind w:left="-84" w:leftChars="-40" w:right="-107" w:rightChars="-51"/>
              <w:textAlignment w:val="auto"/>
              <w:rPr>
                <w:rFonts w:ascii="宋体" w:hAnsi="宋体"/>
                <w:snapToGrid/>
                <w:color w:val="auto"/>
                <w:spacing w:val="0"/>
                <w:kern w:val="2"/>
                <w:sz w:val="21"/>
                <w:szCs w:val="24"/>
              </w:rPr>
            </w:pPr>
            <w:r>
              <w:rPr>
                <w:rFonts w:hint="eastAsia" w:ascii="宋体" w:hAnsi="宋体"/>
                <w:snapToGrid/>
                <w:color w:val="auto"/>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43"/>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rPr>
                <w:rFonts w:ascii="宋体" w:hAnsi="宋体"/>
                <w:color w:val="auto"/>
              </w:rPr>
            </w:pPr>
            <w:r>
              <w:rPr>
                <w:rFonts w:hint="eastAsia" w:ascii="宋体" w:hAnsi="宋体"/>
                <w:color w:val="auto"/>
              </w:rPr>
              <w:t>...</w:t>
            </w: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bCs/>
          <w:color w:val="auto"/>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招标代理服务费承诺书</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rPr>
          <w:rFonts w:ascii="宋体" w:hAnsi="宋体"/>
          <w:b/>
          <w:color w:val="auto"/>
        </w:rPr>
      </w:pPr>
      <w:r>
        <w:rPr>
          <w:rFonts w:hint="eastAsia" w:ascii="宋体" w:hAnsi="宋体"/>
          <w:b/>
          <w:color w:val="auto"/>
          <w:lang w:eastAsia="zh-CN"/>
        </w:rPr>
        <w:t>广州市番禺区市桥街农业技术服务中心</w:t>
      </w:r>
      <w:r>
        <w:rPr>
          <w:rFonts w:hint="eastAsia" w:ascii="宋体" w:hAnsi="宋体"/>
          <w:b/>
          <w:color w:val="auto"/>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)的招标中如获中标</w:t>
      </w:r>
      <w:r>
        <w:rPr>
          <w:rFonts w:hint="eastAsia" w:ascii="宋体" w:hAnsi="宋体" w:cs="宋体"/>
          <w:color w:val="auto"/>
          <w:szCs w:val="21"/>
        </w:rPr>
        <w:t>，我公司保证按照招标文件</w:t>
      </w:r>
      <w:r>
        <w:rPr>
          <w:rFonts w:hint="eastAsia" w:ascii="宋体" w:hAnsi="宋体"/>
          <w:color w:val="auto"/>
        </w:rPr>
        <w:t>的</w:t>
      </w:r>
      <w:r>
        <w:rPr>
          <w:rFonts w:hint="eastAsia" w:ascii="宋体" w:hAnsi="宋体" w:cs="宋体"/>
          <w:color w:val="auto"/>
          <w:szCs w:val="21"/>
        </w:rPr>
        <w:t>规定缴纳“招标代理服务费”后，凭领取人身份证复印件并加盖公章领取《中标通知书》。如采用电汇或银行转账，我</w:t>
      </w:r>
      <w:r>
        <w:rPr>
          <w:rFonts w:hint="eastAsia" w:ascii="宋体" w:hAnsi="宋体"/>
          <w:color w:val="auto"/>
        </w:rPr>
        <w:t>公</w:t>
      </w:r>
      <w:r>
        <w:rPr>
          <w:rFonts w:hint="eastAsia" w:ascii="宋体" w:hAnsi="宋体" w:cs="宋体"/>
          <w:color w:val="auto"/>
          <w:szCs w:val="21"/>
        </w:rPr>
        <w:t>司将同时递交招标代理服务费缴费凭证复印件并加盖公章。</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color w:val="auto"/>
          <w:szCs w:val="20"/>
        </w:rPr>
      </w:pPr>
      <w:r>
        <w:rPr>
          <w:rFonts w:hint="eastAsia" w:ascii="宋体" w:hAnsi="宋体"/>
          <w:color w:val="auto"/>
        </w:rPr>
        <w:t>特此承诺！</w:t>
      </w:r>
    </w:p>
    <w:p>
      <w:pPr>
        <w:adjustRightInd w:val="0"/>
        <w:snapToGrid w:val="0"/>
        <w:spacing w:line="520" w:lineRule="exact"/>
        <w:ind w:firstLine="3465" w:firstLineChars="1650"/>
        <w:rPr>
          <w:rFonts w:ascii="宋体" w:hAnsi="宋体"/>
          <w:color w:val="auto"/>
          <w:u w:val="single"/>
        </w:rPr>
      </w:pPr>
      <w:r>
        <w:rPr>
          <w:rFonts w:hint="eastAsia" w:ascii="宋体" w:hAnsi="宋体"/>
          <w:color w:val="auto"/>
        </w:rPr>
        <w:t>投标人名称(盖公章)：</w:t>
      </w:r>
      <w:r>
        <w:rPr>
          <w:rFonts w:hint="eastAsia" w:ascii="宋体" w:hAnsi="宋体"/>
          <w:color w:val="auto"/>
          <w:u w:val="single"/>
        </w:rPr>
        <w:t xml:space="preserve">             </w:t>
      </w:r>
    </w:p>
    <w:p>
      <w:pPr>
        <w:adjustRightInd w:val="0"/>
        <w:snapToGrid w:val="0"/>
        <w:spacing w:line="520" w:lineRule="exact"/>
        <w:ind w:firstLine="3465" w:firstLineChars="1650"/>
        <w:rPr>
          <w:rFonts w:ascii="宋体" w:hAnsi="宋体"/>
          <w:color w:val="auto"/>
        </w:rPr>
      </w:pPr>
      <w:r>
        <w:rPr>
          <w:rFonts w:hint="eastAsia" w:ascii="宋体" w:hAnsi="宋体"/>
          <w:color w:val="auto"/>
        </w:rPr>
        <w:t>投标人地址：</w:t>
      </w:r>
      <w:r>
        <w:rPr>
          <w:rFonts w:hint="eastAsia" w:ascii="宋体" w:hAnsi="宋体"/>
          <w:color w:val="auto"/>
          <w:u w:val="single"/>
        </w:rPr>
        <w:t xml:space="preserve">             </w:t>
      </w:r>
    </w:p>
    <w:p>
      <w:pPr>
        <w:adjustRightInd w:val="0"/>
        <w:snapToGrid w:val="0"/>
        <w:spacing w:line="520" w:lineRule="exact"/>
        <w:ind w:left="3465" w:leftChars="1650"/>
        <w:rPr>
          <w:rFonts w:ascii="宋体" w:hAnsi="宋体"/>
          <w:color w:val="auto"/>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p>
    <w:p>
      <w:pPr>
        <w:spacing w:line="360" w:lineRule="auto"/>
        <w:jc w:val="center"/>
        <w:rPr>
          <w:rFonts w:ascii="宋体" w:hAnsi="宋体"/>
          <w:color w:val="auto"/>
          <w:sz w:val="24"/>
        </w:rPr>
      </w:pPr>
      <w:r>
        <w:rPr>
          <w:rFonts w:ascii="宋体" w:hAnsi="宋体"/>
          <w:b/>
          <w:color w:val="auto"/>
          <w:sz w:val="24"/>
        </w:rPr>
        <w:t>招标代理服务费</w:t>
      </w:r>
      <w:r>
        <w:rPr>
          <w:rFonts w:hint="eastAsia" w:ascii="宋体" w:hAnsi="宋体"/>
          <w:b/>
          <w:color w:val="auto"/>
          <w:sz w:val="24"/>
        </w:rPr>
        <w:t>的缴费账号</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color w:val="auto"/>
                <w:szCs w:val="21"/>
              </w:rPr>
            </w:pPr>
            <w:r>
              <w:rPr>
                <w:rFonts w:hint="eastAsia" w:ascii="宋体" w:hAnsi="宋体"/>
                <w:color w:val="auto"/>
                <w:szCs w:val="21"/>
              </w:rPr>
              <w:t>缴纳方式</w:t>
            </w:r>
          </w:p>
        </w:tc>
        <w:tc>
          <w:tcPr>
            <w:tcW w:w="8437" w:type="dxa"/>
            <w:tcBorders>
              <w:top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一次性以支票、汇票、电汇的形式支付</w:t>
            </w:r>
          </w:p>
          <w:p>
            <w:pPr>
              <w:jc w:val="center"/>
              <w:rPr>
                <w:rFonts w:ascii="宋体" w:hAnsi="宋体"/>
                <w:color w:val="auto"/>
                <w:szCs w:val="21"/>
              </w:rPr>
            </w:pPr>
            <w:r>
              <w:rPr>
                <w:rFonts w:hint="eastAsia" w:ascii="宋体" w:hAnsi="宋体"/>
                <w:color w:val="auto"/>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收款人名称</w:t>
            </w:r>
          </w:p>
        </w:tc>
        <w:tc>
          <w:tcPr>
            <w:tcW w:w="8437" w:type="dxa"/>
            <w:tcBorders>
              <w:right w:val="single" w:color="auto" w:sz="12" w:space="0"/>
            </w:tcBorders>
            <w:vAlign w:val="center"/>
          </w:tcPr>
          <w:p>
            <w:pPr>
              <w:jc w:val="center"/>
              <w:rPr>
                <w:rFonts w:ascii="宋体" w:hAnsi="宋体"/>
                <w:color w:val="auto"/>
                <w:szCs w:val="21"/>
              </w:rPr>
            </w:pPr>
            <w:r>
              <w:rPr>
                <w:rFonts w:hint="eastAsia" w:ascii="宋体" w:hAnsi="宋体"/>
                <w:color w:val="auto"/>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color w:val="auto"/>
                <w:szCs w:val="21"/>
              </w:rPr>
            </w:pPr>
            <w:r>
              <w:rPr>
                <w:rFonts w:hint="eastAsia" w:ascii="宋体" w:hAnsi="宋体"/>
                <w:color w:val="auto"/>
                <w:szCs w:val="21"/>
              </w:rPr>
              <w:t>中国民生银行股份有限公司广州华南支行</w:t>
            </w:r>
            <w:r>
              <w:rPr>
                <w:rFonts w:ascii="宋体" w:hAnsi="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color w:val="auto"/>
                <w:szCs w:val="21"/>
              </w:rPr>
            </w:pPr>
            <w:r>
              <w:rPr>
                <w:rFonts w:hint="eastAsia" w:ascii="宋体" w:hAnsi="宋体"/>
                <w:color w:val="auto"/>
                <w:szCs w:val="21"/>
              </w:rPr>
              <w:t>账</w:t>
            </w:r>
            <w:r>
              <w:rPr>
                <w:rFonts w:ascii="宋体" w:hAnsi="宋体"/>
                <w:color w:val="auto"/>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696614971</w:t>
            </w:r>
          </w:p>
        </w:tc>
      </w:tr>
    </w:tbl>
    <w:p>
      <w:pPr>
        <w:spacing w:line="520" w:lineRule="exact"/>
        <w:ind w:left="315"/>
        <w:rPr>
          <w:rFonts w:ascii="宋体" w:hAnsi="宋体"/>
          <w:color w:val="auto"/>
        </w:rPr>
      </w:pPr>
    </w:p>
    <w:p>
      <w:pPr>
        <w:spacing w:line="440" w:lineRule="exact"/>
        <w:ind w:left="567"/>
        <w:rPr>
          <w:rFonts w:ascii="宋体" w:hAnsi="宋体"/>
          <w:b/>
          <w:color w:val="auto"/>
          <w:sz w:val="28"/>
          <w:szCs w:val="28"/>
        </w:rPr>
      </w:pPr>
      <w:r>
        <w:rPr>
          <w:rFonts w:ascii="宋体" w:hAnsi="宋体"/>
          <w:color w:val="auto"/>
        </w:rPr>
        <w:br w:type="page"/>
      </w:r>
    </w:p>
    <w:p>
      <w:pPr>
        <w:numPr>
          <w:ilvl w:val="0"/>
          <w:numId w:val="34"/>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开票资料说明函</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在参加在贵公司举行的</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GZBC20HG12010</w:t>
      </w:r>
      <w:r>
        <w:rPr>
          <w:rFonts w:hint="eastAsia" w:ascii="宋体" w:hAnsi="宋体"/>
          <w:color w:val="auto"/>
        </w:rPr>
        <w:t>)的招标中如获中标</w:t>
      </w:r>
      <w:r>
        <w:rPr>
          <w:rFonts w:hint="eastAsia" w:ascii="宋体" w:hAnsi="宋体" w:cs="宋体"/>
          <w:color w:val="auto"/>
          <w:szCs w:val="21"/>
        </w:rPr>
        <w:t>，则开票类型选择</w:t>
      </w:r>
      <w:r>
        <w:rPr>
          <w:rFonts w:hint="eastAsia" w:ascii="宋体" w:hAnsi="宋体"/>
          <w:b/>
          <w:color w:val="auto"/>
          <w:szCs w:val="21"/>
          <w:u w:val="single"/>
        </w:rPr>
        <w:t>□增值税普通发票□增值税专用发票</w:t>
      </w:r>
      <w:r>
        <w:rPr>
          <w:rFonts w:hint="eastAsia" w:ascii="宋体" w:hAnsi="宋体"/>
          <w:color w:val="auto"/>
          <w:szCs w:val="21"/>
        </w:rPr>
        <w:t>（</w:t>
      </w:r>
      <w:r>
        <w:rPr>
          <w:rFonts w:hint="eastAsia" w:ascii="宋体" w:hAnsi="宋体"/>
          <w:b/>
          <w:color w:val="auto"/>
          <w:szCs w:val="21"/>
        </w:rPr>
        <w:t>请在对应的“□”打“√”，且只能选择其中一项）</w:t>
      </w:r>
      <w:r>
        <w:rPr>
          <w:rFonts w:hint="eastAsia" w:ascii="宋体" w:hAnsi="宋体" w:cs="宋体"/>
          <w:color w:val="auto"/>
          <w:szCs w:val="21"/>
        </w:rPr>
        <w:t>，以及我司的开票资料如下：</w:t>
      </w:r>
    </w:p>
    <w:tbl>
      <w:tblPr>
        <w:tblStyle w:val="22"/>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单位名称</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szCs w:val="21"/>
              </w:rPr>
              <w:t>纳税人识别号</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地址</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color w:val="auto"/>
              </w:rPr>
            </w:pPr>
            <w:r>
              <w:rPr>
                <w:rFonts w:hint="eastAsia" w:ascii="宋体" w:hAnsi="宋体"/>
                <w:color w:val="auto"/>
              </w:rPr>
              <w:t>开户银行</w:t>
            </w:r>
            <w:r>
              <w:rPr>
                <w:rFonts w:ascii="宋体" w:hAnsi="宋体"/>
                <w:color w:val="auto"/>
              </w:rPr>
              <w:br w:type="textWrapping"/>
            </w:r>
            <w:r>
              <w:rPr>
                <w:rFonts w:hint="eastAsia" w:ascii="宋体" w:hAnsi="宋体"/>
                <w:color w:val="auto"/>
                <w:sz w:val="20"/>
                <w:szCs w:val="20"/>
              </w:rPr>
              <w:t>（具体到XX银行XX支行）</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联系电话</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账    号</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联系人</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9962" w:type="dxa"/>
            <w:gridSpan w:val="4"/>
            <w:vAlign w:val="center"/>
          </w:tcPr>
          <w:p>
            <w:pPr>
              <w:rPr>
                <w:rFonts w:ascii="宋体" w:hAnsi="宋体"/>
                <w:b/>
                <w:color w:val="auto"/>
              </w:rPr>
            </w:pPr>
            <w:r>
              <w:rPr>
                <w:rFonts w:hint="eastAsia" w:ascii="宋体" w:hAnsi="宋体"/>
                <w:b/>
                <w:color w:val="auto"/>
              </w:rPr>
              <w:t>附件：</w:t>
            </w:r>
            <w:r>
              <w:rPr>
                <w:rFonts w:hint="eastAsia" w:ascii="宋体" w:hAnsi="宋体"/>
                <w:b/>
                <w:color w:val="auto"/>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color w:val="auto"/>
        </w:rPr>
      </w:pPr>
      <w:r>
        <w:rPr>
          <w:rFonts w:hint="eastAsia" w:ascii="宋体" w:hAnsi="宋体"/>
          <w:color w:val="auto"/>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color w:val="auto"/>
        </w:rPr>
      </w:pPr>
    </w:p>
    <w:p>
      <w:pPr>
        <w:spacing w:line="360" w:lineRule="auto"/>
        <w:ind w:left="4725"/>
        <w:rPr>
          <w:rFonts w:ascii="宋体" w:hAnsi="宋体"/>
          <w:color w:val="auto"/>
          <w:szCs w:val="21"/>
        </w:rPr>
      </w:pPr>
      <w:r>
        <w:rPr>
          <w:rFonts w:hint="eastAsia" w:ascii="宋体" w:hAnsi="宋体"/>
          <w:color w:val="auto"/>
          <w:szCs w:val="21"/>
        </w:rPr>
        <w:t>投标人名称（公章）：</w:t>
      </w:r>
      <w:r>
        <w:rPr>
          <w:rFonts w:hint="eastAsia" w:ascii="宋体" w:hAnsi="宋体"/>
          <w:color w:val="auto"/>
          <w:u w:val="single"/>
        </w:rPr>
        <w:t xml:space="preserve">             </w:t>
      </w:r>
    </w:p>
    <w:p>
      <w:pPr>
        <w:spacing w:line="360" w:lineRule="auto"/>
        <w:ind w:left="4725"/>
        <w:rPr>
          <w:rFonts w:ascii="宋体" w:hAnsi="宋体"/>
          <w:color w:val="auto"/>
          <w:szCs w:val="21"/>
        </w:rPr>
      </w:pPr>
      <w:r>
        <w:rPr>
          <w:rFonts w:hint="eastAsia" w:ascii="宋体" w:hAnsi="宋体"/>
          <w:color w:val="auto"/>
          <w:szCs w:val="21"/>
        </w:rPr>
        <w:t>投标人地址：</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szCs w:val="21"/>
        </w:rPr>
        <w:t>法定代表人或投标人授权代表（签署本人姓名或印盖本人姓名章）：</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u w:val="single"/>
        </w:rPr>
        <w:br w:type="page"/>
      </w:r>
    </w:p>
    <w:p>
      <w:pPr>
        <w:jc w:val="both"/>
        <w:rPr>
          <w:rFonts w:hint="eastAsia" w:ascii="宋体" w:hAnsi="宋体" w:eastAsia="宋体"/>
          <w:b/>
          <w:bCs/>
          <w:color w:val="auto"/>
          <w:sz w:val="28"/>
          <w:szCs w:val="28"/>
          <w:lang w:val="en-US" w:eastAsia="zh-CN"/>
        </w:rPr>
      </w:pPr>
      <w:bookmarkStart w:id="33" w:name="_Toc438223019"/>
      <w:bookmarkStart w:id="34" w:name="_Toc435174932"/>
      <w:bookmarkStart w:id="35" w:name="_Toc435516649"/>
      <w:bookmarkStart w:id="36" w:name="_Toc480529443"/>
      <w:bookmarkStart w:id="37" w:name="_Toc435542344"/>
      <w:r>
        <w:rPr>
          <w:rFonts w:hint="eastAsia" w:ascii="宋体" w:hAnsi="宋体"/>
          <w:b/>
          <w:bCs/>
          <w:color w:val="auto"/>
          <w:sz w:val="28"/>
          <w:szCs w:val="28"/>
          <w:lang w:eastAsia="zh-CN"/>
        </w:rPr>
        <w:t>格式</w:t>
      </w:r>
      <w:r>
        <w:rPr>
          <w:rFonts w:hint="eastAsia" w:ascii="宋体" w:hAnsi="宋体"/>
          <w:b/>
          <w:bCs/>
          <w:color w:val="auto"/>
          <w:sz w:val="28"/>
          <w:szCs w:val="28"/>
          <w:lang w:val="en-US" w:eastAsia="zh-CN"/>
        </w:rPr>
        <w:t xml:space="preserve">15  </w:t>
      </w:r>
      <w:r>
        <w:rPr>
          <w:rFonts w:hint="eastAsia" w:ascii="宋体" w:hAnsi="宋体"/>
          <w:b/>
          <w:color w:val="auto"/>
          <w:sz w:val="28"/>
          <w:szCs w:val="28"/>
        </w:rPr>
        <w:t>选择顺序承诺函</w:t>
      </w:r>
    </w:p>
    <w:p>
      <w:pPr>
        <w:adjustRightInd w:val="0"/>
        <w:snapToGrid w:val="0"/>
        <w:spacing w:line="360" w:lineRule="auto"/>
        <w:rPr>
          <w:rFonts w:hint="eastAsia" w:ascii="宋体" w:hAnsi="宋体"/>
          <w:b/>
          <w:color w:val="auto"/>
        </w:rPr>
      </w:pPr>
    </w:p>
    <w:p>
      <w:pPr>
        <w:ind w:left="425"/>
        <w:jc w:val="center"/>
        <w:outlineLvl w:val="2"/>
        <w:rPr>
          <w:rFonts w:hint="eastAsia" w:ascii="宋体" w:hAnsi="宋体"/>
          <w:b/>
          <w:color w:val="auto"/>
          <w:sz w:val="28"/>
          <w:szCs w:val="28"/>
        </w:rPr>
      </w:pPr>
      <w:r>
        <w:rPr>
          <w:rFonts w:hint="eastAsia" w:ascii="宋体" w:hAnsi="宋体"/>
          <w:b/>
          <w:color w:val="auto"/>
          <w:sz w:val="28"/>
          <w:szCs w:val="28"/>
        </w:rPr>
        <w:t>选择顺序承诺函（同时参投多个包组的投标人适用）</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ind w:firstLine="420" w:firstLineChars="200"/>
        <w:jc w:val="both"/>
        <w:rPr>
          <w:rFonts w:hint="eastAsia" w:ascii="宋体" w:hAnsi="宋体"/>
          <w:color w:val="auto"/>
        </w:rPr>
      </w:pPr>
      <w:r>
        <w:rPr>
          <w:rFonts w:hint="eastAsia" w:ascii="宋体" w:hAnsi="宋体"/>
          <w:color w:val="auto"/>
          <w:lang w:eastAsia="zh-CN"/>
        </w:rPr>
        <w:t>关于</w:t>
      </w:r>
      <w:r>
        <w:rPr>
          <w:rFonts w:hint="eastAsia" w:ascii="宋体" w:hAnsi="宋体"/>
          <w:color w:val="auto"/>
          <w:u w:val="single"/>
        </w:rPr>
        <w:t>(项目名称)</w:t>
      </w:r>
      <w:r>
        <w:rPr>
          <w:rFonts w:hint="eastAsia" w:ascii="宋体" w:hAnsi="宋体"/>
          <w:color w:val="auto"/>
          <w:u w:val="single"/>
          <w:lang w:eastAsia="zh-CN"/>
        </w:rPr>
        <w:t>（项目编号）</w:t>
      </w:r>
      <w:r>
        <w:rPr>
          <w:rFonts w:hint="eastAsia" w:ascii="宋体" w:hAnsi="宋体"/>
          <w:color w:val="auto"/>
        </w:rPr>
        <w:t>我公司承诺按以下序选择包组：</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81" w:type="dxa"/>
          </w:tcPr>
          <w:p>
            <w:pPr>
              <w:pStyle w:val="5"/>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优先顺序</w:t>
            </w:r>
          </w:p>
        </w:tc>
        <w:tc>
          <w:tcPr>
            <w:tcW w:w="4981" w:type="dxa"/>
          </w:tcPr>
          <w:p>
            <w:pPr>
              <w:pStyle w:val="5"/>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包组选择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981" w:type="dxa"/>
          </w:tcPr>
          <w:p>
            <w:pPr>
              <w:pStyle w:val="5"/>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1</w:t>
            </w:r>
          </w:p>
        </w:tc>
        <w:tc>
          <w:tcPr>
            <w:tcW w:w="4981" w:type="dxa"/>
          </w:tcPr>
          <w:p>
            <w:pPr>
              <w:pStyle w:val="5"/>
              <w:rPr>
                <w:rFonts w:hint="eastAsia" w:ascii="宋体" w:hAnsi="宋体"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981" w:type="dxa"/>
          </w:tcPr>
          <w:p>
            <w:pPr>
              <w:pStyle w:val="5"/>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2</w:t>
            </w:r>
          </w:p>
        </w:tc>
        <w:tc>
          <w:tcPr>
            <w:tcW w:w="4981" w:type="dxa"/>
          </w:tcPr>
          <w:p>
            <w:pPr>
              <w:pStyle w:val="5"/>
              <w:rPr>
                <w:rFonts w:hint="eastAsia" w:ascii="宋体" w:hAnsi="宋体"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pStyle w:val="5"/>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3</w:t>
            </w:r>
          </w:p>
        </w:tc>
        <w:tc>
          <w:tcPr>
            <w:tcW w:w="4981" w:type="dxa"/>
          </w:tcPr>
          <w:p>
            <w:pPr>
              <w:pStyle w:val="5"/>
              <w:rPr>
                <w:rFonts w:hint="eastAsia" w:ascii="宋体" w:hAnsi="宋体" w:eastAsia="宋体" w:cs="Times New Roman"/>
                <w:b w:val="0"/>
                <w:bCs w:val="0"/>
                <w:color w:val="auto"/>
                <w:kern w:val="2"/>
                <w:sz w:val="21"/>
                <w:szCs w:val="24"/>
                <w:lang w:val="en-US" w:eastAsia="zh-CN" w:bidi="ar-SA"/>
              </w:rPr>
            </w:pPr>
          </w:p>
        </w:tc>
      </w:tr>
    </w:tbl>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并郑重承诺如下事项：</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我公司同意按招标文件中的定标原则，若我公司同时在多个包组排名第一时，优先选择在上表中优</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先顺序靠前的包组，作为该包组的中标人而放弃其余包组的中标资格。</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备注：</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1. 投标人同时参投多个包组时，必须填写此表。</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2. 表格中“包组选择”栏中可供选择的类型分别为“包组一”、“包组二、包组三”，不得重复填写。</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3. 若投标人没按要求填写或未填写该表，则视为该供应商优先顺序 1 为包组一，优先顺序 2 为包</w:t>
      </w:r>
    </w:p>
    <w:p>
      <w:pPr>
        <w:pStyle w:val="5"/>
        <w:spacing w:line="240" w:lineRule="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组二，优先顺序 3 为包组三。</w:t>
      </w:r>
    </w:p>
    <w:p>
      <w:pPr>
        <w:spacing w:line="360" w:lineRule="auto"/>
        <w:ind w:left="4725"/>
        <w:rPr>
          <w:rFonts w:ascii="宋体" w:hAnsi="宋体"/>
          <w:color w:val="auto"/>
          <w:szCs w:val="21"/>
        </w:rPr>
      </w:pPr>
      <w:r>
        <w:rPr>
          <w:rFonts w:hint="eastAsia" w:ascii="宋体" w:hAnsi="宋体"/>
          <w:color w:val="auto"/>
          <w:szCs w:val="21"/>
        </w:rPr>
        <w:t>投标人名称（公章）：</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60" w:lineRule="auto"/>
        <w:ind w:left="4725"/>
        <w:rPr>
          <w:rFonts w:ascii="宋体" w:hAnsi="宋体"/>
          <w:color w:val="auto"/>
          <w:szCs w:val="21"/>
        </w:rPr>
      </w:pPr>
      <w:r>
        <w:rPr>
          <w:rFonts w:hint="eastAsia" w:ascii="宋体" w:hAnsi="宋体"/>
          <w:color w:val="auto"/>
          <w:szCs w:val="21"/>
        </w:rPr>
        <w:t>投标人地址：</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szCs w:val="21"/>
        </w:rPr>
        <w:t>法定代表人或投标人授权代表（签署本人姓名或印盖本人姓名章）：</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u w:val="single"/>
        </w:rPr>
        <w:br w:type="page"/>
      </w:r>
    </w:p>
    <w:p>
      <w:pPr>
        <w:jc w:val="center"/>
        <w:rPr>
          <w:rFonts w:ascii="宋体" w:hAnsi="宋体"/>
          <w:b/>
          <w:bCs/>
          <w:color w:val="auto"/>
          <w:sz w:val="28"/>
          <w:szCs w:val="28"/>
        </w:rPr>
      </w:pPr>
      <w:r>
        <w:rPr>
          <w:rFonts w:hint="eastAsia" w:ascii="宋体" w:hAnsi="宋体"/>
          <w:b/>
          <w:bCs/>
          <w:color w:val="auto"/>
          <w:sz w:val="28"/>
          <w:szCs w:val="28"/>
        </w:rPr>
        <w:t>第七章</w:t>
      </w:r>
      <w:r>
        <w:rPr>
          <w:rFonts w:ascii="宋体" w:hAnsi="宋体"/>
          <w:b/>
          <w:bCs/>
          <w:color w:val="auto"/>
          <w:sz w:val="28"/>
          <w:szCs w:val="28"/>
        </w:rPr>
        <w:t xml:space="preserve">  </w:t>
      </w:r>
      <w:r>
        <w:rPr>
          <w:rFonts w:hint="eastAsia" w:ascii="宋体" w:hAnsi="宋体"/>
          <w:b/>
          <w:bCs/>
          <w:color w:val="auto"/>
          <w:sz w:val="28"/>
          <w:szCs w:val="28"/>
        </w:rPr>
        <w:t>投标人须知</w:t>
      </w:r>
      <w:bookmarkEnd w:id="33"/>
      <w:bookmarkEnd w:id="34"/>
      <w:bookmarkEnd w:id="35"/>
      <w:bookmarkEnd w:id="36"/>
      <w:bookmarkEnd w:id="37"/>
      <w:bookmarkStart w:id="38" w:name="_Toc292267790"/>
      <w:bookmarkStart w:id="39" w:name="_Toc438223018"/>
      <w:bookmarkStart w:id="40" w:name="_Toc435516648"/>
      <w:bookmarkStart w:id="41" w:name="_Toc435114676"/>
      <w:bookmarkStart w:id="42" w:name="_Toc435114677"/>
      <w:bookmarkStart w:id="43" w:name="_Toc435542343"/>
      <w:bookmarkStart w:id="44" w:name="_Toc435174931"/>
      <w:r>
        <w:rPr>
          <w:rFonts w:hint="eastAsia" w:ascii="宋体" w:hAnsi="宋体"/>
          <w:b/>
          <w:bCs/>
          <w:color w:val="auto"/>
          <w:sz w:val="28"/>
          <w:szCs w:val="28"/>
        </w:rPr>
        <w:t>（</w:t>
      </w:r>
      <w:bookmarkEnd w:id="38"/>
      <w:r>
        <w:rPr>
          <w:rFonts w:hint="eastAsia" w:ascii="宋体" w:hAnsi="宋体"/>
          <w:b/>
          <w:bCs/>
          <w:color w:val="auto"/>
          <w:sz w:val="28"/>
          <w:szCs w:val="28"/>
        </w:rPr>
        <w:t>通用条款）</w:t>
      </w:r>
      <w:bookmarkEnd w:id="39"/>
      <w:bookmarkEnd w:id="40"/>
      <w:bookmarkEnd w:id="41"/>
      <w:bookmarkEnd w:id="42"/>
      <w:bookmarkEnd w:id="43"/>
      <w:bookmarkEnd w:id="44"/>
    </w:p>
    <w:p>
      <w:pPr>
        <w:numPr>
          <w:ilvl w:val="0"/>
          <w:numId w:val="44"/>
        </w:numPr>
        <w:autoSpaceDE w:val="0"/>
        <w:autoSpaceDN w:val="0"/>
        <w:adjustRightInd w:val="0"/>
        <w:snapToGrid w:val="0"/>
        <w:spacing w:beforeLines="100" w:afterLines="100"/>
        <w:ind w:left="1012" w:hanging="1012" w:hangingChars="360"/>
        <w:jc w:val="center"/>
        <w:outlineLvl w:val="1"/>
        <w:rPr>
          <w:rFonts w:ascii="宋体" w:hAnsi="宋体"/>
          <w:b/>
          <w:color w:val="auto"/>
          <w:sz w:val="28"/>
          <w:szCs w:val="28"/>
        </w:rPr>
      </w:pPr>
      <w:bookmarkStart w:id="45" w:name="_Toc435542345"/>
      <w:bookmarkStart w:id="46" w:name="_Toc438223020"/>
      <w:r>
        <w:rPr>
          <w:rFonts w:ascii="宋体" w:hAnsi="宋体"/>
          <w:b/>
          <w:color w:val="auto"/>
          <w:sz w:val="28"/>
          <w:szCs w:val="28"/>
          <w:lang w:eastAsia="zh-TW"/>
        </w:rPr>
        <w:t>说 明</w:t>
      </w:r>
      <w:bookmarkEnd w:id="45"/>
      <w:bookmarkEnd w:id="46"/>
      <w:bookmarkStart w:id="47" w:name="_Toc292267791"/>
    </w:p>
    <w:bookmarkEnd w:id="47"/>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48" w:name="_Toc237787451"/>
      <w:r>
        <w:rPr>
          <w:rFonts w:hint="eastAsia" w:ascii="宋体" w:hAnsi="宋体"/>
          <w:b/>
          <w:color w:val="auto"/>
          <w:szCs w:val="21"/>
        </w:rPr>
        <w:t>采购项目与采购当事人说明</w:t>
      </w:r>
      <w:bookmarkEnd w:id="48"/>
    </w:p>
    <w:p>
      <w:pPr>
        <w:numPr>
          <w:ilvl w:val="1"/>
          <w:numId w:val="45"/>
        </w:numPr>
        <w:autoSpaceDE w:val="0"/>
        <w:autoSpaceDN w:val="0"/>
        <w:adjustRightInd w:val="0"/>
        <w:snapToGrid w:val="0"/>
        <w:spacing w:line="360" w:lineRule="auto"/>
        <w:jc w:val="left"/>
        <w:rPr>
          <w:rFonts w:ascii="宋体" w:hAnsi="宋体"/>
          <w:color w:val="auto"/>
          <w:szCs w:val="21"/>
        </w:rPr>
      </w:pPr>
      <w:bookmarkStart w:id="49" w:name="_Toc237787452"/>
      <w:r>
        <w:rPr>
          <w:rFonts w:hint="eastAsia" w:ascii="宋体" w:hAnsi="宋体"/>
          <w:color w:val="auto"/>
          <w:szCs w:val="21"/>
        </w:rPr>
        <w:t>采购人指依法进行政府采购的</w:t>
      </w:r>
      <w:r>
        <w:rPr>
          <w:rFonts w:ascii="宋体" w:hAnsi="宋体"/>
          <w:color w:val="auto"/>
          <w:szCs w:val="21"/>
        </w:rPr>
        <w:t>国家机关、事业单位和团体组织</w:t>
      </w:r>
      <w:r>
        <w:rPr>
          <w:rFonts w:hint="eastAsia" w:ascii="宋体" w:hAnsi="宋体"/>
          <w:color w:val="auto"/>
          <w:szCs w:val="21"/>
        </w:rPr>
        <w:t>。本招标文件</w:t>
      </w:r>
      <w:r>
        <w:rPr>
          <w:rFonts w:hint="eastAsia" w:ascii="宋体" w:hAnsi="宋体"/>
          <w:b/>
          <w:color w:val="auto"/>
          <w:szCs w:val="21"/>
        </w:rPr>
        <w:t>投标资料表</w:t>
      </w:r>
      <w:r>
        <w:rPr>
          <w:rFonts w:hint="eastAsia" w:ascii="宋体" w:hAnsi="宋体"/>
          <w:color w:val="auto"/>
          <w:szCs w:val="21"/>
        </w:rPr>
        <w:t>中所述的采购人已拥有一笔财政性资金/贷款。采购人计划将一部分或全部资金/贷款用于支付本次招标后所签订合同项下的款项</w:t>
      </w:r>
      <w:r>
        <w:rPr>
          <w:rFonts w:hint="eastAsia" w:ascii="宋体" w:hAnsi="宋体" w:cs="宋体"/>
          <w:color w:val="auto"/>
          <w:szCs w:val="21"/>
        </w:rPr>
        <w:t>。</w:t>
      </w:r>
    </w:p>
    <w:bookmarkEnd w:id="49"/>
    <w:p>
      <w:pPr>
        <w:numPr>
          <w:ilvl w:val="1"/>
          <w:numId w:val="45"/>
        </w:numPr>
        <w:autoSpaceDE w:val="0"/>
        <w:autoSpaceDN w:val="0"/>
        <w:adjustRightInd w:val="0"/>
        <w:snapToGrid w:val="0"/>
        <w:spacing w:line="360" w:lineRule="auto"/>
        <w:jc w:val="left"/>
        <w:rPr>
          <w:rFonts w:ascii="宋体" w:hAnsi="宋体"/>
          <w:b/>
          <w:color w:val="auto"/>
          <w:szCs w:val="21"/>
        </w:rPr>
      </w:pPr>
      <w:bookmarkStart w:id="50" w:name="_Toc237787453"/>
      <w:r>
        <w:rPr>
          <w:rFonts w:hint="eastAsia" w:ascii="宋体" w:hAnsi="宋体"/>
          <w:color w:val="auto"/>
          <w:szCs w:val="21"/>
        </w:rPr>
        <w:t>本次采购项目的采购代理机构的名称、地址、电话、传真和电子邮箱见</w:t>
      </w:r>
      <w:r>
        <w:rPr>
          <w:rFonts w:hint="eastAsia" w:ascii="宋体" w:hAnsi="宋体"/>
          <w:b/>
          <w:color w:val="auto"/>
          <w:szCs w:val="21"/>
        </w:rPr>
        <w:t>投标资料表。</w:t>
      </w:r>
    </w:p>
    <w:p>
      <w:pPr>
        <w:numPr>
          <w:ilvl w:val="1"/>
          <w:numId w:val="45"/>
        </w:numPr>
        <w:autoSpaceDE w:val="0"/>
        <w:autoSpaceDN w:val="0"/>
        <w:adjustRightInd w:val="0"/>
        <w:snapToGrid w:val="0"/>
        <w:spacing w:line="360" w:lineRule="auto"/>
        <w:jc w:val="left"/>
        <w:rPr>
          <w:rFonts w:ascii="宋体" w:hAnsi="宋体"/>
          <w:b/>
          <w:color w:val="auto"/>
          <w:szCs w:val="21"/>
        </w:rPr>
      </w:pPr>
      <w:r>
        <w:rPr>
          <w:rFonts w:hint="eastAsia" w:ascii="宋体" w:hAnsi="宋体"/>
          <w:color w:val="auto"/>
          <w:szCs w:val="21"/>
        </w:rPr>
        <w:t>本次采购项目资金性质见</w:t>
      </w:r>
      <w:r>
        <w:rPr>
          <w:rFonts w:hint="eastAsia" w:ascii="宋体" w:hAnsi="宋体"/>
          <w:b/>
          <w:color w:val="auto"/>
          <w:szCs w:val="21"/>
        </w:rPr>
        <w:t>投标资料表。</w:t>
      </w:r>
      <w:bookmarkEnd w:id="50"/>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51" w:name="_Toc237787454"/>
      <w:r>
        <w:rPr>
          <w:rFonts w:hint="eastAsia" w:ascii="宋体" w:hAnsi="宋体"/>
          <w:b/>
          <w:color w:val="auto"/>
          <w:szCs w:val="21"/>
        </w:rPr>
        <w:t>定义及解释</w:t>
      </w:r>
      <w:bookmarkEnd w:id="51"/>
    </w:p>
    <w:p>
      <w:pPr>
        <w:widowControl/>
        <w:numPr>
          <w:ilvl w:val="1"/>
          <w:numId w:val="45"/>
        </w:numPr>
        <w:adjustRightInd w:val="0"/>
        <w:snapToGrid w:val="0"/>
        <w:spacing w:line="360" w:lineRule="auto"/>
        <w:jc w:val="left"/>
        <w:rPr>
          <w:rFonts w:ascii="宋体" w:hAnsi="宋体"/>
          <w:color w:val="auto"/>
          <w:szCs w:val="21"/>
        </w:rPr>
      </w:pPr>
      <w:bookmarkStart w:id="52" w:name="_Toc237787457"/>
      <w:r>
        <w:rPr>
          <w:rFonts w:hint="eastAsia" w:ascii="宋体" w:hAnsi="宋体"/>
          <w:color w:val="auto"/>
          <w:szCs w:val="21"/>
        </w:rPr>
        <w:t>服务：投标人按招标文件规定完成的全部服务内容，其中包括完成服务所需的货物，以及须承担的技术支持、培训和其它伴随服务。</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2"/>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招标采购单位：采购人和采购代理机构。</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监管部门：</w:t>
      </w:r>
      <w:r>
        <w:rPr>
          <w:rFonts w:hint="eastAsia" w:ascii="宋体" w:hAnsi="宋体" w:cs="宋体"/>
          <w:color w:val="auto"/>
          <w:szCs w:val="21"/>
          <w:lang w:eastAsia="zh-TW"/>
        </w:rPr>
        <w:t>同级</w:t>
      </w:r>
      <w:r>
        <w:rPr>
          <w:rFonts w:hint="eastAsia" w:ascii="宋体" w:hAnsi="宋体" w:cs="宋体"/>
          <w:color w:val="auto"/>
          <w:szCs w:val="21"/>
        </w:rPr>
        <w:t>或</w:t>
      </w:r>
      <w:r>
        <w:rPr>
          <w:rFonts w:hint="eastAsia" w:ascii="宋体" w:hAnsi="宋体" w:cs="宋体"/>
          <w:color w:val="auto"/>
          <w:szCs w:val="21"/>
          <w:lang w:eastAsia="zh-TW"/>
        </w:rPr>
        <w:t>以上人民政府财政部门</w:t>
      </w:r>
      <w:r>
        <w:rPr>
          <w:rFonts w:hint="eastAsia" w:ascii="宋体" w:hAnsi="宋体" w:cs="宋体"/>
          <w:color w:val="auto"/>
          <w:szCs w:val="21"/>
        </w:rPr>
        <w:t>。</w:t>
      </w:r>
    </w:p>
    <w:p>
      <w:pPr>
        <w:widowControl/>
        <w:numPr>
          <w:ilvl w:val="1"/>
          <w:numId w:val="45"/>
        </w:numPr>
        <w:adjustRightInd w:val="0"/>
        <w:snapToGrid w:val="0"/>
        <w:spacing w:line="360" w:lineRule="auto"/>
        <w:jc w:val="left"/>
        <w:rPr>
          <w:rFonts w:ascii="宋体" w:hAnsi="宋体"/>
          <w:color w:val="auto"/>
          <w:szCs w:val="21"/>
        </w:rPr>
      </w:pPr>
      <w:bookmarkStart w:id="53" w:name="_Toc237787460"/>
      <w:r>
        <w:rPr>
          <w:rFonts w:hint="eastAsia" w:ascii="宋体" w:hAnsi="宋体"/>
          <w:color w:val="auto"/>
          <w:szCs w:val="21"/>
        </w:rPr>
        <w:t>评标委员会：是依法组建的、负责本次采购的评标工作的临时性机构。</w:t>
      </w:r>
      <w:bookmarkEnd w:id="53"/>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中标人：经法定程序确定并授予合同的投标人。</w:t>
      </w:r>
    </w:p>
    <w:p>
      <w:pPr>
        <w:widowControl/>
        <w:numPr>
          <w:ilvl w:val="1"/>
          <w:numId w:val="45"/>
        </w:numPr>
        <w:adjustRightInd w:val="0"/>
        <w:snapToGrid w:val="0"/>
        <w:spacing w:line="360" w:lineRule="auto"/>
        <w:jc w:val="left"/>
        <w:rPr>
          <w:rFonts w:ascii="宋体" w:hAnsi="宋体"/>
          <w:color w:val="auto"/>
          <w:szCs w:val="21"/>
        </w:rPr>
      </w:pPr>
      <w:bookmarkStart w:id="54" w:name="_Toc237787461"/>
      <w:r>
        <w:rPr>
          <w:rFonts w:hint="eastAsia" w:ascii="宋体" w:hAnsi="宋体"/>
          <w:color w:val="auto"/>
          <w:szCs w:val="21"/>
        </w:rPr>
        <w:t>日期：指公历日。</w:t>
      </w:r>
      <w:bookmarkEnd w:id="54"/>
    </w:p>
    <w:p>
      <w:pPr>
        <w:widowControl/>
        <w:numPr>
          <w:ilvl w:val="1"/>
          <w:numId w:val="45"/>
        </w:numPr>
        <w:adjustRightInd w:val="0"/>
        <w:snapToGrid w:val="0"/>
        <w:spacing w:line="360" w:lineRule="auto"/>
        <w:jc w:val="left"/>
        <w:rPr>
          <w:rFonts w:ascii="宋体" w:hAnsi="宋体"/>
          <w:color w:val="auto"/>
          <w:szCs w:val="21"/>
        </w:rPr>
      </w:pPr>
      <w:bookmarkStart w:id="55" w:name="_Toc237787462"/>
      <w:r>
        <w:rPr>
          <w:rFonts w:hint="eastAsia" w:ascii="宋体" w:hAnsi="宋体"/>
          <w:color w:val="auto"/>
          <w:szCs w:val="21"/>
        </w:rPr>
        <w:t>合同：依据本次货物及服务招标采购结果签订的协议。</w:t>
      </w:r>
      <w:bookmarkEnd w:id="55"/>
    </w:p>
    <w:p>
      <w:pPr>
        <w:widowControl/>
        <w:numPr>
          <w:ilvl w:val="1"/>
          <w:numId w:val="45"/>
        </w:numPr>
        <w:adjustRightInd w:val="0"/>
        <w:snapToGrid w:val="0"/>
        <w:spacing w:line="360" w:lineRule="auto"/>
        <w:jc w:val="left"/>
        <w:rPr>
          <w:rFonts w:ascii="宋体" w:hAnsi="宋体"/>
          <w:color w:val="auto"/>
          <w:szCs w:val="21"/>
        </w:rPr>
      </w:pPr>
      <w:bookmarkStart w:id="56" w:name="_Toc237787463"/>
      <w:r>
        <w:rPr>
          <w:rFonts w:hint="eastAsia" w:ascii="宋体" w:hAnsi="宋体"/>
          <w:color w:val="auto"/>
          <w:szCs w:val="21"/>
        </w:rPr>
        <w:t>招标文件中的标题或题名仅起引导作用，而不应视为对招标文件内容的理解和解释。</w:t>
      </w:r>
      <w:bookmarkEnd w:id="5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合格的投标人</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投标人是响应招标、已在采购代理机构处成功办理报名登记及购买招标文件并参加投标竞争的中华人民共和国境内的法人、其他组织或者自然人。</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符合《中华人民共和国政府采购法》第二十二条规定：</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具有独立承担民事责任的能力。</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具有良好的商业信誉和健全的财务会计制度</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具有履行合同所必需的设备和专业技术能力</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有依法缴纳税收和社会保障资金的良好记录</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参加政府采购活动前三年内，在经营活动中没有重大违法记录</w:t>
      </w:r>
      <w:r>
        <w:rPr>
          <w:rFonts w:hint="eastAsia" w:ascii="宋体" w:hAnsi="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法律、行政法规规定的其他条件</w:t>
      </w:r>
      <w:r>
        <w:rPr>
          <w:rFonts w:hint="eastAsia" w:ascii="宋体" w:hAnsi="宋体"/>
          <w:color w:val="auto"/>
          <w:szCs w:val="21"/>
        </w:rPr>
        <w:t>。</w:t>
      </w:r>
    </w:p>
    <w:p>
      <w:pPr>
        <w:spacing w:line="440" w:lineRule="exact"/>
        <w:rPr>
          <w:rFonts w:ascii="宋体" w:hAnsi="宋体"/>
          <w:color w:val="auto"/>
          <w:u w:val="single"/>
        </w:rPr>
      </w:pP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只有在法律上和财务上独立、合法运作并独立于采购人和采购代理机构的供货商才能参加投标。</w:t>
      </w:r>
    </w:p>
    <w:p>
      <w:pPr>
        <w:numPr>
          <w:ilvl w:val="1"/>
          <w:numId w:val="45"/>
        </w:numPr>
        <w:autoSpaceDE w:val="0"/>
        <w:autoSpaceDN w:val="0"/>
        <w:adjustRightInd w:val="0"/>
        <w:snapToGrid w:val="0"/>
        <w:spacing w:line="360" w:lineRule="auto"/>
        <w:rPr>
          <w:rFonts w:ascii="宋体" w:hAnsi="宋体"/>
          <w:b/>
          <w:color w:val="auto"/>
        </w:rPr>
      </w:pPr>
      <w:r>
        <w:rPr>
          <w:rFonts w:hint="eastAsia" w:ascii="宋体" w:hAnsi="宋体"/>
          <w:color w:val="auto"/>
        </w:rPr>
        <w:t>法定代表人或单位负责人为同一人或者存在直接控股、管理关系的不同单位，不得同时参与同一采购项目包组投标，共同组成联合体投标的除外。</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符合</w:t>
      </w:r>
      <w:r>
        <w:rPr>
          <w:rFonts w:hint="eastAsia" w:ascii="宋体" w:hAnsi="宋体" w:cs="黑体"/>
          <w:color w:val="auto"/>
          <w:szCs w:val="21"/>
        </w:rPr>
        <w:t>第一章投标邀请函“供应商资格”</w:t>
      </w:r>
      <w:r>
        <w:rPr>
          <w:rFonts w:hint="eastAsia" w:ascii="宋体" w:hAnsi="宋体"/>
          <w:color w:val="auto"/>
          <w:szCs w:val="21"/>
        </w:rPr>
        <w:t>的特殊条款</w:t>
      </w:r>
      <w:r>
        <w:rPr>
          <w:rFonts w:hint="eastAsia" w:ascii="宋体" w:hAnsi="宋体" w:cs="黑体"/>
          <w:color w:val="auto"/>
          <w:szCs w:val="21"/>
        </w:rPr>
        <w:t>。</w:t>
      </w:r>
    </w:p>
    <w:p>
      <w:pPr>
        <w:numPr>
          <w:ilvl w:val="1"/>
          <w:numId w:val="45"/>
        </w:numPr>
        <w:autoSpaceDE w:val="0"/>
        <w:autoSpaceDN w:val="0"/>
        <w:adjustRightInd w:val="0"/>
        <w:snapToGrid w:val="0"/>
        <w:spacing w:line="360" w:lineRule="auto"/>
        <w:rPr>
          <w:rFonts w:ascii="宋体" w:hAnsi="宋体"/>
          <w:color w:val="auto"/>
        </w:rPr>
      </w:pPr>
      <w:r>
        <w:rPr>
          <w:rFonts w:hint="eastAsia" w:ascii="宋体" w:hAnsi="宋体"/>
          <w:color w:val="auto"/>
        </w:rPr>
        <w:t>若分公司投标：供应商为非独立法人(即由合法法人依法建立的分公司）</w:t>
      </w:r>
      <w:r>
        <w:rPr>
          <w:rFonts w:ascii="宋体" w:hAnsi="宋体"/>
          <w:color w:val="auto"/>
        </w:rPr>
        <w:t>，须</w:t>
      </w:r>
      <w:r>
        <w:rPr>
          <w:rFonts w:hint="eastAsia" w:ascii="宋体" w:hAnsi="宋体"/>
          <w:color w:val="auto"/>
        </w:rPr>
        <w:t>同时</w:t>
      </w:r>
      <w:r>
        <w:rPr>
          <w:rFonts w:ascii="宋体" w:hAnsi="宋体"/>
          <w:color w:val="auto"/>
        </w:rPr>
        <w:t>提供总公司的营业执照副本复印件及总公司</w:t>
      </w:r>
      <w:r>
        <w:rPr>
          <w:rFonts w:hint="eastAsia" w:ascii="宋体" w:hAnsi="宋体"/>
          <w:color w:val="auto"/>
        </w:rPr>
        <w:t>对分公司出具的有效</w:t>
      </w:r>
      <w:r>
        <w:rPr>
          <w:rFonts w:ascii="宋体" w:hAnsi="宋体"/>
          <w:color w:val="auto"/>
        </w:rPr>
        <w:t>授权书原件。</w:t>
      </w:r>
      <w:r>
        <w:rPr>
          <w:rFonts w:hint="eastAsia" w:ascii="宋体" w:hAnsi="宋体"/>
          <w:color w:val="auto"/>
        </w:rPr>
        <w:t>分公司已获得总公司有效授权的，总公司取得的相关资质证书对分公司有效。若法律法规或招标文件另有规定的从其规定。</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合格的服务和货物</w:t>
      </w:r>
    </w:p>
    <w:p>
      <w:pPr>
        <w:numPr>
          <w:ilvl w:val="1"/>
          <w:numId w:val="45"/>
        </w:numPr>
        <w:autoSpaceDE w:val="0"/>
        <w:autoSpaceDN w:val="0"/>
        <w:adjustRightInd w:val="0"/>
        <w:snapToGrid w:val="0"/>
        <w:spacing w:line="360" w:lineRule="auto"/>
        <w:rPr>
          <w:rFonts w:ascii="宋体" w:hAnsi="宋体"/>
          <w:color w:val="auto"/>
          <w:szCs w:val="21"/>
        </w:rPr>
      </w:pPr>
      <w:bookmarkStart w:id="57" w:name="_Toc237787468"/>
      <w:r>
        <w:rPr>
          <w:rFonts w:hint="eastAsia" w:ascii="宋体" w:hAnsi="宋体"/>
          <w:color w:val="auto"/>
          <w:szCs w:val="21"/>
        </w:rPr>
        <w:t>合同中提供的货物及相关服务，其质量、技术等特征必须符合国家相关标准、行业标准、地方标准或者其他标准、规范和《中华人民共和国政府采购法》的有关规定及用户需求。</w:t>
      </w:r>
      <w:bookmarkEnd w:id="57"/>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政府采购应当采购本国产品，确需采购进口产品的，</w:t>
      </w:r>
      <w:bookmarkStart w:id="58" w:name="_Toc211763038"/>
      <w:r>
        <w:rPr>
          <w:rFonts w:hint="eastAsia" w:ascii="宋体" w:hAnsi="宋体"/>
          <w:color w:val="auto"/>
          <w:szCs w:val="21"/>
        </w:rPr>
        <w:t>依据《政府采购进口产品管理办法</w:t>
      </w:r>
      <w:bookmarkEnd w:id="58"/>
      <w:r>
        <w:rPr>
          <w:rFonts w:hint="eastAsia" w:ascii="宋体" w:hAnsi="宋体"/>
          <w:color w:val="auto"/>
          <w:szCs w:val="21"/>
        </w:rPr>
        <w:t>》执行。</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本文件所称进口产品是指通过中国海关报关验放进入中国境内且产自关境外的产品。</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采购人采购进口产品时，应当坚持有利于本国企业自主创新或消化吸收核心技术的原则，优先购买向我方转让技术、提供培训服务及其他补偿贸易措施的产品。</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59" w:name="_Toc237787469"/>
      <w:r>
        <w:rPr>
          <w:rFonts w:hint="eastAsia" w:ascii="宋体" w:hAnsi="宋体"/>
          <w:b/>
          <w:bCs/>
          <w:color w:val="auto"/>
          <w:szCs w:val="21"/>
        </w:rPr>
        <w:t>禁止事项</w:t>
      </w:r>
      <w:bookmarkEnd w:id="59"/>
    </w:p>
    <w:p>
      <w:pPr>
        <w:numPr>
          <w:ilvl w:val="1"/>
          <w:numId w:val="45"/>
        </w:numPr>
        <w:autoSpaceDE w:val="0"/>
        <w:autoSpaceDN w:val="0"/>
        <w:adjustRightInd w:val="0"/>
        <w:snapToGrid w:val="0"/>
        <w:spacing w:line="360" w:lineRule="auto"/>
        <w:rPr>
          <w:rFonts w:ascii="宋体" w:hAnsi="宋体"/>
          <w:color w:val="auto"/>
          <w:szCs w:val="21"/>
        </w:rPr>
      </w:pPr>
      <w:bookmarkStart w:id="60" w:name="_Toc237787470"/>
      <w:r>
        <w:rPr>
          <w:rFonts w:hint="eastAsia" w:ascii="宋体" w:hAnsi="宋体"/>
          <w:color w:val="auto"/>
          <w:szCs w:val="21"/>
        </w:rPr>
        <w:t>采购人、投标人和采购代理机构不得相互串通损害国家利益、社会公共利益和其他当</w:t>
      </w:r>
      <w:bookmarkEnd w:id="60"/>
      <w:bookmarkStart w:id="61" w:name="_Toc237787471"/>
      <w:r>
        <w:rPr>
          <w:rFonts w:hint="eastAsia" w:ascii="宋体" w:hAnsi="宋体"/>
          <w:color w:val="auto"/>
          <w:szCs w:val="21"/>
        </w:rPr>
        <w:t>事人的合法权益；不得以任何手段排斥其他投标人参与竞争。</w:t>
      </w:r>
      <w:bookmarkEnd w:id="61"/>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62" w:name="_Toc237787472"/>
      <w:r>
        <w:rPr>
          <w:rFonts w:hint="eastAsia" w:ascii="宋体" w:hAnsi="宋体"/>
          <w:color w:val="auto"/>
          <w:szCs w:val="21"/>
        </w:rPr>
        <w:t>投标人不得向采购人、采购代理机构、评标委员会的组成人员行贿或者采取其他不正当手段谋取中标。</w:t>
      </w:r>
      <w:bookmarkEnd w:id="62"/>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63" w:name="_Toc237787473"/>
      <w:r>
        <w:rPr>
          <w:rFonts w:hint="eastAsia" w:ascii="宋体" w:hAnsi="宋体"/>
          <w:color w:val="auto"/>
          <w:szCs w:val="21"/>
        </w:rPr>
        <w:t>除投标人被要求对投标文件进行澄清外，从开标之时起至授予合同止，投标人不得就与其投标文件有关的事项主动与评标委员会、采购人以及采购代理机构接触。</w:t>
      </w:r>
      <w:bookmarkEnd w:id="63"/>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olor w:val="auto"/>
          <w:szCs w:val="21"/>
        </w:rPr>
      </w:pPr>
      <w:bookmarkStart w:id="64" w:name="_Toc237787474"/>
      <w:r>
        <w:rPr>
          <w:rFonts w:hint="eastAsia" w:ascii="宋体" w:hAnsi="宋体"/>
          <w:color w:val="auto"/>
          <w:szCs w:val="21"/>
        </w:rPr>
        <w:t>《中华人民共和国政府采购法》、《中华人民共和国政府采购法实施条例》及相关法规规定的其他禁止行为。</w:t>
      </w:r>
      <w:bookmarkEnd w:id="64"/>
      <w:r>
        <w:rPr>
          <w:rFonts w:hint="eastAsia" w:ascii="宋体" w:hAnsi="宋体"/>
          <w:color w:val="auto"/>
          <w:szCs w:val="21"/>
        </w:rPr>
        <w:t>否则投标无效。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65" w:name="_Toc237787475"/>
      <w:r>
        <w:rPr>
          <w:rFonts w:hint="eastAsia" w:ascii="宋体" w:hAnsi="宋体"/>
          <w:b/>
          <w:bCs/>
          <w:color w:val="auto"/>
          <w:szCs w:val="21"/>
        </w:rPr>
        <w:t>保密事项</w:t>
      </w:r>
      <w:bookmarkEnd w:id="65"/>
    </w:p>
    <w:p>
      <w:pPr>
        <w:numPr>
          <w:ilvl w:val="1"/>
          <w:numId w:val="45"/>
        </w:numPr>
        <w:autoSpaceDE w:val="0"/>
        <w:autoSpaceDN w:val="0"/>
        <w:adjustRightInd w:val="0"/>
        <w:snapToGrid w:val="0"/>
        <w:spacing w:line="360" w:lineRule="auto"/>
        <w:rPr>
          <w:rFonts w:ascii="宋体" w:hAnsi="宋体"/>
          <w:color w:val="auto"/>
          <w:szCs w:val="21"/>
        </w:rPr>
      </w:pPr>
      <w:bookmarkStart w:id="66" w:name="_Toc237787476"/>
      <w:r>
        <w:rPr>
          <w:rFonts w:hint="eastAsia" w:ascii="宋体" w:hAnsi="宋体"/>
          <w:color w:val="auto"/>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6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投标费用</w:t>
      </w:r>
    </w:p>
    <w:p>
      <w:pPr>
        <w:spacing w:line="440" w:lineRule="exact"/>
        <w:ind w:firstLine="630" w:firstLineChars="300"/>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招标采购单位均无义务和责任承担这些费用</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67" w:name="_Toc381027666"/>
      <w:r>
        <w:rPr>
          <w:rFonts w:hint="eastAsia" w:ascii="宋体" w:hAnsi="宋体"/>
          <w:b/>
          <w:bCs/>
          <w:color w:val="auto"/>
          <w:szCs w:val="21"/>
        </w:rPr>
        <w:t>政府采购信用担保</w:t>
      </w:r>
      <w:bookmarkEnd w:id="67"/>
    </w:p>
    <w:p>
      <w:pPr>
        <w:numPr>
          <w:ilvl w:val="1"/>
          <w:numId w:val="45"/>
        </w:numPr>
        <w:autoSpaceDE w:val="0"/>
        <w:autoSpaceDN w:val="0"/>
        <w:adjustRightInd w:val="0"/>
        <w:snapToGrid w:val="0"/>
        <w:spacing w:line="360" w:lineRule="auto"/>
        <w:rPr>
          <w:rFonts w:ascii="宋体" w:hAnsi="宋体"/>
          <w:color w:val="auto"/>
          <w:szCs w:val="21"/>
        </w:rPr>
      </w:pPr>
      <w:bookmarkStart w:id="68" w:name="_Toc315793298"/>
      <w:r>
        <w:rPr>
          <w:rFonts w:hint="eastAsia" w:ascii="宋体" w:hAnsi="宋体"/>
          <w:color w:val="auto"/>
          <w:szCs w:val="21"/>
        </w:rPr>
        <w:t>根据广东省政府采购信用担保试点实施方案粤财采购〔</w:t>
      </w:r>
      <w:r>
        <w:rPr>
          <w:rFonts w:ascii="宋体" w:hAnsi="宋体"/>
          <w:color w:val="auto"/>
          <w:szCs w:val="21"/>
        </w:rPr>
        <w:t>2011</w:t>
      </w:r>
      <w:r>
        <w:rPr>
          <w:rFonts w:hint="eastAsia" w:ascii="宋体" w:hAnsi="宋体"/>
          <w:color w:val="auto"/>
          <w:szCs w:val="21"/>
        </w:rPr>
        <w:t>〕</w:t>
      </w:r>
      <w:r>
        <w:rPr>
          <w:rFonts w:ascii="宋体" w:hAnsi="宋体"/>
          <w:color w:val="auto"/>
          <w:szCs w:val="21"/>
        </w:rPr>
        <w:t>15</w:t>
      </w:r>
      <w:r>
        <w:rPr>
          <w:rFonts w:hint="eastAsia" w:ascii="宋体" w:hAnsi="宋体"/>
          <w:color w:val="auto"/>
          <w:szCs w:val="21"/>
        </w:rPr>
        <w:t>号的有关精神和要求，除非</w:t>
      </w:r>
      <w:r>
        <w:rPr>
          <w:rFonts w:hint="eastAsia" w:ascii="宋体" w:hAnsi="宋体"/>
          <w:b/>
          <w:color w:val="auto"/>
          <w:szCs w:val="21"/>
        </w:rPr>
        <w:t>投标资料表</w:t>
      </w:r>
      <w:r>
        <w:rPr>
          <w:rFonts w:hint="eastAsia" w:ascii="宋体" w:hAnsi="宋体"/>
          <w:color w:val="auto"/>
          <w:szCs w:val="21"/>
        </w:rPr>
        <w:t>中另有规定，本项目实施政府采购信用担保。</w:t>
      </w:r>
    </w:p>
    <w:bookmarkEnd w:id="68"/>
    <w:p>
      <w:pPr>
        <w:numPr>
          <w:ilvl w:val="1"/>
          <w:numId w:val="45"/>
        </w:numPr>
        <w:autoSpaceDE w:val="0"/>
        <w:autoSpaceDN w:val="0"/>
        <w:adjustRightInd w:val="0"/>
        <w:snapToGrid w:val="0"/>
        <w:spacing w:line="360" w:lineRule="auto"/>
        <w:rPr>
          <w:rFonts w:ascii="宋体" w:hAnsi="宋体"/>
          <w:b/>
          <w:bCs/>
          <w:color w:val="auto"/>
          <w:szCs w:val="21"/>
        </w:rPr>
      </w:pPr>
      <w:bookmarkStart w:id="69" w:name="_Toc315793299"/>
      <w:r>
        <w:rPr>
          <w:rFonts w:hint="eastAsia" w:ascii="宋体" w:hAnsi="宋体"/>
          <w:color w:val="auto"/>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69"/>
    </w:p>
    <w:p>
      <w:pPr>
        <w:numPr>
          <w:ilvl w:val="1"/>
          <w:numId w:val="45"/>
        </w:numPr>
        <w:autoSpaceDE w:val="0"/>
        <w:autoSpaceDN w:val="0"/>
        <w:adjustRightInd w:val="0"/>
        <w:snapToGrid w:val="0"/>
        <w:spacing w:line="360" w:lineRule="auto"/>
        <w:rPr>
          <w:rFonts w:ascii="宋体" w:hAnsi="宋体"/>
          <w:color w:val="auto"/>
          <w:szCs w:val="21"/>
        </w:rPr>
      </w:pPr>
      <w:bookmarkStart w:id="70" w:name="_Toc315793300"/>
      <w:r>
        <w:rPr>
          <w:rFonts w:hint="eastAsia" w:ascii="宋体" w:hAnsi="宋体"/>
          <w:color w:val="auto"/>
          <w:szCs w:val="21"/>
        </w:rPr>
        <w:t>融资担保，是指由专业担保机构为投标人向银行融资提供的保证担保。投标人可以自愿选择是否采取融资担保的形式为政府采购履约进行融资。</w:t>
      </w:r>
      <w:bookmarkEnd w:id="70"/>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专业担保机构的选择，推荐担保机构及联系方式详见《投标资料表》。</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投标人可以以履约担保函的形式缴纳履约保证金。</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bookmarkStart w:id="71" w:name="_Toc438223021"/>
      <w:bookmarkStart w:id="72" w:name="_Toc435542346"/>
      <w:r>
        <w:rPr>
          <w:rFonts w:hint="eastAsia" w:ascii="宋体" w:hAnsi="宋体"/>
          <w:b/>
          <w:bCs/>
          <w:color w:val="auto"/>
          <w:szCs w:val="21"/>
        </w:rPr>
        <w:t>知识产权</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投标报价应包含所有应向所有权人支付的专利权、商标权或其它知识产权的一切相关费用。</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45"/>
        </w:numPr>
        <w:autoSpaceDE w:val="0"/>
        <w:autoSpaceDN w:val="0"/>
        <w:adjustRightInd w:val="0"/>
        <w:snapToGrid w:val="0"/>
        <w:spacing w:line="360" w:lineRule="auto"/>
        <w:outlineLvl w:val="2"/>
        <w:rPr>
          <w:rFonts w:ascii="宋体" w:hAnsi="宋体"/>
          <w:color w:val="auto"/>
          <w:szCs w:val="21"/>
        </w:rPr>
      </w:pPr>
      <w:r>
        <w:rPr>
          <w:rFonts w:hint="eastAsia" w:ascii="宋体" w:hAnsi="宋体"/>
          <w:b/>
          <w:bCs/>
          <w:color w:val="auto"/>
          <w:szCs w:val="21"/>
        </w:rPr>
        <w:t>其它</w:t>
      </w:r>
      <w:r>
        <w:rPr>
          <w:rFonts w:hint="eastAsia" w:ascii="宋体" w:hAnsi="宋体"/>
          <w:b/>
          <w:color w:val="auto"/>
          <w:szCs w:val="21"/>
        </w:rPr>
        <w:t xml:space="preserve"> </w:t>
      </w:r>
      <w:r>
        <w:rPr>
          <w:rFonts w:ascii="宋体" w:hAnsi="宋体"/>
          <w:color w:val="auto"/>
          <w:szCs w:val="21"/>
        </w:rPr>
        <w:t xml:space="preserve"> </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供应商（投标人）向我司咨询的有关项目事项，一切以法律法规的规定和本公司书面答复为准，其他一切形式均为个人意见，不代表本公司的意见。</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招标文件</w:t>
      </w:r>
      <w:bookmarkEnd w:id="71"/>
      <w:bookmarkEnd w:id="72"/>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招标文件的编制依据与构成</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本招标文件的编制依据是《中华人民共和国政府采购法》、《中华人民共和国政府采购法实施条例》等相关法规及配套的政策性规定。</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要求提供的</w:t>
      </w:r>
      <w:r>
        <w:rPr>
          <w:rFonts w:hint="eastAsia" w:ascii="宋体" w:hAnsi="宋体" w:cs="宋体"/>
          <w:color w:val="auto"/>
          <w:szCs w:val="21"/>
        </w:rPr>
        <w:t>服务</w:t>
      </w:r>
      <w:r>
        <w:rPr>
          <w:rFonts w:hint="eastAsia" w:ascii="宋体" w:hAnsi="宋体" w:cs="宋体"/>
          <w:color w:val="auto"/>
          <w:szCs w:val="21"/>
          <w:lang w:eastAsia="zh-TW"/>
        </w:rPr>
        <w:t>、</w:t>
      </w:r>
      <w:r>
        <w:rPr>
          <w:rFonts w:hint="eastAsia" w:ascii="宋体" w:hAnsi="宋体" w:cs="宋体"/>
          <w:color w:val="auto"/>
          <w:szCs w:val="21"/>
        </w:rPr>
        <w:t>采购</w:t>
      </w:r>
      <w:r>
        <w:rPr>
          <w:rFonts w:hint="eastAsia" w:ascii="宋体" w:hAnsi="宋体" w:cs="宋体"/>
          <w:color w:val="auto"/>
          <w:szCs w:val="21"/>
          <w:lang w:eastAsia="zh-TW"/>
        </w:rPr>
        <w:t>过程和合同条件在招标文件中均有说明。招标文件以中文文字编写。</w:t>
      </w:r>
      <w:r>
        <w:rPr>
          <w:rFonts w:hint="eastAsia" w:ascii="宋体" w:hAnsi="宋体"/>
          <w:color w:val="auto"/>
          <w:szCs w:val="21"/>
        </w:rPr>
        <w:t>否则投标无效。</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color w:val="auto"/>
          <w:szCs w:val="21"/>
        </w:rPr>
      </w:pPr>
      <w:r>
        <w:rPr>
          <w:rFonts w:hint="eastAsia" w:ascii="宋体" w:hAnsi="宋体" w:cs="隶书"/>
          <w:b/>
          <w:color w:val="auto"/>
          <w:szCs w:val="21"/>
        </w:rPr>
        <w:t>专用条款</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第一章</w:t>
      </w:r>
      <w:r>
        <w:rPr>
          <w:rFonts w:hint="eastAsia" w:ascii="宋体" w:hAnsi="宋体" w:cs="宋体"/>
          <w:b/>
          <w:color w:val="auto"/>
          <w:szCs w:val="21"/>
        </w:rPr>
        <w:t>　</w:t>
      </w:r>
      <w:r>
        <w:rPr>
          <w:rFonts w:hint="eastAsia" w:ascii="宋体" w:hAnsi="宋体" w:cs="宋体"/>
          <w:b/>
          <w:color w:val="auto"/>
          <w:szCs w:val="21"/>
          <w:lang w:eastAsia="zh-TW"/>
        </w:rPr>
        <w:t>投标邀请函</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第二章</w:t>
      </w:r>
      <w:r>
        <w:rPr>
          <w:rFonts w:hint="eastAsia" w:ascii="宋体" w:hAnsi="宋体" w:cs="宋体"/>
          <w:b/>
          <w:color w:val="auto"/>
          <w:szCs w:val="21"/>
        </w:rPr>
        <w:t>　</w:t>
      </w:r>
      <w:r>
        <w:rPr>
          <w:rFonts w:hint="eastAsia" w:ascii="宋体" w:hAnsi="宋体" w:cs="宋体"/>
          <w:b/>
          <w:color w:val="auto"/>
          <w:szCs w:val="21"/>
          <w:lang w:eastAsia="zh-TW"/>
        </w:rPr>
        <w:t>投标资料表</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三</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评分</w:t>
      </w:r>
      <w:r>
        <w:rPr>
          <w:rFonts w:hint="eastAsia" w:ascii="宋体" w:hAnsi="宋体" w:cs="宋体"/>
          <w:b/>
          <w:color w:val="auto"/>
          <w:szCs w:val="21"/>
        </w:rPr>
        <w:t>体系</w:t>
      </w:r>
      <w:r>
        <w:rPr>
          <w:rFonts w:hint="eastAsia" w:ascii="宋体" w:hAnsi="宋体" w:cs="宋体"/>
          <w:b/>
          <w:color w:val="auto"/>
          <w:szCs w:val="21"/>
          <w:lang w:eastAsia="zh-TW"/>
        </w:rPr>
        <w:t>和标准</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四</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用户需求书</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五</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合同</w:t>
      </w:r>
      <w:r>
        <w:rPr>
          <w:rFonts w:hint="eastAsia" w:ascii="宋体" w:hAnsi="宋体" w:cs="宋体"/>
          <w:b/>
          <w:color w:val="auto"/>
          <w:szCs w:val="21"/>
        </w:rPr>
        <w:t>通用</w:t>
      </w:r>
      <w:r>
        <w:rPr>
          <w:rFonts w:hint="eastAsia" w:ascii="宋体" w:hAnsi="宋体" w:cs="宋体"/>
          <w:b/>
          <w:color w:val="auto"/>
          <w:szCs w:val="21"/>
          <w:lang w:eastAsia="zh-TW"/>
        </w:rPr>
        <w:t>条款</w:t>
      </w:r>
    </w:p>
    <w:p>
      <w:pPr>
        <w:snapToGrid w:val="0"/>
        <w:spacing w:line="360" w:lineRule="auto"/>
        <w:ind w:left="546"/>
        <w:rPr>
          <w:rFonts w:ascii="宋体" w:hAnsi="宋体" w:cs="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六</w:t>
      </w:r>
      <w:r>
        <w:rPr>
          <w:rFonts w:hint="eastAsia" w:ascii="宋体" w:hAnsi="宋体" w:cs="宋体"/>
          <w:b/>
          <w:color w:val="auto"/>
          <w:szCs w:val="21"/>
          <w:lang w:eastAsia="zh-TW"/>
        </w:rPr>
        <w:t>章</w:t>
      </w:r>
      <w:r>
        <w:rPr>
          <w:rFonts w:hint="eastAsia" w:ascii="宋体" w:hAnsi="宋体" w:cs="宋体"/>
          <w:b/>
          <w:color w:val="auto"/>
          <w:szCs w:val="21"/>
        </w:rPr>
        <w:t>　投标文件格式</w:t>
      </w:r>
    </w:p>
    <w:p>
      <w:pPr>
        <w:snapToGrid w:val="0"/>
        <w:spacing w:line="360" w:lineRule="auto"/>
        <w:ind w:left="445" w:leftChars="212" w:firstLine="105" w:firstLineChars="50"/>
        <w:rPr>
          <w:rFonts w:ascii="宋体" w:hAnsi="宋体" w:cs="隶书"/>
          <w:b/>
          <w:color w:val="auto"/>
          <w:szCs w:val="21"/>
        </w:rPr>
      </w:pPr>
      <w:r>
        <w:rPr>
          <w:rFonts w:hint="eastAsia" w:ascii="宋体" w:hAnsi="宋体" w:cs="隶书"/>
          <w:b/>
          <w:color w:val="auto"/>
          <w:szCs w:val="21"/>
        </w:rPr>
        <w:t>通用条款</w:t>
      </w:r>
    </w:p>
    <w:p>
      <w:pPr>
        <w:snapToGrid w:val="0"/>
        <w:spacing w:line="360" w:lineRule="auto"/>
        <w:ind w:left="546"/>
        <w:rPr>
          <w:rFonts w:ascii="宋体" w:hAnsi="宋体"/>
          <w:b/>
          <w:color w:val="auto"/>
          <w:szCs w:val="21"/>
        </w:rPr>
      </w:pPr>
      <w:r>
        <w:rPr>
          <w:rFonts w:hint="eastAsia" w:ascii="宋体" w:hAnsi="宋体" w:cs="宋体"/>
          <w:b/>
          <w:color w:val="auto"/>
          <w:szCs w:val="21"/>
        </w:rPr>
        <w:t>第七章　</w:t>
      </w:r>
      <w:r>
        <w:rPr>
          <w:rFonts w:hint="eastAsia" w:ascii="宋体" w:hAnsi="宋体" w:cs="宋体"/>
          <w:b/>
          <w:color w:val="auto"/>
          <w:szCs w:val="21"/>
          <w:lang w:eastAsia="zh-TW"/>
        </w:rPr>
        <w:t>投标人须知</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w:t>
      </w:r>
      <w:r>
        <w:rPr>
          <w:rFonts w:hint="eastAsia" w:ascii="宋体" w:hAnsi="宋体" w:cs="宋体"/>
          <w:color w:val="auto"/>
          <w:szCs w:val="21"/>
        </w:rPr>
        <w:t>服务</w:t>
      </w:r>
      <w:r>
        <w:rPr>
          <w:rFonts w:hint="eastAsia" w:ascii="宋体" w:hAnsi="宋体" w:cs="宋体"/>
          <w:color w:val="auto"/>
          <w:szCs w:val="21"/>
          <w:lang w:eastAsia="zh-TW"/>
        </w:rPr>
        <w:t>要求等）。投标人没有按照招标文件要求提交全部资料，或者投标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出实质性响应是投标人的风险，有可能导致其投标被拒绝，或被认定为无效投标或被确定为投标无效。</w:t>
      </w:r>
    </w:p>
    <w:p>
      <w:pPr>
        <w:numPr>
          <w:ilvl w:val="1"/>
          <w:numId w:val="4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w:t>
      </w:r>
      <w:r>
        <w:rPr>
          <w:rFonts w:hint="eastAsia" w:ascii="宋体" w:hAnsi="宋体" w:cs="宋体"/>
          <w:color w:val="auto"/>
          <w:szCs w:val="21"/>
          <w:lang w:eastAsia="zh-TW"/>
        </w:rPr>
        <w:t>招标文件的解释权归“</w:t>
      </w:r>
      <w:r>
        <w:rPr>
          <w:rFonts w:hint="eastAsia" w:ascii="宋体" w:hAnsi="宋体" w:cs="宋体"/>
          <w:color w:val="auto"/>
          <w:szCs w:val="21"/>
        </w:rPr>
        <w:t>广州宝诚招标代理咨询有限公司</w:t>
      </w:r>
      <w:r>
        <w:rPr>
          <w:rFonts w:hint="eastAsia" w:ascii="宋体" w:hAnsi="宋体" w:cs="宋体"/>
          <w:color w:val="auto"/>
          <w:szCs w:val="21"/>
          <w:lang w:eastAsia="zh-TW"/>
        </w:rPr>
        <w:t>”所有。</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招标文件的澄清或修改</w:t>
      </w:r>
    </w:p>
    <w:p>
      <w:pPr>
        <w:numPr>
          <w:ilvl w:val="1"/>
          <w:numId w:val="45"/>
        </w:numPr>
        <w:autoSpaceDE w:val="0"/>
        <w:autoSpaceDN w:val="0"/>
        <w:adjustRightInd w:val="0"/>
        <w:snapToGrid w:val="0"/>
        <w:spacing w:line="360" w:lineRule="auto"/>
        <w:jc w:val="left"/>
        <w:rPr>
          <w:rFonts w:ascii="宋体" w:hAnsi="宋体"/>
          <w:color w:val="auto"/>
          <w:szCs w:val="21"/>
        </w:rPr>
      </w:pPr>
      <w:bookmarkStart w:id="73" w:name="_Toc237787490"/>
      <w:r>
        <w:rPr>
          <w:rFonts w:hint="eastAsia" w:ascii="宋体" w:hAnsi="宋体"/>
          <w:color w:val="auto"/>
          <w:szCs w:val="21"/>
        </w:rPr>
        <w:t>在投标截止时间前，无论出于何种原因，采购人或者采购代理机构可主动的或在解答潜在供应商提出的澄清问题时对已发出的招标文件进行修改。</w:t>
      </w:r>
    </w:p>
    <w:p>
      <w:pPr>
        <w:widowControl/>
        <w:numPr>
          <w:ilvl w:val="1"/>
          <w:numId w:val="45"/>
        </w:numPr>
        <w:adjustRightInd w:val="0"/>
        <w:snapToGrid w:val="0"/>
        <w:spacing w:line="360" w:lineRule="auto"/>
        <w:jc w:val="left"/>
        <w:rPr>
          <w:rFonts w:ascii="宋体" w:hAnsi="宋体"/>
          <w:b/>
          <w:bCs/>
          <w:color w:val="auto"/>
          <w:szCs w:val="21"/>
        </w:rPr>
      </w:pPr>
      <w:r>
        <w:rPr>
          <w:rFonts w:hint="eastAsia" w:ascii="宋体" w:hAnsi="宋体"/>
          <w:color w:val="auto"/>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3"/>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45"/>
        </w:numPr>
        <w:autoSpaceDE w:val="0"/>
        <w:autoSpaceDN w:val="0"/>
        <w:adjustRightInd w:val="0"/>
        <w:snapToGrid w:val="0"/>
        <w:spacing w:line="360" w:lineRule="auto"/>
        <w:ind w:left="449" w:hanging="449" w:hangingChars="213"/>
        <w:outlineLvl w:val="2"/>
        <w:rPr>
          <w:rFonts w:ascii="宋体" w:hAnsi="宋体" w:cs="宋体"/>
          <w:color w:val="auto"/>
          <w:szCs w:val="21"/>
          <w:lang w:eastAsia="zh-TW"/>
        </w:rPr>
      </w:pPr>
      <w:r>
        <w:rPr>
          <w:rFonts w:hint="eastAsia" w:ascii="宋体" w:hAnsi="宋体"/>
          <w:b/>
          <w:bCs/>
          <w:color w:val="auto"/>
          <w:szCs w:val="21"/>
        </w:rPr>
        <w:t>招标文件的答疑或现场考察</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bCs/>
          <w:color w:val="auto"/>
          <w:szCs w:val="21"/>
        </w:rPr>
        <w:t>除非</w:t>
      </w:r>
      <w:r>
        <w:rPr>
          <w:rFonts w:hint="eastAsia" w:ascii="宋体" w:hAnsi="宋体"/>
          <w:b/>
          <w:bCs/>
          <w:color w:val="auto"/>
          <w:szCs w:val="21"/>
        </w:rPr>
        <w:t>投标资料表</w:t>
      </w:r>
      <w:r>
        <w:rPr>
          <w:rFonts w:hint="eastAsia" w:ascii="宋体" w:hAnsi="宋体"/>
          <w:bCs/>
          <w:color w:val="auto"/>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color w:val="auto"/>
          <w:szCs w:val="21"/>
        </w:rPr>
        <w:t>：</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b/>
          <w:color w:val="auto"/>
          <w:szCs w:val="21"/>
          <w:lang w:eastAsia="zh-TW"/>
        </w:rPr>
        <w:t>投标资料表</w:t>
      </w:r>
      <w:r>
        <w:rPr>
          <w:rFonts w:hint="eastAsia" w:ascii="宋体" w:hAnsi="宋体" w:cs="宋体"/>
          <w:color w:val="auto"/>
          <w:szCs w:val="21"/>
        </w:rPr>
        <w:t>中规定的日期、时间和地点组织公开答疑会或现场考察；</w:t>
      </w:r>
    </w:p>
    <w:p>
      <w:pPr>
        <w:numPr>
          <w:ilvl w:val="2"/>
          <w:numId w:val="45"/>
        </w:numPr>
        <w:tabs>
          <w:tab w:val="left" w:pos="851"/>
          <w:tab w:val="clear" w:pos="567"/>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潜在</w:t>
      </w:r>
      <w:r>
        <w:rPr>
          <w:rFonts w:hint="eastAsia" w:ascii="宋体" w:hAnsi="宋体" w:cs="宋体"/>
          <w:color w:val="auto"/>
          <w:szCs w:val="21"/>
          <w:lang w:eastAsia="zh-TW"/>
        </w:rPr>
        <w:t>投标人对本项目提出的疑问，需在答疑会</w:t>
      </w:r>
      <w:r>
        <w:rPr>
          <w:rFonts w:hint="eastAsia" w:ascii="宋体" w:hAnsi="宋体" w:cs="宋体"/>
          <w:color w:val="auto"/>
          <w:szCs w:val="21"/>
        </w:rPr>
        <w:t>或现场考察</w:t>
      </w:r>
      <w:r>
        <w:rPr>
          <w:rFonts w:hint="eastAsia" w:ascii="宋体" w:hAnsi="宋体" w:cs="宋体"/>
          <w:color w:val="auto"/>
          <w:szCs w:val="21"/>
          <w:lang w:eastAsia="zh-TW"/>
        </w:rPr>
        <w:t>召开日前至少一个工作日将问题清单以书面形式（加盖公章）提交至采购代理机构，</w:t>
      </w:r>
      <w:r>
        <w:rPr>
          <w:rFonts w:hint="eastAsia" w:ascii="宋体" w:hAnsi="宋体" w:cs="宋体"/>
          <w:color w:val="auto"/>
          <w:szCs w:val="21"/>
        </w:rPr>
        <w:t>潜在</w:t>
      </w:r>
      <w:r>
        <w:rPr>
          <w:rFonts w:hint="eastAsia" w:ascii="宋体" w:hAnsi="宋体" w:cs="宋体"/>
          <w:color w:val="auto"/>
          <w:szCs w:val="21"/>
          <w:lang w:eastAsia="zh-TW"/>
        </w:rPr>
        <w:t>投标人代表于上述的时间和地点出席答疑会</w:t>
      </w:r>
      <w:r>
        <w:rPr>
          <w:rFonts w:hint="eastAsia" w:ascii="宋体" w:hAnsi="宋体" w:cs="宋体"/>
          <w:color w:val="auto"/>
          <w:szCs w:val="21"/>
        </w:rPr>
        <w:t>或现场考察</w:t>
      </w:r>
      <w:r>
        <w:rPr>
          <w:rFonts w:hint="eastAsia" w:ascii="宋体" w:hAnsi="宋体" w:cs="宋体"/>
          <w:color w:val="auto"/>
          <w:szCs w:val="21"/>
          <w:lang w:eastAsia="zh-TW"/>
        </w:rPr>
        <w:t>。</w:t>
      </w:r>
    </w:p>
    <w:p>
      <w:pPr>
        <w:numPr>
          <w:ilvl w:val="1"/>
          <w:numId w:val="45"/>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已购买</w:t>
      </w:r>
      <w:r>
        <w:rPr>
          <w:rFonts w:hint="eastAsia" w:ascii="宋体" w:hAnsi="宋体" w:cs="宋体"/>
          <w:color w:val="auto"/>
          <w:szCs w:val="21"/>
        </w:rPr>
        <w:t>招标</w:t>
      </w:r>
      <w:r>
        <w:rPr>
          <w:rFonts w:hint="eastAsia" w:ascii="宋体" w:hAnsi="宋体" w:cs="宋体"/>
          <w:color w:val="auto"/>
          <w:szCs w:val="21"/>
          <w:lang w:eastAsia="zh-TW"/>
        </w:rPr>
        <w:t>文件的投标人如不出席答疑会</w:t>
      </w:r>
      <w:r>
        <w:rPr>
          <w:rFonts w:hint="eastAsia" w:ascii="宋体" w:hAnsi="宋体" w:cs="宋体"/>
          <w:color w:val="auto"/>
          <w:szCs w:val="21"/>
        </w:rPr>
        <w:t>或现场考察</w:t>
      </w:r>
      <w:r>
        <w:rPr>
          <w:rFonts w:hint="eastAsia" w:ascii="宋体" w:hAnsi="宋体" w:cs="宋体"/>
          <w:color w:val="auto"/>
          <w:szCs w:val="21"/>
          <w:lang w:eastAsia="zh-TW"/>
        </w:rPr>
        <w:t>视为对招标文件所有内容无任何异议。</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74" w:name="_Toc438223022"/>
      <w:bookmarkStart w:id="75" w:name="_Toc435542347"/>
      <w:r>
        <w:rPr>
          <w:rFonts w:hint="eastAsia" w:ascii="宋体" w:hAnsi="宋体"/>
          <w:b/>
          <w:color w:val="auto"/>
          <w:sz w:val="28"/>
          <w:szCs w:val="28"/>
          <w:lang w:eastAsia="zh-TW"/>
        </w:rPr>
        <w:t>投标文件的编制</w:t>
      </w:r>
      <w:bookmarkEnd w:id="74"/>
      <w:bookmarkEnd w:id="75"/>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76" w:name="_Toc237787500"/>
      <w:r>
        <w:rPr>
          <w:rFonts w:hint="eastAsia" w:ascii="宋体" w:hAnsi="宋体"/>
          <w:b/>
          <w:bCs/>
          <w:color w:val="auto"/>
          <w:szCs w:val="21"/>
        </w:rPr>
        <w:t>投标的语言</w:t>
      </w:r>
      <w:bookmarkEnd w:id="76"/>
      <w:r>
        <w:rPr>
          <w:rFonts w:hint="eastAsia" w:ascii="宋体" w:hAnsi="宋体"/>
          <w:b/>
          <w:bCs/>
          <w:color w:val="auto"/>
          <w:szCs w:val="21"/>
        </w:rPr>
        <w:t>及度量衡单位</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投标人提交的投标文件以及投标人与招标采购单位就有关投标的所有来往函电均应使用中文书写</w:t>
      </w:r>
      <w:r>
        <w:rPr>
          <w:rFonts w:hint="eastAsia" w:ascii="宋体" w:hAnsi="宋体" w:cs="宋体"/>
          <w:color w:val="auto"/>
          <w:szCs w:val="21"/>
        </w:rPr>
        <w:t>。投</w:t>
      </w:r>
      <w:r>
        <w:rPr>
          <w:rFonts w:hint="eastAsia" w:ascii="宋体" w:hAnsi="宋体" w:cs="宋体"/>
          <w:color w:val="auto"/>
          <w:szCs w:val="21"/>
          <w:lang w:eastAsia="zh-TW"/>
        </w:rPr>
        <w:t>标人提交的支持资料和</w:t>
      </w:r>
      <w:r>
        <w:rPr>
          <w:rFonts w:hint="eastAsia" w:ascii="宋体" w:hAnsi="宋体" w:cs="宋体"/>
          <w:color w:val="auto"/>
          <w:szCs w:val="21"/>
        </w:rPr>
        <w:t>已</w:t>
      </w:r>
      <w:r>
        <w:rPr>
          <w:rFonts w:hint="eastAsia" w:ascii="宋体" w:hAnsi="宋体" w:cs="宋体"/>
          <w:color w:val="auto"/>
          <w:szCs w:val="21"/>
          <w:lang w:eastAsia="zh-TW"/>
        </w:rPr>
        <w:t>印刷的文献可以用另一种语言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但相应内容应附有中文翻译本</w:t>
      </w:r>
      <w:r>
        <w:rPr>
          <w:rFonts w:hint="eastAsia" w:ascii="宋体" w:hAnsi="宋体" w:cs="宋体"/>
          <w:color w:val="auto"/>
          <w:szCs w:val="21"/>
        </w:rPr>
        <w:t>，</w:t>
      </w:r>
      <w:r>
        <w:rPr>
          <w:rFonts w:hint="eastAsia" w:ascii="宋体" w:hAnsi="宋体" w:cs="宋体"/>
          <w:color w:val="auto"/>
          <w:szCs w:val="21"/>
          <w:lang w:eastAsia="zh-TW"/>
        </w:rPr>
        <w:t>在解释投标文件的修改内容时以中文翻译本为准。对中文翻译有异议的</w:t>
      </w:r>
      <w:r>
        <w:rPr>
          <w:rFonts w:hint="eastAsia" w:ascii="宋体" w:hAnsi="宋体" w:cs="宋体"/>
          <w:color w:val="auto"/>
          <w:szCs w:val="21"/>
        </w:rPr>
        <w:t>，</w:t>
      </w:r>
      <w:r>
        <w:rPr>
          <w:rFonts w:hint="eastAsia" w:ascii="宋体" w:hAnsi="宋体" w:cs="宋体"/>
          <w:color w:val="auto"/>
          <w:szCs w:val="21"/>
          <w:lang w:eastAsia="zh-TW"/>
        </w:rPr>
        <w:t>以权威机构的译本为准。</w:t>
      </w:r>
    </w:p>
    <w:p>
      <w:pPr>
        <w:numPr>
          <w:ilvl w:val="1"/>
          <w:numId w:val="45"/>
        </w:numPr>
        <w:tabs>
          <w:tab w:val="left" w:pos="851"/>
        </w:tabs>
        <w:autoSpaceDE w:val="0"/>
        <w:autoSpaceDN w:val="0"/>
        <w:adjustRightInd w:val="0"/>
        <w:snapToGrid w:val="0"/>
        <w:spacing w:line="360" w:lineRule="auto"/>
        <w:rPr>
          <w:rFonts w:ascii="宋体" w:hAnsi="宋体" w:cs="宋体"/>
          <w:color w:val="auto"/>
          <w:szCs w:val="21"/>
        </w:rPr>
      </w:pPr>
      <w:bookmarkStart w:id="77" w:name="_Toc237787502"/>
      <w:r>
        <w:rPr>
          <w:rFonts w:hint="eastAsia" w:ascii="宋体" w:hAnsi="宋体" w:cs="宋体"/>
          <w:color w:val="auto"/>
          <w:szCs w:val="21"/>
        </w:rPr>
        <w:t>除非招标文件的</w:t>
      </w:r>
      <w:r>
        <w:rPr>
          <w:rFonts w:hint="eastAsia" w:ascii="宋体" w:hAnsi="宋体" w:cs="宋体"/>
          <w:b/>
          <w:color w:val="auto"/>
          <w:szCs w:val="21"/>
        </w:rPr>
        <w:t>技术规格</w:t>
      </w:r>
      <w:r>
        <w:rPr>
          <w:rFonts w:hint="eastAsia" w:ascii="宋体" w:hAnsi="宋体" w:cs="宋体"/>
          <w:color w:val="auto"/>
          <w:szCs w:val="21"/>
        </w:rPr>
        <w:t>中另有规定，投标人在投标文件中及其与采购人和采购代理机构的所有往来文件中的度量衡单位均应采用中华人民共和国法定计量单位</w:t>
      </w:r>
      <w:bookmarkEnd w:id="77"/>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投标文件的构成</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color w:val="auto"/>
          <w:szCs w:val="21"/>
        </w:rPr>
        <w:t>初审文件、技术文件、商务文件</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投标文件的编写</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投标人应按照招标文件</w:t>
      </w:r>
      <w:r>
        <w:rPr>
          <w:rFonts w:hint="eastAsia" w:ascii="宋体" w:hAnsi="宋体"/>
          <w:b/>
          <w:color w:val="auto"/>
          <w:szCs w:val="21"/>
        </w:rPr>
        <w:t>第六章投标文件格式</w:t>
      </w:r>
      <w:r>
        <w:rPr>
          <w:rFonts w:hint="eastAsia" w:ascii="宋体" w:hAnsi="宋体"/>
          <w:color w:val="auto"/>
          <w:szCs w:val="21"/>
        </w:rPr>
        <w:t>完整地填</w:t>
      </w:r>
      <w:r>
        <w:rPr>
          <w:rFonts w:hint="eastAsia" w:ascii="宋体" w:hAnsi="宋体" w:cs="宋体"/>
          <w:color w:val="auto"/>
          <w:szCs w:val="21"/>
          <w:lang w:eastAsia="zh-TW"/>
        </w:rPr>
        <w:t>写投标函、开标一览表(报价表)、投标分项报价表（如适用）以及招标文件中规定的其它</w:t>
      </w:r>
      <w:r>
        <w:rPr>
          <w:rFonts w:hint="eastAsia" w:ascii="宋体" w:hAnsi="宋体" w:cs="宋体"/>
          <w:color w:val="auto"/>
          <w:szCs w:val="21"/>
        </w:rPr>
        <w:t>所有</w:t>
      </w:r>
      <w:r>
        <w:rPr>
          <w:rFonts w:hint="eastAsia" w:ascii="宋体" w:hAnsi="宋体" w:cs="宋体"/>
          <w:color w:val="auto"/>
          <w:szCs w:val="21"/>
          <w:lang w:eastAsia="zh-TW"/>
        </w:rPr>
        <w:t>内容。</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45"/>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投标人必须对投标文件所提供的全部资料的真实性承担法律责任，并无条件接受招标采购单位及监管部门等对其中任何资料进行核实的要求。</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文件要求的部分内容和附件，或没有提供招标文件中所要求的全部资料及数据，由此造成的后果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投标报价</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rPr>
        <w:t>四</w:t>
      </w:r>
      <w:r>
        <w:rPr>
          <w:rFonts w:hint="eastAsia" w:ascii="宋体" w:hAnsi="宋体" w:cs="宋体"/>
          <w:color w:val="auto"/>
          <w:szCs w:val="21"/>
          <w:lang w:eastAsia="zh-TW"/>
        </w:rPr>
        <w:t>章　用户需求书”</w:t>
      </w:r>
      <w:r>
        <w:rPr>
          <w:rFonts w:hint="eastAsia" w:ascii="宋体" w:hAnsi="宋体" w:cs="宋体"/>
          <w:color w:val="auto"/>
          <w:szCs w:val="21"/>
        </w:rPr>
        <w:t>中</w:t>
      </w:r>
      <w:r>
        <w:rPr>
          <w:rFonts w:hint="eastAsia" w:ascii="宋体" w:hAnsi="宋体" w:cs="宋体"/>
          <w:color w:val="auto"/>
          <w:szCs w:val="21"/>
          <w:lang w:eastAsia="zh-TW"/>
        </w:rPr>
        <w:t>采购项目</w:t>
      </w:r>
      <w:r>
        <w:rPr>
          <w:rFonts w:hint="eastAsia" w:ascii="宋体" w:hAnsi="宋体" w:cs="宋体"/>
          <w:color w:val="auto"/>
          <w:szCs w:val="21"/>
        </w:rPr>
        <w:t>服务</w:t>
      </w:r>
      <w:r>
        <w:rPr>
          <w:rFonts w:hint="eastAsia" w:ascii="宋体" w:hAnsi="宋体" w:cs="宋体"/>
          <w:color w:val="auto"/>
          <w:szCs w:val="21"/>
          <w:lang w:eastAsia="zh-TW"/>
        </w:rPr>
        <w:t>要求规定的内容、责任范围进行报价。并按《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投标分项报价表</w:t>
      </w:r>
      <w:r>
        <w:rPr>
          <w:rFonts w:hint="eastAsia" w:ascii="宋体" w:hAnsi="宋体" w:cs="宋体"/>
          <w:color w:val="auto"/>
          <w:szCs w:val="21"/>
        </w:rPr>
        <w:t>内容应包含：</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olor w:val="auto"/>
          <w:szCs w:val="21"/>
        </w:rPr>
      </w:pPr>
      <w:r>
        <w:rPr>
          <w:rFonts w:hint="eastAsia" w:ascii="宋体" w:hAnsi="宋体" w:cs="宋体"/>
          <w:color w:val="auto"/>
          <w:szCs w:val="21"/>
        </w:rPr>
        <w:t>投标报价包含履行合同所有相关服务所需的费用；</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投标报价均应包含所有的税费；</w:t>
      </w:r>
    </w:p>
    <w:p>
      <w:pPr>
        <w:numPr>
          <w:ilvl w:val="2"/>
          <w:numId w:val="4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其他一切隐含及不可预见的费用；</w:t>
      </w:r>
    </w:p>
    <w:p>
      <w:pPr>
        <w:numPr>
          <w:ilvl w:val="1"/>
          <w:numId w:val="4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对于报价免费的</w:t>
      </w:r>
      <w:r>
        <w:rPr>
          <w:rFonts w:hint="eastAsia" w:ascii="宋体" w:hAnsi="宋体" w:cs="宋体"/>
          <w:color w:val="auto"/>
          <w:szCs w:val="21"/>
        </w:rPr>
        <w:t>内容</w:t>
      </w:r>
      <w:r>
        <w:rPr>
          <w:rFonts w:hint="eastAsia" w:ascii="宋体" w:hAnsi="宋体" w:cs="宋体"/>
          <w:color w:val="auto"/>
          <w:szCs w:val="21"/>
          <w:lang w:eastAsia="zh-TW"/>
        </w:rPr>
        <w:t>须标明“免费”。</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投标人根据本须知</w:t>
      </w:r>
      <w:r>
        <w:rPr>
          <w:rFonts w:hint="eastAsia" w:ascii="宋体" w:hAnsi="宋体" w:cs="宋体"/>
          <w:color w:val="auto"/>
          <w:szCs w:val="21"/>
        </w:rPr>
        <w:t>第17.3条</w:t>
      </w:r>
      <w:r>
        <w:rPr>
          <w:rFonts w:hint="eastAsia" w:ascii="宋体" w:hAnsi="宋体" w:cs="宋体"/>
          <w:color w:val="auto"/>
          <w:szCs w:val="21"/>
          <w:lang w:eastAsia="zh-TW"/>
        </w:rPr>
        <w:t>的规定将投标</w:t>
      </w:r>
      <w:r>
        <w:rPr>
          <w:rFonts w:hint="eastAsia" w:ascii="宋体" w:hAnsi="宋体" w:cs="宋体"/>
          <w:color w:val="auto"/>
          <w:szCs w:val="21"/>
        </w:rPr>
        <w:t>报</w:t>
      </w:r>
      <w:r>
        <w:rPr>
          <w:rFonts w:hint="eastAsia" w:ascii="宋体" w:hAnsi="宋体" w:cs="宋体"/>
          <w:color w:val="auto"/>
          <w:szCs w:val="21"/>
          <w:lang w:eastAsia="zh-TW"/>
        </w:rPr>
        <w:t>价分成几部分</w:t>
      </w:r>
      <w:r>
        <w:rPr>
          <w:rFonts w:hint="eastAsia" w:ascii="宋体" w:hAnsi="宋体" w:cs="宋体"/>
          <w:color w:val="auto"/>
          <w:szCs w:val="21"/>
        </w:rPr>
        <w:t>，</w:t>
      </w:r>
      <w:r>
        <w:rPr>
          <w:rFonts w:hint="eastAsia" w:ascii="宋体" w:hAnsi="宋体" w:cs="宋体"/>
          <w:color w:val="auto"/>
          <w:szCs w:val="21"/>
          <w:lang w:eastAsia="zh-TW"/>
        </w:rPr>
        <w:t>只是为了方便对</w:t>
      </w:r>
      <w:r>
        <w:rPr>
          <w:rFonts w:hint="eastAsia" w:ascii="宋体" w:hAnsi="宋体" w:cs="宋体"/>
          <w:color w:val="auto"/>
          <w:szCs w:val="21"/>
        </w:rPr>
        <w:t>投标文件进行比较，</w:t>
      </w:r>
      <w:r>
        <w:rPr>
          <w:rFonts w:hint="eastAsia" w:ascii="宋体" w:hAnsi="宋体" w:cs="宋体"/>
          <w:color w:val="auto"/>
          <w:szCs w:val="21"/>
          <w:lang w:eastAsia="zh-TW"/>
        </w:rPr>
        <w:t>并不限制采购人以上述任何条件订立合同的权力。</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s="宋体"/>
          <w:color w:val="auto"/>
          <w:szCs w:val="21"/>
        </w:rPr>
        <w:t>另</w:t>
      </w:r>
      <w:r>
        <w:rPr>
          <w:rFonts w:hint="eastAsia" w:ascii="宋体" w:hAnsi="宋体"/>
          <w:color w:val="auto"/>
          <w:szCs w:val="21"/>
        </w:rPr>
        <w:t>有规定外，本次招标不接受具有附加条件的报价，</w:t>
      </w:r>
      <w:r>
        <w:rPr>
          <w:rFonts w:hint="eastAsia" w:ascii="宋体" w:hAnsi="宋体" w:cs="宋体"/>
          <w:color w:val="auto"/>
          <w:szCs w:val="21"/>
        </w:rPr>
        <w:t>否则将被视为无效投标。</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投标货币</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投标人提供的货物及服务在投标时必须用人民币报价。否则，将导致其投标无效。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联合体投标</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除非投标邀请函中另有规定，不接受联合体投标。如果投标邀请函中规定允许联合体投标的，则必须满足：</w:t>
      </w:r>
    </w:p>
    <w:p>
      <w:pPr>
        <w:numPr>
          <w:ilvl w:val="2"/>
          <w:numId w:val="45"/>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 xml:space="preserve">以联合体形式参加投标的，联合体各方均必须符合本须知“合格的投标人”的一般规定，并至少有一方符合“供应商资格”的特殊条款要求； </w:t>
      </w:r>
    </w:p>
    <w:p>
      <w:pPr>
        <w:numPr>
          <w:ilvl w:val="2"/>
          <w:numId w:val="45"/>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采购</w:t>
      </w:r>
      <w:r>
        <w:rPr>
          <w:rFonts w:ascii="宋体" w:hAnsi="宋体"/>
          <w:color w:val="auto"/>
          <w:szCs w:val="21"/>
        </w:rPr>
        <w:t>人签订合同。</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证明投标人合格和资格的文件</w:t>
      </w:r>
    </w:p>
    <w:p>
      <w:pPr>
        <w:numPr>
          <w:ilvl w:val="1"/>
          <w:numId w:val="45"/>
        </w:numPr>
        <w:autoSpaceDE w:val="0"/>
        <w:autoSpaceDN w:val="0"/>
        <w:adjustRightInd w:val="0"/>
        <w:snapToGrid w:val="0"/>
        <w:spacing w:line="360" w:lineRule="auto"/>
        <w:rPr>
          <w:rFonts w:ascii="宋体" w:hAnsi="宋体" w:cs="黑体"/>
          <w:b/>
          <w:bCs/>
          <w:color w:val="auto"/>
          <w:szCs w:val="21"/>
        </w:rPr>
      </w:pPr>
      <w:bookmarkStart w:id="78" w:name="_Toc237787518"/>
      <w:r>
        <w:rPr>
          <w:rFonts w:hint="eastAsia" w:ascii="宋体" w:hAnsi="宋体"/>
          <w:color w:val="auto"/>
          <w:szCs w:val="21"/>
        </w:rPr>
        <w:t>投标人应提交证明其有资格参加投标和中标后有能力履行合同的文件，并作为其投标文件的一部分。</w:t>
      </w:r>
      <w:bookmarkEnd w:id="78"/>
      <w:r>
        <w:rPr>
          <w:rFonts w:hint="eastAsia" w:ascii="宋体" w:hAnsi="宋体"/>
          <w:color w:val="auto"/>
          <w:szCs w:val="21"/>
        </w:rPr>
        <w:t>本次招标是否允许联合体投标见投标邀请函，</w:t>
      </w:r>
      <w:r>
        <w:rPr>
          <w:rFonts w:hint="eastAsia" w:ascii="宋体" w:hAnsi="宋体" w:cs="宋体"/>
          <w:color w:val="auto"/>
          <w:szCs w:val="21"/>
          <w:lang w:eastAsia="zh-TW"/>
        </w:rPr>
        <w:t>如果</w:t>
      </w:r>
      <w:r>
        <w:rPr>
          <w:rFonts w:hint="eastAsia" w:ascii="宋体" w:hAnsi="宋体" w:cs="宋体"/>
          <w:color w:val="auto"/>
          <w:szCs w:val="21"/>
        </w:rPr>
        <w:t>允许联合体投标，应</w:t>
      </w:r>
      <w:r>
        <w:rPr>
          <w:rFonts w:hint="eastAsia" w:ascii="宋体" w:hAnsi="宋体" w:cs="宋体"/>
          <w:color w:val="auto"/>
          <w:szCs w:val="21"/>
          <w:lang w:eastAsia="zh-TW"/>
        </w:rPr>
        <w:t>提交联合体各方的资格证明文件、</w:t>
      </w:r>
      <w:r>
        <w:rPr>
          <w:rFonts w:hint="eastAsia" w:ascii="宋体" w:hAnsi="宋体" w:cs="宋体"/>
          <w:color w:val="auto"/>
          <w:szCs w:val="21"/>
        </w:rPr>
        <w:t>共同投标协议</w:t>
      </w:r>
      <w:r>
        <w:rPr>
          <w:rFonts w:hint="eastAsia" w:ascii="宋体" w:hAnsi="宋体" w:cs="宋体"/>
          <w:color w:val="auto"/>
          <w:szCs w:val="21"/>
          <w:lang w:eastAsia="zh-TW"/>
        </w:rPr>
        <w:t>并注明主体方</w:t>
      </w:r>
      <w:r>
        <w:rPr>
          <w:rFonts w:hint="eastAsia" w:ascii="宋体" w:hAnsi="宋体" w:cs="宋体"/>
          <w:color w:val="auto"/>
          <w:szCs w:val="21"/>
        </w:rPr>
        <w:t>及各方拟承担的工作和责任，并承诺一旦中标联合体各方将向采购人承担连带责任。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hAnsi="宋体" w:cs="宋体"/>
          <w:color w:val="auto"/>
          <w:szCs w:val="21"/>
          <w:lang w:eastAsia="zh-TW"/>
        </w:rPr>
        <w:t>本须知定义的合格投标人。</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证明服务的合格性和符合招标文件规定的文件</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投标人应提交证明文件，证明其拟投标的服务的合格性符合招标文件规定。该证明文件作为投标文件的一部分。</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证明服务与招标文件的要求相一致的文件，可以是文字资料、图纸和数据，它包括：</w:t>
      </w:r>
    </w:p>
    <w:p>
      <w:pPr>
        <w:numPr>
          <w:ilvl w:val="2"/>
          <w:numId w:val="45"/>
        </w:numPr>
        <w:tabs>
          <w:tab w:val="left" w:pos="784"/>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服务主要内容、方案、质量、标准指标等的详细说明；</w:t>
      </w:r>
    </w:p>
    <w:p>
      <w:pPr>
        <w:numPr>
          <w:ilvl w:val="2"/>
          <w:numId w:val="45"/>
        </w:numPr>
        <w:tabs>
          <w:tab w:val="left" w:pos="770"/>
          <w:tab w:val="clear" w:pos="567"/>
        </w:tabs>
        <w:autoSpaceDE w:val="0"/>
        <w:autoSpaceDN w:val="0"/>
        <w:adjustRightInd w:val="0"/>
        <w:snapToGrid w:val="0"/>
        <w:spacing w:line="360" w:lineRule="auto"/>
        <w:ind w:left="770" w:hanging="770"/>
        <w:rPr>
          <w:rFonts w:ascii="宋体" w:hAnsi="宋体" w:cs="宋体"/>
          <w:color w:val="auto"/>
          <w:szCs w:val="21"/>
        </w:rPr>
      </w:pPr>
      <w:r>
        <w:rPr>
          <w:rFonts w:hint="eastAsia" w:ascii="宋体" w:hAnsi="宋体" w:cs="宋体"/>
          <w:color w:val="auto"/>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投标有效期</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w:t>
      </w:r>
      <w:r>
        <w:rPr>
          <w:rFonts w:hint="eastAsia" w:ascii="宋体" w:hAnsi="宋体" w:cs="宋体"/>
          <w:color w:val="auto"/>
          <w:szCs w:val="21"/>
        </w:rPr>
        <w:t>投标文件递交截止时间</w:t>
      </w:r>
      <w:r>
        <w:rPr>
          <w:rFonts w:hint="eastAsia" w:ascii="宋体" w:hAnsi="宋体" w:cs="宋体"/>
          <w:color w:val="auto"/>
          <w:szCs w:val="21"/>
          <w:lang w:eastAsia="zh-TW"/>
        </w:rPr>
        <w:t>起</w:t>
      </w:r>
      <w:r>
        <w:rPr>
          <w:rFonts w:hint="eastAsia" w:ascii="宋体" w:hAnsi="宋体" w:cs="宋体"/>
          <w:color w:val="auto"/>
          <w:szCs w:val="21"/>
        </w:rPr>
        <w:t>，</w:t>
      </w:r>
      <w:r>
        <w:rPr>
          <w:rFonts w:hint="eastAsia" w:ascii="宋体" w:hAnsi="宋体" w:cs="宋体"/>
          <w:color w:val="auto"/>
          <w:szCs w:val="21"/>
          <w:lang w:eastAsia="zh-TW"/>
        </w:rPr>
        <w:t>并在</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投标文件的式样和签署</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投标人应准备一份投标文件正本和</w:t>
      </w:r>
      <w:r>
        <w:rPr>
          <w:rFonts w:hint="eastAsia" w:ascii="宋体" w:hAnsi="宋体"/>
          <w:b/>
          <w:color w:val="auto"/>
          <w:szCs w:val="21"/>
        </w:rPr>
        <w:t>投标资料表</w:t>
      </w:r>
      <w:r>
        <w:rPr>
          <w:rFonts w:hint="eastAsia" w:ascii="宋体" w:hAnsi="宋体"/>
          <w:color w:val="auto"/>
          <w:szCs w:val="21"/>
        </w:rPr>
        <w:t>中规定数目的副本，投标文件原则上采用A4纸制做。每套投标文件须清楚地标明“正本”或“副本”。若正本和副本不符，以正本为准。</w:t>
      </w:r>
      <w:bookmarkStart w:id="79" w:name="_Toc237787559"/>
      <w:r>
        <w:rPr>
          <w:rFonts w:hint="eastAsia" w:ascii="宋体" w:hAnsi="宋体"/>
          <w:color w:val="auto"/>
          <w:szCs w:val="21"/>
        </w:rPr>
        <w:t>投标人应按</w:t>
      </w:r>
      <w:r>
        <w:rPr>
          <w:rFonts w:hint="eastAsia" w:ascii="宋体" w:hAnsi="宋体"/>
          <w:b/>
          <w:color w:val="auto"/>
          <w:szCs w:val="21"/>
        </w:rPr>
        <w:t>投标资料表</w:t>
      </w:r>
      <w:r>
        <w:rPr>
          <w:rFonts w:hint="eastAsia" w:ascii="宋体" w:hAnsi="宋体"/>
          <w:color w:val="auto"/>
          <w:szCs w:val="21"/>
        </w:rPr>
        <w:t>的规定，同时提交电子介质的投标文件。</w:t>
      </w:r>
      <w:bookmarkEnd w:id="79"/>
      <w:r>
        <w:rPr>
          <w:rFonts w:hint="eastAsia" w:ascii="宋体" w:hAnsi="宋体"/>
          <w:color w:val="auto"/>
          <w:szCs w:val="21"/>
        </w:rPr>
        <w:t>电子介质的投标文件与纸质投标文件具有同等的法律效力。除非</w:t>
      </w:r>
      <w:r>
        <w:rPr>
          <w:rFonts w:hint="eastAsia" w:ascii="宋体" w:hAnsi="宋体"/>
          <w:b/>
          <w:color w:val="auto"/>
          <w:szCs w:val="21"/>
        </w:rPr>
        <w:t>投标资料表</w:t>
      </w:r>
      <w:r>
        <w:rPr>
          <w:rFonts w:hint="eastAsia" w:ascii="宋体" w:hAnsi="宋体"/>
          <w:color w:val="auto"/>
          <w:szCs w:val="21"/>
        </w:rPr>
        <w:t>中另有规定，电子介质的投标文件与纸质投标文件不一致时，以纸质投标文件为准。</w:t>
      </w:r>
    </w:p>
    <w:p>
      <w:pPr>
        <w:widowControl/>
        <w:numPr>
          <w:ilvl w:val="1"/>
          <w:numId w:val="45"/>
        </w:numPr>
        <w:adjustRightInd w:val="0"/>
        <w:snapToGrid w:val="0"/>
        <w:spacing w:line="360" w:lineRule="auto"/>
        <w:jc w:val="left"/>
        <w:rPr>
          <w:rFonts w:ascii="宋体" w:hAnsi="宋体"/>
          <w:color w:val="auto"/>
          <w:szCs w:val="21"/>
        </w:rPr>
      </w:pPr>
      <w:bookmarkStart w:id="80" w:name="_Toc237787560"/>
      <w:r>
        <w:rPr>
          <w:rFonts w:hint="eastAsia" w:ascii="宋体" w:hAnsi="宋体"/>
          <w:color w:val="auto"/>
          <w:szCs w:val="21"/>
        </w:rPr>
        <w:t>投标文件正本须用不褪色墨水书写或打印，由投标人的法定代表人或经其正式授权</w:t>
      </w:r>
      <w:bookmarkEnd w:id="80"/>
      <w:bookmarkStart w:id="81" w:name="_Toc237787561"/>
      <w:r>
        <w:rPr>
          <w:rFonts w:hint="eastAsia" w:ascii="宋体" w:hAnsi="宋体"/>
          <w:color w:val="auto"/>
          <w:szCs w:val="21"/>
        </w:rPr>
        <w:t>的代表签署本人姓名或印盖本人姓名章，不得加盖合同专用章、投标人专用章等各种形式的专用章。授权代表须将以书面形式出具的</w:t>
      </w:r>
      <w:r>
        <w:rPr>
          <w:rFonts w:hint="eastAsia" w:ascii="宋体" w:hAnsi="宋体" w:cs="宋体"/>
          <w:color w:val="auto"/>
          <w:szCs w:val="21"/>
        </w:rPr>
        <w:t>《法定代表人授权委托书》</w:t>
      </w:r>
      <w:r>
        <w:rPr>
          <w:rFonts w:hint="eastAsia" w:ascii="宋体" w:hAnsi="宋体"/>
          <w:color w:val="auto"/>
          <w:szCs w:val="21"/>
        </w:rPr>
        <w:t>附在投标文件中。</w:t>
      </w:r>
      <w:bookmarkEnd w:id="81"/>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投标文件中的任何重要的插字、涂改和增删，必须由法定代表人或经其正式授权的代表在旁边签署本人姓名或印盖本人姓名章才有效。</w:t>
      </w:r>
    </w:p>
    <w:p>
      <w:pPr>
        <w:widowControl/>
        <w:numPr>
          <w:ilvl w:val="1"/>
          <w:numId w:val="45"/>
        </w:numPr>
        <w:adjustRightInd w:val="0"/>
        <w:snapToGrid w:val="0"/>
        <w:spacing w:line="360" w:lineRule="auto"/>
        <w:jc w:val="left"/>
        <w:rPr>
          <w:rFonts w:ascii="宋体" w:hAnsi="宋体"/>
          <w:b/>
          <w:bCs/>
          <w:color w:val="auto"/>
          <w:szCs w:val="21"/>
        </w:rPr>
      </w:pPr>
      <w:bookmarkStart w:id="82" w:name="_Toc237787563"/>
      <w:r>
        <w:rPr>
          <w:rFonts w:hint="eastAsia" w:ascii="宋体" w:hAnsi="宋体"/>
          <w:b/>
          <w:bCs/>
          <w:color w:val="auto"/>
          <w:szCs w:val="21"/>
        </w:rPr>
        <w:t>投标文件的正本，招标文件中已明示需盖章签名处，均须由投标人加盖投标人公章，并经投标人法定代表人或其正式授权的代表</w:t>
      </w:r>
      <w:bookmarkEnd w:id="82"/>
      <w:bookmarkStart w:id="83" w:name="_Toc237787564"/>
      <w:r>
        <w:rPr>
          <w:rFonts w:hint="eastAsia" w:ascii="宋体" w:hAnsi="宋体"/>
          <w:b/>
          <w:bCs/>
          <w:color w:val="auto"/>
          <w:szCs w:val="21"/>
        </w:rPr>
        <w:t>签署本人姓名或印盖本人姓名章。投标文件副本</w:t>
      </w:r>
      <w:bookmarkEnd w:id="83"/>
      <w:r>
        <w:rPr>
          <w:rFonts w:hint="eastAsia" w:ascii="宋体" w:hAnsi="宋体"/>
          <w:b/>
          <w:bCs/>
          <w:color w:val="auto"/>
          <w:szCs w:val="21"/>
        </w:rPr>
        <w:t>应为正本的复印件。</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84" w:name="_Toc438223023"/>
      <w:bookmarkStart w:id="85" w:name="_Toc435542348"/>
      <w:r>
        <w:rPr>
          <w:rFonts w:hint="eastAsia" w:ascii="宋体" w:hAnsi="宋体"/>
          <w:b/>
          <w:color w:val="auto"/>
          <w:sz w:val="28"/>
          <w:szCs w:val="28"/>
          <w:lang w:eastAsia="zh-TW"/>
        </w:rPr>
        <w:t>投标文件的递交</w:t>
      </w:r>
      <w:bookmarkEnd w:id="84"/>
      <w:bookmarkEnd w:id="85"/>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投标文件的密封和标记</w:t>
      </w:r>
    </w:p>
    <w:p>
      <w:pPr>
        <w:spacing w:line="440" w:lineRule="exact"/>
        <w:rPr>
          <w:rFonts w:ascii="宋体" w:hAnsi="宋体" w:cs="黑体"/>
          <w:bCs/>
          <w:color w:val="auto"/>
          <w:szCs w:val="21"/>
        </w:rPr>
      </w:pPr>
      <w:r>
        <w:rPr>
          <w:rFonts w:hint="eastAsia" w:ascii="宋体" w:hAnsi="宋体"/>
          <w:color w:val="auto"/>
          <w:szCs w:val="21"/>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color w:val="auto"/>
          <w:szCs w:val="21"/>
        </w:rPr>
        <w:t>开标信封</w:t>
      </w:r>
      <w:r>
        <w:rPr>
          <w:rFonts w:hint="eastAsia" w:ascii="宋体" w:hAnsi="宋体"/>
          <w:color w:val="auto"/>
          <w:szCs w:val="21"/>
        </w:rPr>
        <w:t>”字样。投标人应将投标文件正本和所有的副本分开密封装在单独的信封中，且在信封上标明</w:t>
      </w:r>
      <w:r>
        <w:rPr>
          <w:rFonts w:hint="eastAsia" w:ascii="宋体" w:hAnsi="宋体"/>
          <w:b/>
          <w:color w:val="auto"/>
          <w:szCs w:val="21"/>
        </w:rPr>
        <w:t>“正本”、“副本”</w:t>
      </w:r>
      <w:r>
        <w:rPr>
          <w:rFonts w:hint="eastAsia" w:ascii="宋体" w:hAnsi="宋体"/>
          <w:color w:val="auto"/>
          <w:szCs w:val="21"/>
        </w:rPr>
        <w:t>字样。“开标信封”是投标文件的组成部分。</w:t>
      </w:r>
    </w:p>
    <w:p>
      <w:pPr>
        <w:widowControl/>
        <w:numPr>
          <w:ilvl w:val="1"/>
          <w:numId w:val="45"/>
        </w:numPr>
        <w:adjustRightInd w:val="0"/>
        <w:snapToGrid w:val="0"/>
        <w:spacing w:line="360" w:lineRule="auto"/>
        <w:jc w:val="left"/>
        <w:rPr>
          <w:rFonts w:ascii="宋体" w:hAnsi="宋体"/>
          <w:color w:val="auto"/>
          <w:szCs w:val="21"/>
        </w:rPr>
      </w:pPr>
      <w:bookmarkStart w:id="86" w:name="_Toc237787569"/>
      <w:r>
        <w:rPr>
          <w:rFonts w:hint="eastAsia" w:ascii="宋体" w:hAnsi="宋体"/>
          <w:color w:val="auto"/>
          <w:szCs w:val="21"/>
        </w:rPr>
        <w:t>内外层信封均应</w:t>
      </w:r>
      <w:bookmarkEnd w:id="86"/>
      <w:r>
        <w:rPr>
          <w:rFonts w:hint="eastAsia" w:ascii="宋体" w:hAnsi="宋体" w:cs="宋体"/>
          <w:color w:val="auto"/>
          <w:szCs w:val="21"/>
        </w:rPr>
        <w:t>：</w:t>
      </w:r>
    </w:p>
    <w:p>
      <w:pPr>
        <w:widowControl/>
        <w:numPr>
          <w:ilvl w:val="2"/>
          <w:numId w:val="45"/>
        </w:numPr>
        <w:adjustRightInd w:val="0"/>
        <w:snapToGrid w:val="0"/>
        <w:spacing w:line="360" w:lineRule="auto"/>
        <w:jc w:val="left"/>
        <w:rPr>
          <w:rFonts w:ascii="宋体" w:hAnsi="宋体"/>
          <w:color w:val="auto"/>
          <w:szCs w:val="21"/>
        </w:rPr>
      </w:pPr>
      <w:r>
        <w:rPr>
          <w:rFonts w:hint="eastAsia" w:ascii="宋体" w:hAnsi="宋体"/>
          <w:color w:val="auto"/>
          <w:szCs w:val="21"/>
        </w:rPr>
        <w:t>清楚注明递交至投标邀请函中指明的地址；</w:t>
      </w:r>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87" w:name="_Toc237787571"/>
      <w:r>
        <w:rPr>
          <w:rFonts w:hint="eastAsia" w:ascii="宋体" w:hAnsi="宋体"/>
          <w:color w:val="auto"/>
          <w:szCs w:val="21"/>
        </w:rPr>
        <w:t>注明投标邀请函中指明的采购项目名称、项目编号和在（</w:t>
      </w:r>
      <w:r>
        <w:rPr>
          <w:rFonts w:hint="eastAsia" w:ascii="宋体" w:hAnsi="宋体"/>
          <w:i/>
          <w:color w:val="auto"/>
          <w:szCs w:val="21"/>
          <w:u w:val="single"/>
        </w:rPr>
        <w:t>开标日期和时间</w:t>
      </w:r>
      <w:r>
        <w:rPr>
          <w:rFonts w:hint="eastAsia" w:ascii="宋体" w:hAnsi="宋体"/>
          <w:color w:val="auto"/>
          <w:szCs w:val="21"/>
        </w:rPr>
        <w:t>）之前不得启封”</w:t>
      </w:r>
      <w:bookmarkEnd w:id="87"/>
      <w:bookmarkStart w:id="88" w:name="_Toc237787572"/>
      <w:r>
        <w:rPr>
          <w:rFonts w:hint="eastAsia" w:ascii="宋体" w:hAnsi="宋体"/>
          <w:color w:val="auto"/>
          <w:szCs w:val="21"/>
        </w:rPr>
        <w:t>的字样，并填入投标邀请函中规定的开标日期和时间</w:t>
      </w:r>
      <w:bookmarkEnd w:id="88"/>
      <w:r>
        <w:rPr>
          <w:rFonts w:hint="eastAsia" w:ascii="宋体" w:hAnsi="宋体"/>
          <w:color w:val="auto"/>
          <w:szCs w:val="21"/>
        </w:rPr>
        <w:t>；</w:t>
      </w:r>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89" w:name="_Toc237787573"/>
      <w:r>
        <w:rPr>
          <w:rFonts w:hint="eastAsia" w:ascii="宋体" w:hAnsi="宋体"/>
          <w:color w:val="auto"/>
          <w:szCs w:val="21"/>
        </w:rPr>
        <w:t>内层信封应写明投标人名称和地址，以便将迟交的投标文件能原封</w:t>
      </w:r>
      <w:bookmarkEnd w:id="89"/>
      <w:bookmarkStart w:id="90" w:name="_Toc237787574"/>
      <w:r>
        <w:rPr>
          <w:rFonts w:hint="eastAsia" w:ascii="宋体" w:hAnsi="宋体"/>
          <w:color w:val="auto"/>
          <w:szCs w:val="21"/>
        </w:rPr>
        <w:t>退回。</w:t>
      </w:r>
      <w:bookmarkEnd w:id="90"/>
    </w:p>
    <w:p>
      <w:pPr>
        <w:widowControl/>
        <w:numPr>
          <w:ilvl w:val="2"/>
          <w:numId w:val="45"/>
        </w:numPr>
        <w:tabs>
          <w:tab w:val="clear" w:pos="567"/>
        </w:tabs>
        <w:adjustRightInd w:val="0"/>
        <w:snapToGrid w:val="0"/>
        <w:spacing w:line="360" w:lineRule="auto"/>
        <w:ind w:left="851" w:hanging="851"/>
        <w:jc w:val="left"/>
        <w:rPr>
          <w:rFonts w:ascii="宋体" w:hAnsi="宋体"/>
          <w:color w:val="auto"/>
          <w:szCs w:val="21"/>
        </w:rPr>
      </w:pPr>
      <w:bookmarkStart w:id="91" w:name="_Toc237787575"/>
      <w:r>
        <w:rPr>
          <w:rFonts w:hint="eastAsia" w:ascii="宋体" w:hAnsi="宋体"/>
          <w:color w:val="auto"/>
          <w:szCs w:val="21"/>
        </w:rPr>
        <w:t>如果外层信封未按本须知的要求加写标记，采购人和采购代理机构</w:t>
      </w:r>
      <w:bookmarkEnd w:id="91"/>
      <w:bookmarkStart w:id="92" w:name="_Toc237787576"/>
      <w:r>
        <w:rPr>
          <w:rFonts w:hint="eastAsia" w:ascii="宋体" w:hAnsi="宋体"/>
          <w:color w:val="auto"/>
          <w:szCs w:val="21"/>
        </w:rPr>
        <w:t>对误投或提前启封概不负责</w:t>
      </w:r>
      <w:bookmarkEnd w:id="92"/>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投标截止期</w:t>
      </w:r>
    </w:p>
    <w:p>
      <w:pPr>
        <w:numPr>
          <w:ilvl w:val="1"/>
          <w:numId w:val="45"/>
        </w:numPr>
        <w:autoSpaceDE w:val="0"/>
        <w:autoSpaceDN w:val="0"/>
        <w:adjustRightInd w:val="0"/>
        <w:snapToGrid w:val="0"/>
        <w:spacing w:line="360" w:lineRule="auto"/>
        <w:rPr>
          <w:rFonts w:ascii="宋体" w:hAnsi="宋体" w:cs="黑体"/>
          <w:bCs/>
          <w:color w:val="auto"/>
          <w:szCs w:val="21"/>
        </w:rPr>
      </w:pPr>
      <w:r>
        <w:rPr>
          <w:rFonts w:hint="eastAsia" w:ascii="宋体" w:hAnsi="宋体" w:cs="宋体"/>
          <w:color w:val="auto"/>
          <w:szCs w:val="21"/>
          <w:lang w:eastAsia="zh-TW"/>
        </w:rPr>
        <w:t>投标人应在不迟于</w:t>
      </w:r>
      <w:r>
        <w:rPr>
          <w:rFonts w:hint="eastAsia" w:ascii="宋体" w:hAnsi="宋体" w:cs="宋体"/>
          <w:color w:val="auto"/>
          <w:szCs w:val="21"/>
        </w:rPr>
        <w:t>投标邀请函</w:t>
      </w:r>
      <w:r>
        <w:rPr>
          <w:rFonts w:hint="eastAsia" w:ascii="宋体" w:hAnsi="宋体" w:cs="宋体"/>
          <w:color w:val="auto"/>
          <w:szCs w:val="21"/>
          <w:lang w:eastAsia="zh-TW"/>
        </w:rPr>
        <w:t>中规定的截止日期和时间将投标文件递交至采购代理机构</w:t>
      </w:r>
      <w:r>
        <w:rPr>
          <w:rFonts w:hint="eastAsia" w:ascii="宋体" w:hAnsi="宋体" w:cs="宋体"/>
          <w:color w:val="auto"/>
          <w:szCs w:val="21"/>
        </w:rPr>
        <w:t>，</w:t>
      </w:r>
      <w:r>
        <w:rPr>
          <w:rFonts w:hint="eastAsia" w:ascii="宋体" w:hAnsi="宋体" w:cs="宋体"/>
          <w:color w:val="auto"/>
          <w:szCs w:val="21"/>
          <w:lang w:eastAsia="zh-TW"/>
        </w:rPr>
        <w:t>递交地点应是</w:t>
      </w:r>
      <w:r>
        <w:rPr>
          <w:rFonts w:hint="eastAsia" w:ascii="宋体" w:hAnsi="宋体" w:cs="宋体"/>
          <w:color w:val="auto"/>
          <w:szCs w:val="21"/>
        </w:rPr>
        <w:t>投标邀请函</w:t>
      </w:r>
      <w:r>
        <w:rPr>
          <w:rFonts w:hint="eastAsia" w:ascii="宋体" w:hAnsi="宋体" w:cs="宋体"/>
          <w:color w:val="auto"/>
          <w:szCs w:val="21"/>
          <w:lang w:eastAsia="zh-TW"/>
        </w:rPr>
        <w:t>中指明的地址。</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color w:val="auto"/>
          <w:szCs w:val="21"/>
        </w:rPr>
        <w:t>，</w:t>
      </w:r>
      <w:r>
        <w:rPr>
          <w:rFonts w:hint="eastAsia" w:ascii="宋体" w:hAnsi="宋体" w:cs="宋体"/>
          <w:color w:val="auto"/>
          <w:szCs w:val="21"/>
          <w:lang w:eastAsia="zh-TW"/>
        </w:rPr>
        <w:t>招标采购单位和投标人受投标截止期制约的所有权利和义务均应延长至新的截止期。</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采购代理机构</w:t>
      </w:r>
      <w:r>
        <w:rPr>
          <w:rFonts w:hint="eastAsia" w:ascii="宋体" w:hAnsi="宋体" w:cs="宋体"/>
          <w:color w:val="auto"/>
          <w:szCs w:val="21"/>
          <w:lang w:eastAsia="zh-TW"/>
        </w:rPr>
        <w:t>将</w:t>
      </w:r>
      <w:r>
        <w:rPr>
          <w:rFonts w:hint="eastAsia" w:ascii="宋体" w:hAnsi="宋体" w:cs="宋体"/>
          <w:color w:val="auto"/>
          <w:szCs w:val="21"/>
        </w:rPr>
        <w:t>拒收</w:t>
      </w:r>
      <w:r>
        <w:rPr>
          <w:rFonts w:hint="eastAsia" w:ascii="宋体" w:hAnsi="宋体" w:cs="宋体"/>
          <w:color w:val="auto"/>
          <w:szCs w:val="21"/>
          <w:lang w:eastAsia="zh-TW"/>
        </w:rPr>
        <w:t>在</w:t>
      </w:r>
      <w:r>
        <w:rPr>
          <w:rFonts w:hint="eastAsia" w:ascii="宋体" w:hAnsi="宋体" w:cs="宋体"/>
          <w:color w:val="auto"/>
          <w:szCs w:val="21"/>
        </w:rPr>
        <w:t>招标文件</w:t>
      </w:r>
      <w:r>
        <w:rPr>
          <w:rFonts w:hint="eastAsia" w:ascii="宋体" w:hAnsi="宋体" w:cs="宋体"/>
          <w:color w:val="auto"/>
          <w:szCs w:val="21"/>
          <w:lang w:eastAsia="zh-TW"/>
        </w:rPr>
        <w:t>规定的</w:t>
      </w:r>
      <w:r>
        <w:rPr>
          <w:rFonts w:hint="eastAsia" w:ascii="宋体" w:hAnsi="宋体" w:cs="宋体"/>
          <w:color w:val="auto"/>
          <w:szCs w:val="21"/>
        </w:rPr>
        <w:t>投标</w:t>
      </w:r>
      <w:r>
        <w:rPr>
          <w:rFonts w:hint="eastAsia" w:ascii="宋体" w:hAnsi="宋体" w:cs="宋体"/>
          <w:color w:val="auto"/>
          <w:szCs w:val="21"/>
          <w:lang w:eastAsia="zh-TW"/>
        </w:rPr>
        <w:t>截止时间</w:t>
      </w:r>
      <w:r>
        <w:rPr>
          <w:rFonts w:hint="eastAsia" w:ascii="宋体" w:hAnsi="宋体" w:cs="宋体"/>
          <w:color w:val="auto"/>
          <w:szCs w:val="21"/>
        </w:rPr>
        <w:t>之</w:t>
      </w:r>
      <w:r>
        <w:rPr>
          <w:rFonts w:hint="eastAsia" w:ascii="宋体" w:hAnsi="宋体" w:cs="宋体"/>
          <w:color w:val="auto"/>
          <w:szCs w:val="21"/>
          <w:lang w:eastAsia="zh-TW"/>
        </w:rPr>
        <w:t>后</w:t>
      </w:r>
      <w:r>
        <w:rPr>
          <w:rFonts w:hint="eastAsia" w:ascii="宋体" w:hAnsi="宋体" w:cs="宋体"/>
          <w:color w:val="auto"/>
          <w:szCs w:val="21"/>
        </w:rPr>
        <w:t>送达的投标文件。</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投标文件的修改和撤回、撤销</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投标人在投标截止时间前，可以对所递交的投标文件进行补充、修改或者撤回，并书面通知招标采购单位。</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投标人补充、修改或撤回通知应按招标文件要求编制、签署、密封、标记、盖章和递交，并作为投标文件的组成部分。</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在投标截止时间之后，投标人不得对其投标文件做任何修改和补充。</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93" w:name="_Toc237787597"/>
      <w:r>
        <w:rPr>
          <w:rFonts w:hint="eastAsia" w:ascii="宋体" w:hAnsi="宋体" w:cs="宋体"/>
          <w:color w:val="auto"/>
          <w:szCs w:val="21"/>
          <w:lang w:eastAsia="zh-TW"/>
        </w:rPr>
        <w:t>从投标截止时间至投标人在投标文件中确定的投标有效期期满这段时间内，投标人不</w:t>
      </w:r>
      <w:bookmarkEnd w:id="93"/>
      <w:bookmarkStart w:id="94" w:name="_Toc237787598"/>
      <w:r>
        <w:rPr>
          <w:rFonts w:hint="eastAsia" w:ascii="宋体" w:hAnsi="宋体" w:cs="宋体"/>
          <w:color w:val="auto"/>
          <w:szCs w:val="21"/>
          <w:lang w:eastAsia="zh-TW"/>
        </w:rPr>
        <w:t>得撤销其投标</w:t>
      </w:r>
      <w:r>
        <w:rPr>
          <w:rFonts w:hint="eastAsia" w:ascii="宋体" w:hAnsi="宋体" w:cs="宋体"/>
          <w:color w:val="auto"/>
          <w:szCs w:val="21"/>
        </w:rPr>
        <w:t>文件</w:t>
      </w:r>
      <w:bookmarkEnd w:id="94"/>
      <w:r>
        <w:rPr>
          <w:rFonts w:hint="eastAsia" w:ascii="宋体" w:hAnsi="宋体" w:cs="宋体"/>
          <w:color w:val="auto"/>
          <w:szCs w:val="21"/>
        </w:rPr>
        <w:t>。</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95" w:name="_Toc435542349"/>
      <w:bookmarkStart w:id="96" w:name="_Toc438223024"/>
      <w:r>
        <w:rPr>
          <w:rFonts w:hint="eastAsia" w:ascii="宋体" w:hAnsi="宋体"/>
          <w:b/>
          <w:color w:val="auto"/>
          <w:sz w:val="28"/>
          <w:szCs w:val="28"/>
          <w:lang w:eastAsia="zh-TW"/>
        </w:rPr>
        <w:t>开标与评标</w:t>
      </w:r>
      <w:bookmarkEnd w:id="95"/>
      <w:bookmarkEnd w:id="96"/>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开标</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采购代理机构在投标邀请函中规定的日期、时</w:t>
      </w:r>
      <w:r>
        <w:rPr>
          <w:rFonts w:hint="eastAsia" w:ascii="宋体" w:hAnsi="宋体" w:cs="宋体"/>
          <w:color w:val="auto"/>
          <w:szCs w:val="21"/>
        </w:rPr>
        <w:t>间</w:t>
      </w:r>
      <w:r>
        <w:rPr>
          <w:rFonts w:hint="eastAsia" w:ascii="宋体" w:hAnsi="宋体" w:cs="宋体"/>
          <w:color w:val="auto"/>
          <w:szCs w:val="21"/>
          <w:lang w:eastAsia="zh-TW"/>
        </w:rPr>
        <w:t>和地点组织公开开标。参加开标的代表应签名报到以证明其出席。开标时</w:t>
      </w:r>
      <w:r>
        <w:rPr>
          <w:rFonts w:hint="eastAsia" w:ascii="宋体" w:hAnsi="宋体" w:cs="宋体"/>
          <w:color w:val="auto"/>
          <w:szCs w:val="21"/>
        </w:rPr>
        <w:t>，</w:t>
      </w:r>
      <w:r>
        <w:rPr>
          <w:rFonts w:hint="eastAsia" w:ascii="宋体" w:hAnsi="宋体" w:cs="宋体"/>
          <w:color w:val="auto"/>
          <w:szCs w:val="21"/>
          <w:lang w:eastAsia="zh-TW"/>
        </w:rPr>
        <w:t>由按签到顺序递交投标文件的前三名投标人代表作为全体投标人推选的代表</w:t>
      </w:r>
      <w:r>
        <w:rPr>
          <w:rFonts w:hint="eastAsia" w:ascii="宋体" w:hAnsi="宋体" w:cs="宋体"/>
          <w:color w:val="auto"/>
          <w:szCs w:val="21"/>
        </w:rPr>
        <w:t>就所有</w:t>
      </w:r>
      <w:r>
        <w:rPr>
          <w:rFonts w:hint="eastAsia" w:ascii="宋体" w:hAnsi="宋体" w:cs="宋体"/>
          <w:color w:val="auto"/>
          <w:szCs w:val="21"/>
          <w:lang w:eastAsia="zh-TW"/>
        </w:rPr>
        <w:t>投标文件的密封情况</w:t>
      </w:r>
      <w:r>
        <w:rPr>
          <w:rFonts w:hint="eastAsia" w:ascii="宋体" w:hAnsi="宋体" w:cs="宋体"/>
          <w:color w:val="auto"/>
          <w:szCs w:val="21"/>
        </w:rPr>
        <w:t>进行检查，</w:t>
      </w:r>
      <w:r>
        <w:rPr>
          <w:rFonts w:hint="eastAsia" w:ascii="宋体" w:hAnsi="宋体" w:cs="宋体"/>
          <w:color w:val="auto"/>
          <w:szCs w:val="21"/>
          <w:lang w:eastAsia="zh-TW"/>
        </w:rPr>
        <w:t>也可以由</w:t>
      </w:r>
      <w:r>
        <w:rPr>
          <w:rFonts w:hint="eastAsia" w:ascii="宋体" w:hAnsi="宋体" w:cs="宋体"/>
          <w:color w:val="auto"/>
          <w:szCs w:val="21"/>
        </w:rPr>
        <w:t>招标</w:t>
      </w:r>
      <w:r>
        <w:rPr>
          <w:rFonts w:hint="eastAsia" w:ascii="宋体" w:hAnsi="宋体" w:cs="宋体"/>
          <w:color w:val="auto"/>
          <w:szCs w:val="21"/>
          <w:lang w:eastAsia="zh-TW"/>
        </w:rPr>
        <w:t>采购</w:t>
      </w:r>
      <w:r>
        <w:rPr>
          <w:rFonts w:hint="eastAsia" w:ascii="宋体" w:hAnsi="宋体" w:cs="宋体"/>
          <w:color w:val="auto"/>
          <w:szCs w:val="21"/>
        </w:rPr>
        <w:t>单位</w:t>
      </w:r>
      <w:r>
        <w:rPr>
          <w:rFonts w:hint="eastAsia" w:ascii="宋体" w:hAnsi="宋体" w:cs="宋体"/>
          <w:color w:val="auto"/>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color w:val="auto"/>
          <w:szCs w:val="21"/>
        </w:rPr>
        <w:t>，</w:t>
      </w:r>
      <w:r>
        <w:rPr>
          <w:rFonts w:hint="eastAsia" w:ascii="宋体" w:hAnsi="宋体" w:cs="宋体"/>
          <w:color w:val="auto"/>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未宣读的投标价格、价格折扣和招标文件允许提供的备选投标方案等实质内容，</w:t>
      </w:r>
      <w:r>
        <w:rPr>
          <w:rFonts w:hint="eastAsia" w:ascii="宋体" w:hAnsi="宋体" w:cs="宋体"/>
          <w:color w:val="auto"/>
          <w:szCs w:val="21"/>
          <w:lang w:eastAsia="zh-TW"/>
        </w:rPr>
        <w:t>评标时不予</w:t>
      </w:r>
      <w:r>
        <w:rPr>
          <w:rFonts w:hint="eastAsia" w:ascii="宋体" w:hAnsi="宋体" w:cs="宋体"/>
          <w:color w:val="auto"/>
          <w:szCs w:val="21"/>
        </w:rPr>
        <w:t>承认</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评标委员会</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评标由依照政府采购法律、法规、规章、政策的规定，组建的评标委员会负责。评标委员会成员按政府采购规定由采购人代表和</w:t>
      </w:r>
      <w:r>
        <w:rPr>
          <w:rFonts w:hint="eastAsia" w:ascii="宋体" w:hAnsi="宋体" w:cs="宋体"/>
          <w:color w:val="auto"/>
          <w:szCs w:val="21"/>
        </w:rPr>
        <w:t>有关</w:t>
      </w:r>
      <w:r>
        <w:rPr>
          <w:rFonts w:hint="eastAsia" w:ascii="宋体" w:hAnsi="宋体" w:cs="宋体"/>
          <w:color w:val="auto"/>
          <w:szCs w:val="21"/>
          <w:lang w:eastAsia="zh-TW"/>
        </w:rPr>
        <w:t>技术、经济等方面的专家组成，采购人代表人数、专家人数构成将按照</w:t>
      </w:r>
      <w:r>
        <w:rPr>
          <w:rFonts w:hint="eastAsia" w:ascii="宋体" w:hAnsi="宋体" w:cs="宋体"/>
          <w:b/>
          <w:color w:val="auto"/>
          <w:szCs w:val="21"/>
          <w:lang w:eastAsia="zh-TW"/>
        </w:rPr>
        <w:t>投标资料表</w:t>
      </w:r>
      <w:r>
        <w:rPr>
          <w:rFonts w:hint="eastAsia" w:ascii="宋体" w:hAnsi="宋体" w:cs="宋体"/>
          <w:color w:val="auto"/>
          <w:szCs w:val="21"/>
          <w:lang w:eastAsia="zh-TW"/>
        </w:rPr>
        <w:t>中确定。评标委员会成员依法从政府采购专家库中随机抽取。</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评标委员会名单在</w:t>
      </w:r>
      <w:r>
        <w:rPr>
          <w:rFonts w:hint="eastAsia" w:ascii="宋体" w:hAnsi="宋体" w:cs="宋体"/>
          <w:color w:val="auto"/>
          <w:szCs w:val="21"/>
        </w:rPr>
        <w:t>评审</w:t>
      </w:r>
      <w:r>
        <w:rPr>
          <w:rFonts w:hint="eastAsia" w:ascii="宋体" w:hAnsi="宋体" w:cs="宋体"/>
          <w:color w:val="auto"/>
          <w:szCs w:val="21"/>
          <w:lang w:eastAsia="zh-TW"/>
        </w:rPr>
        <w:t>结果确定前严格保密。评审专家有下列情形之一的，受到邀请应主动提出回避，采购当事人也可以要求该评审专家回避：</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评标委员会中，同一任职单位评审专家超过二名的；</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参与招标文件</w:t>
      </w:r>
      <w:r>
        <w:rPr>
          <w:rFonts w:hint="eastAsia" w:ascii="宋体" w:hAnsi="宋体" w:cs="宋体"/>
          <w:color w:val="auto"/>
          <w:szCs w:val="21"/>
        </w:rPr>
        <w:t>、进口产品</w:t>
      </w:r>
      <w:r>
        <w:rPr>
          <w:rFonts w:hint="eastAsia" w:ascii="宋体" w:hAnsi="宋体" w:cs="宋体"/>
          <w:color w:val="auto"/>
          <w:szCs w:val="21"/>
          <w:lang w:eastAsia="zh-TW"/>
        </w:rPr>
        <w:t>论证的；</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参加采购活动前3年内与供应商存在劳动关系；</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参加采购活动前3年内担任供应商的董事、监事；</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参加采购活动前3年内是供应商的控股股东或者实际控制人；</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numPr>
          <w:ilvl w:val="2"/>
          <w:numId w:val="45"/>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与供应商有其他可能影响政府采购活动公平、公正进行的关系。</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评标委员会和有关工作人员不得透露对投标文件的评审和比较以及与评标有关的其他情况。</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97" w:name="_Toc237787610"/>
      <w:r>
        <w:rPr>
          <w:rFonts w:hint="eastAsia" w:ascii="宋体" w:hAnsi="宋体" w:cs="宋体"/>
          <w:color w:val="auto"/>
          <w:szCs w:val="21"/>
          <w:lang w:eastAsia="zh-TW"/>
        </w:rPr>
        <w:t>评标委员会依法根据招标文件的规定对投标文件进行评审、提交</w:t>
      </w:r>
      <w:r>
        <w:rPr>
          <w:rFonts w:hint="eastAsia" w:ascii="宋体" w:hAnsi="宋体" w:cs="宋体"/>
          <w:color w:val="auto"/>
          <w:szCs w:val="21"/>
        </w:rPr>
        <w:t>书面</w:t>
      </w:r>
      <w:r>
        <w:rPr>
          <w:rFonts w:hint="eastAsia" w:ascii="宋体" w:hAnsi="宋体" w:cs="宋体"/>
          <w:color w:val="auto"/>
          <w:szCs w:val="21"/>
          <w:lang w:eastAsia="zh-TW"/>
        </w:rPr>
        <w:t>评标报告</w:t>
      </w:r>
      <w:bookmarkEnd w:id="97"/>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评标方法</w:t>
      </w:r>
    </w:p>
    <w:p>
      <w:pPr>
        <w:numPr>
          <w:ilvl w:val="1"/>
          <w:numId w:val="45"/>
        </w:numPr>
        <w:autoSpaceDE w:val="0"/>
        <w:autoSpaceDN w:val="0"/>
        <w:adjustRightInd w:val="0"/>
        <w:snapToGrid w:val="0"/>
        <w:spacing w:line="360" w:lineRule="auto"/>
        <w:rPr>
          <w:rFonts w:ascii="宋体" w:hAnsi="宋体"/>
          <w:color w:val="auto"/>
          <w:szCs w:val="21"/>
        </w:rPr>
      </w:pPr>
      <w:bookmarkStart w:id="98" w:name="_Toc237787621"/>
      <w:r>
        <w:rPr>
          <w:rFonts w:hint="eastAsia" w:ascii="宋体" w:hAnsi="宋体"/>
          <w:color w:val="auto"/>
          <w:szCs w:val="21"/>
        </w:rPr>
        <w:t>本次招标的评标方法在</w:t>
      </w:r>
      <w:r>
        <w:rPr>
          <w:rFonts w:hint="eastAsia" w:ascii="宋体" w:hAnsi="宋体"/>
          <w:b/>
          <w:color w:val="auto"/>
          <w:szCs w:val="21"/>
        </w:rPr>
        <w:t>“</w:t>
      </w:r>
      <w:r>
        <w:rPr>
          <w:rFonts w:hint="eastAsia" w:ascii="宋体" w:hAnsi="宋体" w:cs="宋体"/>
          <w:b/>
          <w:color w:val="auto"/>
          <w:szCs w:val="21"/>
          <w:lang w:eastAsia="zh-TW"/>
        </w:rPr>
        <w:t>投标资料表</w:t>
      </w:r>
      <w:r>
        <w:rPr>
          <w:rFonts w:hint="eastAsia" w:ascii="宋体" w:hAnsi="宋体"/>
          <w:b/>
          <w:color w:val="auto"/>
          <w:szCs w:val="21"/>
        </w:rPr>
        <w:t>”</w:t>
      </w:r>
      <w:r>
        <w:rPr>
          <w:rFonts w:hint="eastAsia" w:ascii="宋体" w:hAnsi="宋体"/>
          <w:color w:val="auto"/>
          <w:szCs w:val="21"/>
        </w:rPr>
        <w:t>中规定。</w:t>
      </w:r>
      <w:bookmarkEnd w:id="98"/>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b/>
          <w:color w:val="auto"/>
          <w:szCs w:val="21"/>
        </w:rPr>
        <w:t>综合评分法：</w:t>
      </w:r>
      <w:r>
        <w:rPr>
          <w:rFonts w:hint="eastAsia" w:ascii="宋体" w:hAnsi="宋体"/>
          <w:color w:val="auto"/>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b/>
          <w:color w:val="auto"/>
          <w:szCs w:val="21"/>
        </w:rPr>
        <w:t>最低评标价法：</w:t>
      </w:r>
      <w:r>
        <w:rPr>
          <w:rFonts w:hint="eastAsia" w:ascii="宋体" w:hAnsi="宋体"/>
          <w:color w:val="auto"/>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color w:val="auto"/>
          <w:szCs w:val="21"/>
          <w:lang w:eastAsia="zh-TW"/>
        </w:rPr>
        <w:t>。</w:t>
      </w:r>
    </w:p>
    <w:p>
      <w:pPr>
        <w:widowControl/>
        <w:numPr>
          <w:ilvl w:val="1"/>
          <w:numId w:val="45"/>
        </w:numPr>
        <w:adjustRightInd w:val="0"/>
        <w:snapToGrid w:val="0"/>
        <w:spacing w:line="360" w:lineRule="auto"/>
        <w:jc w:val="left"/>
        <w:rPr>
          <w:rFonts w:ascii="宋体" w:hAnsi="宋体"/>
          <w:color w:val="auto"/>
          <w:szCs w:val="21"/>
        </w:rPr>
      </w:pPr>
      <w:r>
        <w:rPr>
          <w:rFonts w:hint="eastAsia" w:ascii="宋体" w:hAnsi="宋体"/>
          <w:color w:val="auto"/>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投标文件的初审</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评标委员会将</w:t>
      </w:r>
      <w:r>
        <w:rPr>
          <w:rFonts w:hint="eastAsia" w:ascii="宋体" w:hAnsi="宋体" w:cs="宋体"/>
          <w:color w:val="auto"/>
          <w:szCs w:val="21"/>
        </w:rPr>
        <w:t>依法</w:t>
      </w:r>
      <w:r>
        <w:rPr>
          <w:rFonts w:hint="eastAsia" w:ascii="宋体" w:hAnsi="宋体" w:cs="宋体"/>
          <w:color w:val="auto"/>
          <w:szCs w:val="21"/>
          <w:lang w:eastAsia="zh-TW"/>
        </w:rPr>
        <w:t>审查投标文件是否完整、文件签署是否合格、投标有效期是否满足要求、有无计算</w:t>
      </w:r>
      <w:r>
        <w:rPr>
          <w:rFonts w:hint="eastAsia" w:ascii="宋体" w:hAnsi="宋体" w:cs="宋体"/>
          <w:color w:val="auto"/>
          <w:szCs w:val="21"/>
        </w:rPr>
        <w:t>上</w:t>
      </w:r>
      <w:r>
        <w:rPr>
          <w:rFonts w:hint="eastAsia" w:ascii="宋体" w:hAnsi="宋体" w:cs="宋体"/>
          <w:color w:val="auto"/>
          <w:szCs w:val="21"/>
          <w:lang w:eastAsia="zh-TW"/>
        </w:rPr>
        <w:t>的错误等。</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auto"/>
          <w:szCs w:val="21"/>
        </w:rPr>
        <w:t>。如果投标人不接受对其错误的更正，其投标将被视为无效投标或确定为投标无效。</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在详细评标之前</w:t>
      </w:r>
      <w:r>
        <w:rPr>
          <w:rFonts w:hint="eastAsia" w:ascii="宋体" w:hAnsi="宋体" w:cs="宋体"/>
          <w:color w:val="auto"/>
          <w:szCs w:val="21"/>
        </w:rPr>
        <w:t>，</w:t>
      </w:r>
      <w:r>
        <w:rPr>
          <w:rFonts w:hint="eastAsia" w:ascii="宋体" w:hAnsi="宋体" w:cs="宋体"/>
          <w:color w:val="auto"/>
          <w:szCs w:val="21"/>
          <w:lang w:eastAsia="zh-TW"/>
        </w:rPr>
        <w:t>评标委员会要审查每份投标文件是否实质上响应了招标文件的要求。实质上</w:t>
      </w:r>
      <w:r>
        <w:rPr>
          <w:rFonts w:hint="eastAsia" w:ascii="宋体" w:hAnsi="宋体" w:cs="宋体"/>
          <w:color w:val="auto"/>
          <w:szCs w:val="21"/>
        </w:rPr>
        <w:t>响</w:t>
      </w:r>
      <w:r>
        <w:rPr>
          <w:rFonts w:hint="eastAsia" w:ascii="宋体" w:hAnsi="宋体" w:cs="宋体"/>
          <w:color w:val="auto"/>
          <w:szCs w:val="21"/>
          <w:lang w:eastAsia="zh-TW"/>
        </w:rPr>
        <w:t>应的投标</w:t>
      </w:r>
      <w:r>
        <w:rPr>
          <w:rFonts w:hint="eastAsia" w:ascii="宋体" w:hAnsi="宋体" w:cs="宋体"/>
          <w:color w:val="auto"/>
          <w:szCs w:val="21"/>
        </w:rPr>
        <w:t>文件</w:t>
      </w:r>
      <w:r>
        <w:rPr>
          <w:rFonts w:hint="eastAsia" w:ascii="宋体" w:hAnsi="宋体" w:cs="宋体"/>
          <w:color w:val="auto"/>
          <w:szCs w:val="21"/>
          <w:lang w:eastAsia="zh-TW"/>
        </w:rPr>
        <w:t>应该是与招标文件要求的关键条款</w:t>
      </w:r>
      <w:r>
        <w:rPr>
          <w:rFonts w:hint="eastAsia" w:ascii="宋体" w:hAnsi="宋体" w:cs="宋体"/>
          <w:color w:val="auto"/>
          <w:szCs w:val="21"/>
        </w:rPr>
        <w:t>、</w:t>
      </w:r>
      <w:r>
        <w:rPr>
          <w:rFonts w:hint="eastAsia" w:ascii="宋体" w:hAnsi="宋体" w:cs="宋体"/>
          <w:color w:val="auto"/>
          <w:szCs w:val="21"/>
          <w:lang w:eastAsia="zh-TW"/>
        </w:rPr>
        <w:t>条件和规格相符</w:t>
      </w:r>
      <w:r>
        <w:rPr>
          <w:rFonts w:hint="eastAsia" w:ascii="宋体" w:hAnsi="宋体" w:cs="宋体"/>
          <w:color w:val="auto"/>
          <w:szCs w:val="21"/>
        </w:rPr>
        <w:t>或优于，</w:t>
      </w:r>
      <w:r>
        <w:rPr>
          <w:rFonts w:hint="eastAsia" w:ascii="宋体" w:hAnsi="宋体" w:cs="宋体"/>
          <w:color w:val="auto"/>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color w:val="auto"/>
          <w:szCs w:val="21"/>
        </w:rPr>
        <w:t>文件</w:t>
      </w:r>
      <w:r>
        <w:rPr>
          <w:rFonts w:hint="eastAsia" w:ascii="宋体" w:hAnsi="宋体" w:cs="宋体"/>
          <w:color w:val="auto"/>
          <w:szCs w:val="21"/>
          <w:lang w:eastAsia="zh-TW"/>
        </w:rPr>
        <w:t>本身的真实无误的内容</w:t>
      </w:r>
      <w:r>
        <w:rPr>
          <w:rFonts w:hint="eastAsia" w:ascii="宋体" w:hAnsi="宋体" w:cs="宋体"/>
          <w:color w:val="auto"/>
          <w:szCs w:val="21"/>
        </w:rPr>
        <w:t>，</w:t>
      </w:r>
      <w:r>
        <w:rPr>
          <w:rFonts w:hint="eastAsia" w:ascii="宋体" w:hAnsi="宋体" w:cs="宋体"/>
          <w:color w:val="auto"/>
          <w:szCs w:val="21"/>
          <w:lang w:eastAsia="zh-TW"/>
        </w:rPr>
        <w:t>而不依据外部的证据</w:t>
      </w:r>
      <w:r>
        <w:rPr>
          <w:rFonts w:hint="eastAsia" w:ascii="宋体" w:hAnsi="宋体" w:cs="宋体"/>
          <w:color w:val="auto"/>
          <w:szCs w:val="21"/>
        </w:rPr>
        <w:t>，</w:t>
      </w:r>
      <w:r>
        <w:rPr>
          <w:rFonts w:hint="eastAsia" w:ascii="宋体" w:hAnsi="宋体" w:cs="宋体"/>
          <w:color w:val="auto"/>
          <w:szCs w:val="21"/>
          <w:lang w:eastAsia="zh-TW"/>
        </w:rPr>
        <w:t>但投标有不真实不正确的内容时除外。</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实质上没有响应招标文件要求的投标将</w:t>
      </w:r>
      <w:r>
        <w:rPr>
          <w:rFonts w:hint="eastAsia" w:ascii="宋体" w:hAnsi="宋体" w:cs="宋体"/>
          <w:color w:val="auto"/>
          <w:szCs w:val="21"/>
        </w:rPr>
        <w:t>被视为无效投标</w:t>
      </w:r>
      <w:r>
        <w:rPr>
          <w:rFonts w:hint="eastAsia" w:ascii="宋体" w:hAnsi="宋体" w:cs="宋体"/>
          <w:color w:val="auto"/>
          <w:szCs w:val="21"/>
          <w:lang w:eastAsia="zh-TW"/>
        </w:rPr>
        <w:t>。投标人不得通过修正或撤销不合要求的偏离或保留从而使其投标成为实质上响应的投标。</w:t>
      </w:r>
    </w:p>
    <w:p>
      <w:pPr>
        <w:numPr>
          <w:ilvl w:val="2"/>
          <w:numId w:val="45"/>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在资格性审查、符合性检查时，未能通过资格性、符合性审查被认定为无效投标，</w:t>
      </w:r>
      <w:r>
        <w:rPr>
          <w:rFonts w:hint="eastAsia" w:ascii="宋体" w:hAnsi="宋体" w:cs="宋体"/>
          <w:color w:val="auto"/>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color w:val="auto"/>
          <w:szCs w:val="21"/>
          <w:lang w:eastAsia="zh-TW"/>
        </w:rPr>
        <w:t>具体条款</w:t>
      </w:r>
      <w:r>
        <w:rPr>
          <w:rFonts w:hint="eastAsia" w:ascii="宋体" w:hAnsi="宋体" w:cs="宋体"/>
          <w:color w:val="auto"/>
          <w:szCs w:val="21"/>
        </w:rPr>
        <w:t>详</w:t>
      </w:r>
      <w:r>
        <w:rPr>
          <w:rFonts w:hint="eastAsia" w:ascii="宋体" w:hAnsi="宋体" w:cs="宋体"/>
          <w:color w:val="auto"/>
          <w:szCs w:val="21"/>
          <w:lang w:eastAsia="zh-TW"/>
        </w:rPr>
        <w:t>见招标文件《资格、符合性评审条款》。</w:t>
      </w:r>
    </w:p>
    <w:p>
      <w:pPr>
        <w:numPr>
          <w:ilvl w:val="2"/>
          <w:numId w:val="45"/>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评标委员会对各投标人进行资格性和符合性审查过程中，对初步被认定为初审不合格或无效投标者应实行及时告知</w:t>
      </w:r>
      <w:r>
        <w:rPr>
          <w:rFonts w:hint="eastAsia" w:ascii="宋体" w:hAnsi="宋体" w:cs="宋体"/>
          <w:color w:val="auto"/>
          <w:szCs w:val="21"/>
        </w:rPr>
        <w:t>，</w:t>
      </w:r>
      <w:r>
        <w:rPr>
          <w:rFonts w:hint="eastAsia" w:ascii="宋体" w:hAnsi="宋体" w:cs="宋体"/>
          <w:color w:val="auto"/>
          <w:szCs w:val="21"/>
          <w:lang w:eastAsia="zh-TW"/>
        </w:rPr>
        <w:t>由评标委员会主任或采购人代表将集体意见现场及时告知投标当事人，以让其核证、澄清事实。</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投标文件的澄清</w:t>
      </w:r>
    </w:p>
    <w:p>
      <w:pPr>
        <w:spacing w:line="440" w:lineRule="exact"/>
        <w:rPr>
          <w:rFonts w:ascii="宋体" w:hAnsi="宋体" w:cs="黑体"/>
          <w:b/>
          <w:bCs/>
          <w:color w:val="auto"/>
          <w:szCs w:val="21"/>
        </w:rPr>
      </w:pPr>
      <w:r>
        <w:rPr>
          <w:rFonts w:hint="eastAsia" w:ascii="宋体" w:hAnsi="宋体" w:cs="宋体"/>
          <w:color w:val="auto"/>
          <w:szCs w:val="21"/>
        </w:rPr>
        <w:t>32</w:t>
      </w:r>
      <w:r>
        <w:rPr>
          <w:rFonts w:hint="eastAsia" w:ascii="宋体" w:hAnsi="宋体" w:cs="宋体"/>
          <w:color w:val="auto"/>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color w:val="auto"/>
          <w:szCs w:val="21"/>
        </w:rPr>
        <w:t>不得超出投标文件的范围或者改变投标文件的实质性内容。</w:t>
      </w:r>
      <w:r>
        <w:rPr>
          <w:rFonts w:hint="eastAsia" w:ascii="宋体" w:hAnsi="宋体" w:cs="宋体"/>
          <w:color w:val="auto"/>
          <w:szCs w:val="21"/>
          <w:lang w:eastAsia="zh-TW"/>
        </w:rPr>
        <w:t>投标人的澄清、说明或者补正应当采用书面形式</w:t>
      </w:r>
      <w:r>
        <w:rPr>
          <w:rFonts w:hint="eastAsia" w:ascii="宋体" w:hAnsi="宋体" w:cs="宋体"/>
          <w:color w:val="auto"/>
          <w:szCs w:val="21"/>
        </w:rPr>
        <w:t>，</w:t>
      </w:r>
      <w:r>
        <w:rPr>
          <w:rFonts w:hint="eastAsia" w:ascii="宋体" w:hAnsi="宋体" w:cs="宋体"/>
          <w:color w:val="auto"/>
          <w:szCs w:val="21"/>
          <w:lang w:eastAsia="zh-TW"/>
        </w:rPr>
        <w:t>由其法定代表人或授权的代表签署本人姓名或印盖本人姓名章，并不得超出投标文件的范围或者改变投标文件的实质性内容</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投标人的澄清文件是其投标文件的组成部分。</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投标文件详细评价</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w:t>
      </w:r>
      <w:r>
        <w:rPr>
          <w:rFonts w:hint="eastAsia" w:ascii="宋体" w:hAnsi="宋体" w:cs="宋体"/>
          <w:color w:val="auto"/>
          <w:szCs w:val="21"/>
          <w:lang w:eastAsia="zh-TW"/>
        </w:rPr>
        <w:t>标委员会将</w:t>
      </w:r>
      <w:r>
        <w:rPr>
          <w:rFonts w:hint="eastAsia" w:ascii="宋体" w:hAnsi="宋体" w:cs="宋体"/>
          <w:color w:val="auto"/>
          <w:szCs w:val="21"/>
        </w:rPr>
        <w:t>对通过</w:t>
      </w:r>
      <w:r>
        <w:rPr>
          <w:rFonts w:hint="eastAsia" w:ascii="宋体" w:hAnsi="宋体" w:cs="宋体"/>
          <w:color w:val="auto"/>
          <w:szCs w:val="21"/>
          <w:lang w:eastAsia="zh-TW"/>
        </w:rPr>
        <w:t>资格性、符合性审查的投标</w:t>
      </w:r>
      <w:r>
        <w:rPr>
          <w:rFonts w:hint="eastAsia" w:ascii="宋体" w:hAnsi="宋体" w:cs="宋体"/>
          <w:color w:val="auto"/>
          <w:szCs w:val="21"/>
        </w:rPr>
        <w:t>文件</w:t>
      </w:r>
      <w:r>
        <w:rPr>
          <w:rFonts w:hint="eastAsia" w:ascii="宋体" w:hAnsi="宋体" w:cs="宋体"/>
          <w:color w:val="auto"/>
          <w:szCs w:val="21"/>
          <w:lang w:eastAsia="zh-TW"/>
        </w:rPr>
        <w:t>进行</w:t>
      </w:r>
      <w:r>
        <w:rPr>
          <w:rFonts w:hint="eastAsia" w:ascii="宋体" w:hAnsi="宋体" w:cs="宋体"/>
          <w:color w:val="auto"/>
          <w:szCs w:val="21"/>
        </w:rPr>
        <w:t>详细</w:t>
      </w:r>
      <w:r>
        <w:rPr>
          <w:rFonts w:hint="eastAsia" w:ascii="宋体" w:hAnsi="宋体" w:cs="宋体"/>
          <w:color w:val="auto"/>
          <w:szCs w:val="21"/>
          <w:lang w:eastAsia="zh-TW"/>
        </w:rPr>
        <w:t>评价和比较</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具体条款详见招标文件“</w:t>
      </w:r>
      <w:r>
        <w:rPr>
          <w:rFonts w:hint="eastAsia" w:ascii="宋体" w:hAnsi="宋体" w:cs="宋体"/>
          <w:b/>
          <w:color w:val="auto"/>
          <w:szCs w:val="21"/>
        </w:rPr>
        <w:t>第三章 评分体系与标准”</w:t>
      </w:r>
      <w:r>
        <w:rPr>
          <w:rFonts w:hint="eastAsia" w:ascii="宋体" w:hAnsi="宋体" w:cs="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授标与定标原则</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评标委员会按照招标文件确定的评标方法、步骤、标准，对投标文件进行评审，提出书面评标报告。</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color w:val="auto"/>
          <w:szCs w:val="21"/>
        </w:rPr>
        <w:t>投标资料表</w:t>
      </w:r>
      <w:r>
        <w:rPr>
          <w:rFonts w:hint="eastAsia" w:ascii="宋体" w:hAnsi="宋体"/>
          <w:color w:val="auto"/>
          <w:szCs w:val="21"/>
        </w:rPr>
        <w:t>另有规定的，推荐综合得分排名第一的投标人为第一中标候选人，排名第二的投标人为第二中标候选人。</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w:t>
      </w:r>
      <w:r>
        <w:rPr>
          <w:rFonts w:hint="eastAsia" w:ascii="宋体" w:hAnsi="宋体" w:cs="宋体"/>
          <w:color w:val="auto"/>
          <w:szCs w:val="21"/>
          <w:lang w:eastAsia="zh-TW"/>
        </w:rPr>
        <w:t>最低评标价法</w:t>
      </w:r>
      <w:r>
        <w:rPr>
          <w:rFonts w:hint="eastAsia" w:ascii="宋体" w:hAnsi="宋体" w:cs="宋体"/>
          <w:color w:val="auto"/>
          <w:szCs w:val="21"/>
        </w:rPr>
        <w:t>的，</w:t>
      </w:r>
      <w:r>
        <w:rPr>
          <w:rFonts w:hint="eastAsia" w:ascii="宋体" w:hAnsi="宋体" w:cs="宋体"/>
          <w:color w:val="auto"/>
          <w:szCs w:val="21"/>
          <w:lang w:eastAsia="zh-TW"/>
        </w:rPr>
        <w:t>按投标报价</w:t>
      </w:r>
      <w:r>
        <w:rPr>
          <w:rFonts w:hint="eastAsia" w:ascii="宋体" w:hAnsi="宋体" w:cs="宋体"/>
          <w:color w:val="auto"/>
          <w:szCs w:val="21"/>
        </w:rPr>
        <w:t>（经</w:t>
      </w:r>
      <w:r>
        <w:rPr>
          <w:rFonts w:hint="eastAsia" w:ascii="宋体" w:hAnsi="宋体"/>
          <w:bCs/>
          <w:color w:val="auto"/>
          <w:szCs w:val="21"/>
        </w:rPr>
        <w:t>价格核准后的价格</w:t>
      </w:r>
      <w:r>
        <w:rPr>
          <w:rFonts w:hint="eastAsia" w:ascii="宋体" w:hAnsi="宋体" w:cs="宋体"/>
          <w:color w:val="auto"/>
          <w:szCs w:val="21"/>
        </w:rPr>
        <w:t>）</w:t>
      </w:r>
      <w:r>
        <w:rPr>
          <w:rFonts w:hint="eastAsia" w:ascii="宋体" w:hAnsi="宋体" w:cs="宋体"/>
          <w:color w:val="auto"/>
          <w:szCs w:val="21"/>
          <w:lang w:eastAsia="zh-TW"/>
        </w:rPr>
        <w:t>由低到高顺序排列。投标报价相同的</w:t>
      </w:r>
      <w:r>
        <w:rPr>
          <w:rFonts w:hint="eastAsia" w:ascii="宋体" w:hAnsi="宋体"/>
          <w:color w:val="auto"/>
          <w:szCs w:val="21"/>
        </w:rPr>
        <w:t>，按下列顺序比较确定：（1）节能产品；（2）环保产品；如以上都相同的，名次由评标委员会抽签确定。</w:t>
      </w:r>
      <w:r>
        <w:rPr>
          <w:rFonts w:hint="eastAsia" w:ascii="宋体" w:hAnsi="宋体" w:cs="宋体"/>
          <w:color w:val="auto"/>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45"/>
        </w:numPr>
        <w:autoSpaceDE w:val="0"/>
        <w:autoSpaceDN w:val="0"/>
        <w:adjustRightInd w:val="0"/>
        <w:snapToGrid w:val="0"/>
        <w:spacing w:line="360" w:lineRule="auto"/>
        <w:rPr>
          <w:rFonts w:ascii="宋体" w:hAnsi="宋体"/>
          <w:b/>
          <w:bCs/>
          <w:color w:val="auto"/>
          <w:szCs w:val="21"/>
        </w:rPr>
      </w:pPr>
      <w:r>
        <w:rPr>
          <w:rFonts w:ascii="宋体" w:hAnsi="宋体"/>
          <w:color w:val="auto"/>
          <w:szCs w:val="21"/>
        </w:rPr>
        <w:t>评标委员会提</w:t>
      </w:r>
      <w:r>
        <w:rPr>
          <w:rFonts w:hint="eastAsia" w:ascii="宋体" w:hAnsi="宋体"/>
          <w:color w:val="auto"/>
          <w:szCs w:val="21"/>
        </w:rPr>
        <w:t>交</w:t>
      </w:r>
      <w:r>
        <w:rPr>
          <w:rFonts w:ascii="宋体" w:hAnsi="宋体"/>
          <w:color w:val="auto"/>
          <w:szCs w:val="21"/>
        </w:rPr>
        <w:t>评</w:t>
      </w:r>
      <w:r>
        <w:rPr>
          <w:rFonts w:hint="eastAsia" w:ascii="宋体" w:hAnsi="宋体"/>
          <w:color w:val="auto"/>
          <w:szCs w:val="21"/>
        </w:rPr>
        <w:t>标</w:t>
      </w:r>
      <w:r>
        <w:rPr>
          <w:rFonts w:ascii="宋体" w:hAnsi="宋体"/>
          <w:color w:val="auto"/>
          <w:szCs w:val="21"/>
        </w:rPr>
        <w:t>报告和推荐中标意见报</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color w:val="auto"/>
          <w:szCs w:val="21"/>
        </w:rPr>
        <w:t>发</w:t>
      </w:r>
      <w:r>
        <w:rPr>
          <w:rFonts w:hint="eastAsia" w:ascii="宋体" w:hAnsi="宋体"/>
          <w:color w:val="auto"/>
          <w:szCs w:val="21"/>
        </w:rPr>
        <w:t>布中标公告。不在中标名单之列者即为未中标人，采购代理机构不再以其他方式另行通知。</w:t>
      </w:r>
    </w:p>
    <w:p>
      <w:pPr>
        <w:ind w:left="630" w:leftChars="300"/>
        <w:rPr>
          <w:rFonts w:ascii="宋体" w:hAnsi="宋体" w:cs="宋体"/>
          <w:color w:val="auto"/>
          <w:szCs w:val="21"/>
          <w:lang w:eastAsia="zh-TW"/>
        </w:rPr>
      </w:pPr>
      <w:r>
        <w:rPr>
          <w:rFonts w:hint="eastAsia" w:ascii="宋体" w:hAnsi="宋体"/>
          <w:color w:val="auto"/>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color w:val="auto"/>
          <w:szCs w:val="21"/>
        </w:rPr>
        <w:t>3</w:t>
      </w:r>
      <w:r>
        <w:rPr>
          <w:rFonts w:hint="eastAsia" w:ascii="宋体" w:hAnsi="宋体"/>
          <w:color w:val="auto"/>
          <w:szCs w:val="21"/>
        </w:rPr>
        <w:t>个工作日内，核对没有不一致的，须确认中标人；核对发现有不一致或第一中标候选人没有</w:t>
      </w:r>
    </w:p>
    <w:p>
      <w:pPr>
        <w:numPr>
          <w:ilvl w:val="1"/>
          <w:numId w:val="45"/>
        </w:numPr>
        <w:autoSpaceDE w:val="0"/>
        <w:autoSpaceDN w:val="0"/>
        <w:adjustRightInd w:val="0"/>
        <w:snapToGrid w:val="0"/>
        <w:spacing w:line="360" w:lineRule="auto"/>
        <w:rPr>
          <w:rFonts w:ascii="宋体" w:hAnsi="宋体"/>
          <w:b/>
          <w:bCs/>
          <w:color w:val="auto"/>
          <w:szCs w:val="21"/>
        </w:rPr>
      </w:pPr>
      <w:r>
        <w:rPr>
          <w:rFonts w:hint="eastAsia" w:ascii="宋体" w:hAnsi="宋体"/>
          <w:color w:val="auto"/>
          <w:szCs w:val="21"/>
        </w:rPr>
        <w:t>按约定提交原件的，报监管部门核实后按虚假应标处理。</w:t>
      </w:r>
    </w:p>
    <w:p>
      <w:pPr>
        <w:numPr>
          <w:ilvl w:val="1"/>
          <w:numId w:val="4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r>
        <w:rPr>
          <w:rFonts w:ascii="宋体" w:hAnsi="宋体"/>
          <w:b/>
          <w:color w:val="auto"/>
          <w:szCs w:val="21"/>
        </w:rPr>
        <w:t>废标</w:t>
      </w:r>
    </w:p>
    <w:p>
      <w:pPr>
        <w:numPr>
          <w:ilvl w:val="1"/>
          <w:numId w:val="45"/>
        </w:numPr>
        <w:autoSpaceDE w:val="0"/>
        <w:autoSpaceDN w:val="0"/>
        <w:adjustRightInd w:val="0"/>
        <w:snapToGrid w:val="0"/>
        <w:spacing w:line="360" w:lineRule="auto"/>
        <w:rPr>
          <w:rFonts w:ascii="宋体" w:hAnsi="宋体"/>
          <w:b/>
          <w:color w:val="auto"/>
          <w:szCs w:val="21"/>
        </w:rPr>
      </w:pPr>
      <w:r>
        <w:rPr>
          <w:rFonts w:ascii="宋体" w:hAnsi="宋体"/>
          <w:b/>
          <w:color w:val="auto"/>
          <w:szCs w:val="21"/>
        </w:rPr>
        <w:t>在招标采购中，出现下列情形之一的，应予废标</w:t>
      </w:r>
      <w:r>
        <w:rPr>
          <w:rFonts w:hint="eastAsia" w:ascii="宋体" w:hAnsi="宋体"/>
          <w:b/>
          <w:color w:val="auto"/>
          <w:szCs w:val="21"/>
        </w:rPr>
        <w:t>。</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符合专业条件的供应商或者对</w:t>
      </w:r>
      <w:r>
        <w:rPr>
          <w:rFonts w:hint="eastAsia" w:ascii="宋体" w:hAnsi="宋体"/>
          <w:color w:val="auto"/>
          <w:szCs w:val="21"/>
        </w:rPr>
        <w:t>招标</w:t>
      </w:r>
      <w:r>
        <w:rPr>
          <w:rFonts w:ascii="宋体" w:hAnsi="宋体"/>
          <w:color w:val="auto"/>
          <w:szCs w:val="21"/>
        </w:rPr>
        <w:t>文件作实质响应的供应商不足三家的；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出现影响采购公正的违法、违规行为的；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投标人的报价均超过了采购预算，采购人不能支付的；</w:t>
      </w:r>
    </w:p>
    <w:p>
      <w:pPr>
        <w:numPr>
          <w:ilvl w:val="2"/>
          <w:numId w:val="45"/>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因重大变故，采购任务取消的</w:t>
      </w:r>
      <w:r>
        <w:rPr>
          <w:rFonts w:hint="eastAsia" w:ascii="宋体" w:hAnsi="宋体"/>
          <w:color w:val="auto"/>
          <w:szCs w:val="21"/>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询问、质疑、投诉</w:t>
      </w:r>
    </w:p>
    <w:p>
      <w:pPr>
        <w:adjustRightInd w:val="0"/>
        <w:snapToGrid w:val="0"/>
        <w:spacing w:line="360" w:lineRule="auto"/>
        <w:jc w:val="left"/>
        <w:rPr>
          <w:rFonts w:ascii="宋体" w:hAnsi="宋体" w:cs="宋体"/>
          <w:bCs/>
          <w:color w:val="auto"/>
          <w:kern w:val="0"/>
          <w:szCs w:val="21"/>
        </w:rPr>
      </w:pPr>
      <w:bookmarkStart w:id="99" w:name="_Toc435542350"/>
      <w:bookmarkStart w:id="100" w:name="_Toc438223025"/>
      <w:r>
        <w:rPr>
          <w:rFonts w:hint="eastAsia" w:ascii="宋体" w:hAnsi="宋体" w:cs="宋体"/>
          <w:bCs/>
          <w:color w:val="auto"/>
          <w:kern w:val="0"/>
          <w:szCs w:val="21"/>
        </w:rPr>
        <w:t xml:space="preserve"> 询问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质疑处理遵循公平、公正、规范、高效的原则。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供应商质疑实行实名制和“谁质疑，谁举证”的原则，质疑应有具体的事项及事实根据。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供应商质疑应符合下列条件：</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质疑材料中有外文资料的，应一并附上中文译本，并以中文译本为准。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（5）参与了所质疑项目的政府采购活动。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不符合上述条件的，采购代理机构不予受理。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采购代理机构受理质疑办理程序：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采购代理机构应当在收到质疑书原件的当日与质疑人办理签收手续。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在质疑处理期间，采购代理机构视情形可以依法决定暂停采购活动。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10 质疑供应商有下列情形之一的，属于虚假、恶意质疑：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捏造事实或提供虚假证明材料的；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假冒他人名义进行质疑的；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拒不配合进行有关调查、情节严重的。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12 一年内同一供应商同一行业内有三次无效质疑的列入黑名单，并呈报监管部门处理。</w:t>
      </w:r>
    </w:p>
    <w:p>
      <w:pPr>
        <w:numPr>
          <w:ilvl w:val="0"/>
          <w:numId w:val="44"/>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授予合同</w:t>
      </w:r>
      <w:bookmarkEnd w:id="99"/>
      <w:bookmarkEnd w:id="100"/>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01" w:name="_Toc237787628"/>
      <w:r>
        <w:rPr>
          <w:rFonts w:hint="eastAsia" w:ascii="宋体" w:hAnsi="宋体"/>
          <w:b/>
          <w:bCs/>
          <w:color w:val="auto"/>
          <w:szCs w:val="21"/>
        </w:rPr>
        <w:t>中标人的确定</w:t>
      </w:r>
      <w:bookmarkEnd w:id="101"/>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02" w:name="_Toc237787629"/>
      <w:r>
        <w:rPr>
          <w:rFonts w:hint="eastAsia" w:ascii="宋体" w:hAnsi="宋体" w:cs="宋体"/>
          <w:color w:val="auto"/>
          <w:szCs w:val="21"/>
          <w:lang w:eastAsia="zh-TW"/>
        </w:rPr>
        <w:t>采购人根据评标委员会提出的书面评标报告和推荐的中标候选人确定中标人。</w:t>
      </w:r>
      <w:bookmarkEnd w:id="102"/>
      <w:r>
        <w:rPr>
          <w:rFonts w:hint="eastAsia" w:ascii="宋体" w:hAnsi="宋体" w:cs="宋体"/>
          <w:color w:val="auto"/>
          <w:szCs w:val="21"/>
          <w:lang w:eastAsia="zh-TW"/>
        </w:rPr>
        <w:t>采购人也可以授权评标委员会直接确定中标人。</w:t>
      </w:r>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03" w:name="_Toc237787633"/>
      <w:r>
        <w:rPr>
          <w:rFonts w:hint="eastAsia" w:ascii="宋体" w:hAnsi="宋体" w:cs="宋体"/>
          <w:color w:val="auto"/>
          <w:szCs w:val="21"/>
          <w:lang w:eastAsia="zh-TW"/>
        </w:rPr>
        <w:t>确认后采购代理机构将在刊登本项目招标公告的法定媒体上发布中标公告。</w:t>
      </w:r>
      <w:bookmarkEnd w:id="103"/>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中标通知书</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中标公告发布的同时，采购代理机构以书面形式向中标人发出</w:t>
      </w:r>
      <w:bookmarkStart w:id="104" w:name="_Toc237787644"/>
      <w:r>
        <w:rPr>
          <w:rFonts w:hint="eastAsia" w:ascii="宋体" w:hAnsi="宋体" w:cs="宋体"/>
          <w:color w:val="auto"/>
          <w:szCs w:val="21"/>
          <w:lang w:eastAsia="zh-TW"/>
        </w:rPr>
        <w:t>《中标通知书》，向采购人及未中标人发出《招标结果通知书》，《中标通知书》对中标人和采购人具有同等法律效力。</w:t>
      </w:r>
      <w:bookmarkEnd w:id="104"/>
    </w:p>
    <w:p>
      <w:pPr>
        <w:numPr>
          <w:ilvl w:val="1"/>
          <w:numId w:val="45"/>
        </w:numPr>
        <w:autoSpaceDE w:val="0"/>
        <w:autoSpaceDN w:val="0"/>
        <w:adjustRightInd w:val="0"/>
        <w:snapToGrid w:val="0"/>
        <w:spacing w:line="360" w:lineRule="auto"/>
        <w:rPr>
          <w:rFonts w:ascii="宋体" w:hAnsi="宋体" w:cs="宋体"/>
          <w:color w:val="auto"/>
          <w:szCs w:val="21"/>
          <w:lang w:eastAsia="zh-TW"/>
        </w:rPr>
      </w:pPr>
      <w:bookmarkStart w:id="105" w:name="_Toc237787646"/>
      <w:r>
        <w:rPr>
          <w:rFonts w:hint="eastAsia" w:ascii="宋体" w:hAnsi="宋体" w:cs="宋体"/>
          <w:color w:val="auto"/>
          <w:szCs w:val="21"/>
          <w:lang w:eastAsia="zh-TW"/>
        </w:rPr>
        <w:t>《中标通知书》发出后，采购人改变中标结果，或者中标人放弃中标的，均应承担相应的法律责任。</w:t>
      </w:r>
      <w:bookmarkEnd w:id="105"/>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《中标通知书》将作为授予合同资格的合法依据，是合同的一个组成部分。</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合同的订立</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除非</w:t>
      </w:r>
      <w:r>
        <w:rPr>
          <w:rFonts w:hint="eastAsia" w:ascii="宋体" w:hAnsi="宋体" w:cs="宋体"/>
          <w:b/>
          <w:color w:val="auto"/>
          <w:szCs w:val="21"/>
        </w:rPr>
        <w:t>投标资料表</w:t>
      </w:r>
      <w:r>
        <w:rPr>
          <w:rFonts w:hint="eastAsia" w:ascii="宋体" w:hAnsi="宋体" w:cs="宋体"/>
          <w:color w:val="auto"/>
          <w:szCs w:val="21"/>
        </w:rPr>
        <w:t>另有规定，</w:t>
      </w:r>
      <w:r>
        <w:rPr>
          <w:rFonts w:hint="eastAsia" w:ascii="宋体" w:hAnsi="宋体" w:cs="宋体"/>
          <w:color w:val="auto"/>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rPr>
        <w:t>。</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招标采购单位不得向中标人提出任何不合理的要求，作为签订合同的条件，不得与中标人私下订立背离合同实质性内容的协议。 </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自</w:t>
      </w:r>
      <w:r>
        <w:rPr>
          <w:rFonts w:hint="eastAsia" w:ascii="宋体" w:hAnsi="宋体" w:cs="宋体"/>
          <w:color w:val="auto"/>
          <w:szCs w:val="21"/>
          <w:lang w:eastAsia="zh-TW"/>
        </w:rPr>
        <w:t>政府采购</w:t>
      </w:r>
      <w:r>
        <w:rPr>
          <w:rFonts w:hint="eastAsia" w:ascii="宋体" w:hAnsi="宋体" w:cs="宋体"/>
          <w:color w:val="auto"/>
          <w:szCs w:val="21"/>
        </w:rPr>
        <w:t>合同签订之日起2</w:t>
      </w:r>
      <w:r>
        <w:rPr>
          <w:rFonts w:hint="eastAsia" w:ascii="宋体" w:hAnsi="宋体" w:cs="宋体"/>
          <w:color w:val="auto"/>
          <w:szCs w:val="21"/>
          <w:lang w:eastAsia="zh-TW"/>
        </w:rPr>
        <w:t>个工作日内，采购人应将政府采购合同</w:t>
      </w:r>
      <w:r>
        <w:rPr>
          <w:rFonts w:hint="eastAsia" w:ascii="宋体" w:hAnsi="宋体" w:cs="宋体"/>
          <w:color w:val="auto"/>
          <w:szCs w:val="21"/>
        </w:rPr>
        <w:t>在省级以上人民政府财政部门指定的媒体上公告，但政府采购合同中涉及国家秘密、商业秘密的内容除外</w:t>
      </w:r>
      <w:r>
        <w:rPr>
          <w:rFonts w:hint="eastAsia" w:ascii="宋体" w:hAnsi="宋体" w:cs="宋体"/>
          <w:color w:val="auto"/>
          <w:szCs w:val="21"/>
          <w:lang w:eastAsia="zh-TW"/>
        </w:rPr>
        <w:t>。</w:t>
      </w:r>
    </w:p>
    <w:p>
      <w:pPr>
        <w:numPr>
          <w:ilvl w:val="1"/>
          <w:numId w:val="4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政府采购</w:t>
      </w:r>
      <w:r>
        <w:rPr>
          <w:rFonts w:hint="eastAsia" w:ascii="宋体" w:hAnsi="宋体" w:cs="宋体"/>
          <w:color w:val="auto"/>
          <w:szCs w:val="21"/>
        </w:rPr>
        <w:t>合同签订之日起七</w:t>
      </w:r>
      <w:r>
        <w:rPr>
          <w:rFonts w:hint="eastAsia" w:ascii="宋体" w:hAnsi="宋体" w:cs="宋体"/>
          <w:color w:val="auto"/>
          <w:szCs w:val="21"/>
          <w:lang w:eastAsia="zh-TW"/>
        </w:rPr>
        <w:t>个工作日内，采购人应将政府采购合同副本报同级监管部门备案</w:t>
      </w:r>
      <w:r>
        <w:rPr>
          <w:rFonts w:hint="eastAsia" w:ascii="宋体" w:hAnsi="宋体" w:cs="宋体"/>
          <w:color w:val="auto"/>
          <w:szCs w:val="21"/>
        </w:rPr>
        <w:t>和有关部门备案</w:t>
      </w:r>
      <w:r>
        <w:rPr>
          <w:rFonts w:hint="eastAsia" w:ascii="宋体" w:hAnsi="宋体" w:cs="宋体"/>
          <w:color w:val="auto"/>
          <w:szCs w:val="21"/>
          <w:lang w:eastAsia="zh-TW"/>
        </w:rPr>
        <w:t>。</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合同的履行</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45"/>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45"/>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招标代理服务费</w:t>
      </w:r>
    </w:p>
    <w:p>
      <w:pPr>
        <w:ind w:firstLine="420" w:firstLineChars="200"/>
        <w:rPr>
          <w:rFonts w:ascii="宋体" w:hAnsi="宋体"/>
          <w:color w:val="auto"/>
          <w:szCs w:val="21"/>
        </w:rPr>
      </w:pPr>
      <w:r>
        <w:rPr>
          <w:rFonts w:hint="eastAsia" w:ascii="宋体" w:hAnsi="宋体"/>
          <w:color w:val="auto"/>
          <w:szCs w:val="21"/>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ascii="宋体" w:hAnsi="宋体"/>
          <w:color w:val="auto"/>
          <w:szCs w:val="21"/>
        </w:rPr>
      </w:pPr>
      <w:r>
        <w:rPr>
          <w:rFonts w:hint="eastAsia" w:ascii="宋体" w:hAnsi="宋体"/>
          <w:color w:val="auto"/>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rPr>
        <w:tab/>
      </w:r>
      <w:r>
        <w:rPr>
          <w:rFonts w:hint="eastAsia" w:ascii="宋体" w:hAnsi="宋体"/>
          <w:color w:val="auto"/>
          <w:szCs w:val="21"/>
        </w:rPr>
        <w:t>中标金额的各部分费率如下表：</w:t>
      </w:r>
    </w:p>
    <w:tbl>
      <w:tblPr>
        <w:tblStyle w:val="22"/>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ascii="宋体" w:hAnsi="宋体"/>
                <w:color w:val="auto"/>
                <w:szCs w:val="21"/>
              </w:rPr>
              <w:pict>
                <v:group id="_x0000_s1027" o:spid="_x0000_s1027" o:spt="203" style="position:absolute;left:0pt;margin-left:-2.6pt;margin-top:0pt;height:41.65pt;width:152.6pt;z-index:251660288;mso-width-relative:page;mso-height-relative:page;" coordorigin="1762,2947" coordsize="3052,740203"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v:line id="直接连接符 1" o:spid="_x0000_s1026" o:spt="20" style="position:absolute;left:1762;top:2947;height:740;width:3052;"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path arrowok="t"/>
                    <v:fill focussize="0,0"/>
                    <v:stroke weight="0.5pt"/>
                    <v:imagedata o:title=""/>
                    <o:lock v:ext="edit"/>
                  </v:line>
                  <v:shape id="文本框 2" o:spid="_x0000_s1033"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费</w:t>
                          </w:r>
                        </w:p>
                      </w:txbxContent>
                    </v:textbox>
                  </v:shape>
                  <v:shape id="文本框 3" o:spid="_x0000_s1032"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率</w:t>
                          </w:r>
                        </w:p>
                      </w:txbxContent>
                    </v:textbox>
                  </v:shape>
                  <v:shape id="文本框 4" o:spid="_x0000_s1031"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中</w:t>
                          </w:r>
                        </w:p>
                      </w:txbxContent>
                    </v:textbox>
                  </v:shape>
                  <v:shape id="文本框 5" o:spid="_x0000_s1030"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标</w:t>
                          </w:r>
                        </w:p>
                      </w:txbxContent>
                    </v:textbox>
                  </v:shape>
                  <v:shape id="文本框 6" o:spid="_x0000_s1029"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金</w:t>
                          </w:r>
                        </w:p>
                      </w:txbxContent>
                    </v:textbox>
                  </v:shape>
                  <v:shape id="文本框 7" o:spid="_x0000_s1028"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额</w:t>
                          </w:r>
                        </w:p>
                      </w:txbxContent>
                    </v:textbox>
                  </v:shape>
                </v:group>
              </w:pic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5000万元～1亿元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0.10％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1亿元～5亿元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5亿元～10亿元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10亿元～50亿元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50亿元～100亿元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100亿元以上</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0.004％</w:t>
            </w:r>
          </w:p>
        </w:tc>
      </w:tr>
    </w:tbl>
    <w:p>
      <w:pPr>
        <w:ind w:firstLine="420" w:firstLineChars="200"/>
        <w:rPr>
          <w:rFonts w:ascii="宋体" w:hAnsi="宋体"/>
          <w:color w:val="auto"/>
          <w:szCs w:val="21"/>
        </w:rPr>
      </w:pPr>
      <w:r>
        <w:rPr>
          <w:rFonts w:hint="eastAsia" w:ascii="宋体" w:hAnsi="宋体"/>
          <w:color w:val="auto"/>
          <w:szCs w:val="21"/>
        </w:rPr>
        <w:t xml:space="preserve">例 如：某服务招标代理项目中标金额为300万元，计算招标代理服务收费额如下： </w:t>
      </w:r>
    </w:p>
    <w:p>
      <w:pPr>
        <w:ind w:left="420" w:leftChars="200"/>
        <w:rPr>
          <w:rFonts w:ascii="宋体" w:hAnsi="宋体"/>
          <w:color w:val="auto"/>
          <w:szCs w:val="21"/>
        </w:rPr>
      </w:pPr>
      <w:r>
        <w:rPr>
          <w:rFonts w:hint="eastAsia" w:ascii="宋体" w:hAnsi="宋体"/>
          <w:color w:val="auto"/>
          <w:szCs w:val="21"/>
        </w:rPr>
        <w:t xml:space="preserve">100万元×1.5%=1.5万元 </w:t>
      </w:r>
      <w:r>
        <w:rPr>
          <w:rFonts w:hint="eastAsia" w:ascii="宋体" w:hAnsi="宋体"/>
          <w:color w:val="auto"/>
          <w:szCs w:val="21"/>
        </w:rPr>
        <w:br w:type="textWrapping"/>
      </w:r>
      <w:r>
        <w:rPr>
          <w:rFonts w:hint="eastAsia" w:ascii="宋体" w:hAnsi="宋体"/>
          <w:color w:val="auto"/>
          <w:szCs w:val="21"/>
        </w:rPr>
        <w:t xml:space="preserve">（300-100）万元×0.8%=1.6万元 </w:t>
      </w:r>
      <w:r>
        <w:rPr>
          <w:rFonts w:hint="eastAsia" w:ascii="宋体" w:hAnsi="宋体"/>
          <w:color w:val="auto"/>
          <w:szCs w:val="21"/>
        </w:rPr>
        <w:br w:type="textWrapping"/>
      </w:r>
      <w:r>
        <w:rPr>
          <w:rFonts w:hint="eastAsia" w:ascii="宋体" w:hAnsi="宋体"/>
          <w:color w:val="auto"/>
          <w:szCs w:val="21"/>
        </w:rPr>
        <w:t xml:space="preserve">合计收费=(1.5+1.6)×80%=2.48（万元） </w:t>
      </w:r>
    </w:p>
    <w:p>
      <w:pPr>
        <w:ind w:firstLine="420" w:firstLineChars="200"/>
        <w:rPr>
          <w:rFonts w:ascii="宋体" w:hAnsi="宋体"/>
          <w:color w:val="auto"/>
          <w:szCs w:val="21"/>
        </w:rPr>
      </w:pPr>
      <w:r>
        <w:rPr>
          <w:rFonts w:hint="eastAsia" w:ascii="宋体" w:hAnsi="宋体"/>
          <w:color w:val="auto"/>
          <w:szCs w:val="21"/>
        </w:rPr>
        <w:t>招标代理费包括专家等一切费用，本项目收费按规定标准下浮20%。</w:t>
      </w:r>
    </w:p>
    <w:p>
      <w:pPr>
        <w:ind w:firstLine="420" w:firstLineChars="200"/>
        <w:rPr>
          <w:rFonts w:ascii="宋体" w:hAnsi="宋体" w:cs="宋体"/>
          <w:color w:val="auto"/>
          <w:szCs w:val="21"/>
        </w:rPr>
      </w:pPr>
      <w:r>
        <w:rPr>
          <w:rFonts w:hint="eastAsia" w:ascii="宋体" w:hAnsi="宋体"/>
          <w:color w:val="auto"/>
          <w:szCs w:val="21"/>
        </w:rPr>
        <w:t>(2)</w:t>
      </w:r>
      <w:r>
        <w:rPr>
          <w:rFonts w:hint="eastAsia" w:ascii="宋体" w:hAnsi="宋体"/>
          <w:color w:val="auto"/>
          <w:szCs w:val="21"/>
        </w:rPr>
        <w:tab/>
      </w:r>
      <w:r>
        <w:rPr>
          <w:rFonts w:hint="eastAsia" w:ascii="宋体" w:hAnsi="宋体"/>
          <w:color w:val="auto"/>
          <w:szCs w:val="21"/>
        </w:rPr>
        <w:t>中标人在领取《中标通知书》时，必须按《交纳服务费承诺书》向采购代理机构直接交纳招标服务费。</w:t>
      </w:r>
    </w:p>
    <w:p>
      <w:pPr>
        <w:numPr>
          <w:ilvl w:val="1"/>
          <w:numId w:val="45"/>
        </w:numPr>
        <w:tabs>
          <w:tab w:val="left" w:pos="709"/>
        </w:tabs>
        <w:autoSpaceDE w:val="0"/>
        <w:autoSpaceDN w:val="0"/>
        <w:adjustRightInd w:val="0"/>
        <w:snapToGrid w:val="0"/>
        <w:rPr>
          <w:rFonts w:ascii="宋体" w:hAnsi="宋体" w:cs="宋体"/>
          <w:color w:val="auto"/>
          <w:szCs w:val="21"/>
        </w:rPr>
      </w:pPr>
      <w:r>
        <w:rPr>
          <w:rFonts w:hint="eastAsia" w:ascii="宋体" w:hAnsi="宋体" w:cs="宋体"/>
          <w:color w:val="auto"/>
          <w:szCs w:val="21"/>
        </w:rPr>
        <w:t>经依法取消中标资格的，招标代理服务费不予退还。</w:t>
      </w:r>
    </w:p>
    <w:p>
      <w:pPr>
        <w:numPr>
          <w:ilvl w:val="0"/>
          <w:numId w:val="45"/>
        </w:numPr>
        <w:autoSpaceDE w:val="0"/>
        <w:autoSpaceDN w:val="0"/>
        <w:adjustRightInd w:val="0"/>
        <w:snapToGrid w:val="0"/>
        <w:spacing w:line="360" w:lineRule="auto"/>
        <w:ind w:left="449" w:hanging="449" w:hangingChars="213"/>
        <w:outlineLvl w:val="2"/>
        <w:rPr>
          <w:rFonts w:ascii="宋体" w:hAnsi="宋体"/>
          <w:b/>
          <w:color w:val="auto"/>
          <w:szCs w:val="21"/>
        </w:rPr>
      </w:pPr>
      <w:r>
        <w:rPr>
          <w:rFonts w:hint="eastAsia" w:ascii="宋体" w:hAnsi="宋体"/>
          <w:b/>
          <w:bCs/>
          <w:color w:val="auto"/>
          <w:szCs w:val="21"/>
        </w:rPr>
        <w:t>询问函、质疑函格式</w:t>
      </w:r>
    </w:p>
    <w:p>
      <w:pPr>
        <w:snapToGrid w:val="0"/>
        <w:spacing w:line="360" w:lineRule="auto"/>
        <w:ind w:firstLine="424" w:firstLineChars="201"/>
        <w:rPr>
          <w:rFonts w:ascii="宋体" w:hAnsi="宋体"/>
          <w:b/>
          <w:color w:val="auto"/>
          <w:szCs w:val="21"/>
        </w:rPr>
      </w:pPr>
      <w:r>
        <w:rPr>
          <w:rFonts w:hint="eastAsia" w:ascii="宋体" w:hAnsi="宋体"/>
          <w:b/>
          <w:color w:val="auto"/>
          <w:szCs w:val="21"/>
        </w:rPr>
        <w:t>说明：本部分格式为投标人提交询问函、质疑函时使用，不属于投标文件格式的组成部分。</w:t>
      </w:r>
    </w:p>
    <w:p>
      <w:pPr>
        <w:spacing w:line="440" w:lineRule="exact"/>
        <w:rPr>
          <w:rFonts w:ascii="宋体" w:hAnsi="宋体"/>
          <w:color w:val="auto"/>
          <w:szCs w:val="21"/>
        </w:rPr>
      </w:pPr>
      <w:r>
        <w:rPr>
          <w:rFonts w:hint="eastAsia" w:ascii="宋体" w:hAnsi="宋体"/>
          <w:bCs/>
          <w:color w:val="auto"/>
          <w:sz w:val="28"/>
        </w:rPr>
        <w:t>1：询问函格式</w:t>
      </w:r>
    </w:p>
    <w:p>
      <w:pPr>
        <w:spacing w:afterLines="50"/>
        <w:jc w:val="center"/>
        <w:rPr>
          <w:rFonts w:ascii="宋体" w:hAnsi="宋体"/>
          <w:b/>
          <w:bCs/>
          <w:color w:val="auto"/>
          <w:sz w:val="28"/>
          <w:szCs w:val="28"/>
        </w:rPr>
      </w:pPr>
      <w:r>
        <w:rPr>
          <w:rFonts w:hint="eastAsia" w:ascii="宋体" w:hAnsi="宋体"/>
          <w:b/>
          <w:bCs/>
          <w:color w:val="auto"/>
          <w:sz w:val="28"/>
          <w:szCs w:val="28"/>
        </w:rPr>
        <w:t>询  问  函</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我单位已报名并准备参与</w:t>
      </w:r>
      <w:r>
        <w:rPr>
          <w:rFonts w:hint="eastAsia" w:ascii="宋体" w:hAnsi="宋体"/>
          <w:color w:val="auto"/>
          <w:szCs w:val="21"/>
          <w:u w:val="single"/>
        </w:rPr>
        <w:t>（项目名称）</w:t>
      </w:r>
      <w:r>
        <w:rPr>
          <w:rFonts w:hint="eastAsia" w:ascii="宋体" w:hAnsi="宋体"/>
          <w:color w:val="auto"/>
          <w:szCs w:val="21"/>
        </w:rPr>
        <w:t>项目（项目采购编号：</w:t>
      </w:r>
      <w:r>
        <w:rPr>
          <w:rFonts w:hint="eastAsia" w:ascii="宋体" w:hAnsi="宋体"/>
          <w:color w:val="auto"/>
          <w:szCs w:val="21"/>
          <w:u w:val="single"/>
        </w:rPr>
        <w:t xml:space="preserve">     </w:t>
      </w:r>
      <w:r>
        <w:rPr>
          <w:rFonts w:hint="eastAsia" w:ascii="宋体" w:hAnsi="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color w:val="auto"/>
          <w:szCs w:val="21"/>
        </w:rPr>
      </w:pPr>
      <w:r>
        <w:rPr>
          <w:rFonts w:hint="eastAsia" w:ascii="宋体" w:hAnsi="宋体"/>
          <w:color w:val="auto"/>
          <w:szCs w:val="21"/>
        </w:rPr>
        <w:t>一、_____________________（事项一）</w:t>
      </w:r>
      <w:r>
        <w:rPr>
          <w:rFonts w:ascii="宋体" w:hAnsi="宋体"/>
          <w:color w:val="auto"/>
          <w:szCs w:val="21"/>
        </w:rPr>
        <w:tab/>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（1）____________________（问题或条款内容）</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（2）____________________（说明疑问或无法理解原因）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（3）____________________（建议）</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二、_____________________（事项二）</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随附相关证明材料如下：（目录）。</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询问人：（公章）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法定代表人（授权代表）：</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地址/邮编：</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电话/传真：</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rPr>
          <w:rFonts w:ascii="宋体" w:hAnsi="宋体"/>
          <w:color w:val="auto"/>
          <w:szCs w:val="21"/>
        </w:rPr>
      </w:pPr>
      <w:r>
        <w:rPr>
          <w:rFonts w:hint="eastAsia" w:ascii="宋体" w:hAnsi="宋体"/>
          <w:bCs/>
          <w:color w:val="auto"/>
          <w:sz w:val="28"/>
        </w:rPr>
        <w:t>2：质疑函格式</w:t>
      </w:r>
    </w:p>
    <w:p>
      <w:pPr>
        <w:spacing w:afterLines="50"/>
        <w:jc w:val="center"/>
        <w:rPr>
          <w:rFonts w:ascii="宋体" w:hAnsi="宋体"/>
          <w:b/>
          <w:bCs/>
          <w:color w:val="auto"/>
          <w:sz w:val="28"/>
          <w:szCs w:val="28"/>
        </w:rPr>
      </w:pPr>
      <w:r>
        <w:rPr>
          <w:rFonts w:ascii="宋体" w:hAnsi="宋体"/>
          <w:b/>
          <w:bCs/>
          <w:color w:val="auto"/>
          <w:sz w:val="28"/>
          <w:szCs w:val="28"/>
        </w:rPr>
        <w:t>质</w:t>
      </w:r>
      <w:r>
        <w:rPr>
          <w:rFonts w:hint="eastAsia" w:ascii="宋体" w:hAnsi="宋体"/>
          <w:b/>
          <w:bCs/>
          <w:color w:val="auto"/>
          <w:sz w:val="28"/>
          <w:szCs w:val="28"/>
        </w:rPr>
        <w:t xml:space="preserve">  </w:t>
      </w:r>
      <w:r>
        <w:rPr>
          <w:rFonts w:ascii="宋体" w:hAnsi="宋体"/>
          <w:b/>
          <w:bCs/>
          <w:color w:val="auto"/>
          <w:sz w:val="28"/>
          <w:szCs w:val="28"/>
        </w:rPr>
        <w:t>疑</w:t>
      </w:r>
      <w:r>
        <w:rPr>
          <w:rFonts w:hint="eastAsia" w:ascii="宋体" w:hAnsi="宋体"/>
          <w:b/>
          <w:bCs/>
          <w:color w:val="auto"/>
          <w:sz w:val="28"/>
          <w:szCs w:val="28"/>
        </w:rPr>
        <w:t xml:space="preserve">  函</w:t>
      </w:r>
    </w:p>
    <w:p>
      <w:pPr>
        <w:widowControl/>
        <w:spacing w:line="360" w:lineRule="auto"/>
        <w:jc w:val="center"/>
        <w:rPr>
          <w:rFonts w:ascii="宋体" w:hAnsi="宋体" w:cs="Tahoma"/>
          <w:b/>
          <w:bCs/>
          <w:color w:val="auto"/>
          <w:spacing w:val="10"/>
          <w:szCs w:val="21"/>
        </w:rPr>
      </w:pPr>
      <w:r>
        <w:rPr>
          <w:rFonts w:hint="eastAsia" w:ascii="宋体" w:hAnsi="宋体" w:cs="Tahoma"/>
          <w:color w:val="auto"/>
          <w:spacing w:val="10"/>
          <w:szCs w:val="21"/>
        </w:rPr>
        <w:t xml:space="preserve"> (可根据质疑内容增加或删减)</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我公司依法参与了</w:t>
      </w:r>
      <w:r>
        <w:rPr>
          <w:rFonts w:hint="eastAsia" w:ascii="宋体" w:hAnsi="宋体"/>
          <w:color w:val="auto"/>
          <w:szCs w:val="21"/>
          <w:u w:val="single"/>
        </w:rPr>
        <w:t>（采购代理机构或采购人）</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日组织的政府采购活动。根据《政府采购法》和《政府采购供应商投诉处理办法》等规定，我公司认为</w:t>
      </w:r>
      <w:r>
        <w:rPr>
          <w:rFonts w:hint="eastAsia" w:ascii="宋体" w:hAnsi="宋体"/>
          <w:color w:val="auto"/>
          <w:szCs w:val="21"/>
          <w:u w:val="single"/>
        </w:rPr>
        <w:t xml:space="preserve"> （采购项目名称）（采购项目编号：     ）</w:t>
      </w:r>
      <w:r>
        <w:rPr>
          <w:rFonts w:hint="eastAsia" w:ascii="宋体" w:hAnsi="宋体"/>
          <w:color w:val="auto"/>
          <w:szCs w:val="21"/>
        </w:rPr>
        <w:t>项目的采购活动中，</w:t>
      </w:r>
      <w:r>
        <w:rPr>
          <w:rFonts w:hint="eastAsia" w:ascii="宋体" w:hAnsi="宋体"/>
          <w:color w:val="auto"/>
          <w:szCs w:val="21"/>
          <w:u w:val="single"/>
        </w:rPr>
        <w:t xml:space="preserve">（采购文件、采购过程、中标/成交结果） </w:t>
      </w:r>
      <w:r>
        <w:rPr>
          <w:rFonts w:hint="eastAsia" w:ascii="宋体" w:hAnsi="宋体"/>
          <w:color w:val="auto"/>
          <w:szCs w:val="21"/>
        </w:rPr>
        <w:t>损害了我公司权益，特提出质疑。</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一、我公司认为项目的</w:t>
      </w:r>
      <w:r>
        <w:rPr>
          <w:rFonts w:hint="eastAsia" w:ascii="宋体" w:hAnsi="宋体"/>
          <w:color w:val="auto"/>
          <w:szCs w:val="21"/>
          <w:u w:val="single"/>
        </w:rPr>
        <w:t>（采购文件、采购过程、中标/成交结果）</w:t>
      </w:r>
      <w:r>
        <w:rPr>
          <w:rFonts w:hint="eastAsia" w:ascii="宋体" w:hAnsi="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质疑采购文件</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1．质疑内容采购文件</w:t>
      </w:r>
      <w:r>
        <w:rPr>
          <w:rFonts w:hint="eastAsia" w:ascii="宋体" w:hAnsi="宋体"/>
          <w:color w:val="auto"/>
          <w:szCs w:val="21"/>
          <w:u w:val="single"/>
        </w:rPr>
        <w:t xml:space="preserve">    </w:t>
      </w:r>
      <w:r>
        <w:rPr>
          <w:rFonts w:hint="eastAsia" w:ascii="宋体" w:hAnsi="宋体"/>
          <w:color w:val="auto"/>
          <w:szCs w:val="21"/>
        </w:rPr>
        <w:t xml:space="preserve">页，内容“ </w:t>
      </w:r>
      <w:r>
        <w:rPr>
          <w:rFonts w:hint="eastAsia" w:ascii="宋体" w:hAnsi="宋体"/>
          <w:color w:val="auto"/>
          <w:szCs w:val="21"/>
          <w:u w:val="single"/>
        </w:rPr>
        <w:t xml:space="preserve">                            </w:t>
      </w:r>
      <w:r>
        <w:rPr>
          <w:rFonts w:hint="eastAsia" w:ascii="宋体" w:hAnsi="宋体"/>
          <w:color w:val="auto"/>
          <w:szCs w:val="21"/>
        </w:rPr>
        <w:t xml:space="preserve"> ” 损害了我公司权益，</w:t>
      </w:r>
    </w:p>
    <w:p>
      <w:pPr>
        <w:widowControl/>
        <w:snapToGrid w:val="0"/>
        <w:spacing w:line="360" w:lineRule="auto"/>
        <w:ind w:firstLine="735" w:firstLineChars="350"/>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我方请求采购文件做如下修改：</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我方对采购文件其他内容无质疑。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质疑采购过程</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日，在</w:t>
      </w:r>
      <w:r>
        <w:rPr>
          <w:rFonts w:hint="eastAsia" w:ascii="宋体" w:hAnsi="宋体"/>
          <w:color w:val="auto"/>
          <w:szCs w:val="21"/>
          <w:u w:val="single"/>
        </w:rPr>
        <w:t xml:space="preserve">                          </w:t>
      </w:r>
      <w:r>
        <w:rPr>
          <w:rFonts w:hint="eastAsia" w:ascii="宋体" w:hAnsi="宋体"/>
          <w:color w:val="auto"/>
          <w:szCs w:val="21"/>
        </w:rPr>
        <w:t>进行的（收取采购文件（样品）、开标、谈判）过程，发生损害了我公司权益的事项，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我方对其他采购过程无质疑。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质疑采购结果</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日公布的中标（成交）结果，发生损害了我公司权益的事项，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我方对中标（成交）结果公告其他内容无质疑。</w:t>
      </w:r>
    </w:p>
    <w:p>
      <w:pPr>
        <w:widowControl/>
        <w:snapToGrid w:val="0"/>
        <w:spacing w:line="360" w:lineRule="auto"/>
        <w:ind w:firstLine="420" w:firstLineChars="200"/>
        <w:rPr>
          <w:rFonts w:ascii="宋体" w:hAnsi="宋体"/>
          <w:color w:val="auto"/>
          <w:szCs w:val="21"/>
        </w:rPr>
      </w:pP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质疑供应商</w:t>
      </w:r>
      <w:r>
        <w:rPr>
          <w:rFonts w:hint="eastAsia" w:ascii="宋体" w:hAnsi="宋体"/>
          <w:color w:val="auto"/>
          <w:szCs w:val="21"/>
          <w:u w:val="single"/>
        </w:rPr>
        <w:t xml:space="preserve">： （签章）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主要负责人 ：</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职位：</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电话（手机/座机）：</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邮编：</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widowControl/>
        <w:snapToGrid w:val="0"/>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备注：</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每个质疑事项应有与之相对应的证据予以支持。质疑事项属于涉密的，应提供信息来源或有效证据。</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46"/>
        </w:numPr>
        <w:snapToGrid w:val="0"/>
        <w:spacing w:line="360" w:lineRule="auto"/>
        <w:rPr>
          <w:rFonts w:ascii="宋体" w:hAnsi="宋体"/>
          <w:color w:val="auto"/>
          <w:szCs w:val="21"/>
        </w:rPr>
      </w:pPr>
      <w:r>
        <w:rPr>
          <w:rFonts w:hint="eastAsia" w:ascii="宋体" w:hAnsi="宋体"/>
          <w:color w:val="auto"/>
          <w:szCs w:val="21"/>
        </w:rPr>
        <w:t>质疑函应当署名。质疑人为自然人的，应当有本人签名；质疑人为法人或者其他组织的，应当由法定代表人或者主要负责人</w:t>
      </w:r>
      <w:r>
        <w:rPr>
          <w:rFonts w:hint="eastAsia" w:ascii="宋体" w:hAnsi="宋体" w:cs="宋体"/>
          <w:color w:val="auto"/>
          <w:szCs w:val="21"/>
          <w:lang w:eastAsia="zh-TW"/>
        </w:rPr>
        <w:t>签署本人姓名（或印盖本人姓名章）</w:t>
      </w:r>
      <w:r>
        <w:rPr>
          <w:rFonts w:hint="eastAsia" w:ascii="宋体" w:hAnsi="宋体"/>
          <w:color w:val="auto"/>
          <w:szCs w:val="21"/>
        </w:rPr>
        <w:t>并加盖公章。</w:t>
      </w:r>
    </w:p>
    <w:p>
      <w:pPr>
        <w:widowControl/>
        <w:numPr>
          <w:ilvl w:val="0"/>
          <w:numId w:val="46"/>
        </w:numPr>
        <w:snapToGrid w:val="0"/>
        <w:spacing w:line="360" w:lineRule="auto"/>
        <w:rPr>
          <w:rFonts w:ascii="宋体" w:hAnsi="宋体"/>
          <w:color w:val="auto"/>
          <w:szCs w:val="21"/>
        </w:rPr>
      </w:pPr>
      <w:r>
        <w:rPr>
          <w:rFonts w:hint="eastAsia" w:ascii="宋体" w:hAnsi="宋体"/>
          <w:b/>
          <w:color w:val="auto"/>
          <w:szCs w:val="21"/>
        </w:rPr>
        <w:t>不按上述要求拟写的质疑函，采购代理机构将有可能不予回复。</w:t>
      </w:r>
    </w:p>
    <w:p>
      <w:pPr>
        <w:spacing w:line="440" w:lineRule="exact"/>
        <w:rPr>
          <w:rFonts w:ascii="宋体" w:hAnsi="宋体"/>
          <w:color w:val="auto"/>
          <w:sz w:val="24"/>
        </w:rPr>
      </w:pPr>
    </w:p>
    <w:p>
      <w:pPr>
        <w:rPr>
          <w:rFonts w:ascii="宋体" w:hAnsi="宋体"/>
          <w:color w:val="auto"/>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Arial Unicode MS"/>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http://www.baochengdaili.com/                     第</w:t>
    </w:r>
    <w:r>
      <w:fldChar w:fldCharType="begin"/>
    </w:r>
    <w:r>
      <w:rPr>
        <w:rStyle w:val="19"/>
      </w:rPr>
      <w:instrText xml:space="preserve"> PAGE </w:instrText>
    </w:r>
    <w:r>
      <w:fldChar w:fldCharType="separate"/>
    </w:r>
    <w:r>
      <w:rPr>
        <w:rStyle w:val="19"/>
      </w:rPr>
      <w:t>2</w:t>
    </w:r>
    <w:r>
      <w:fldChar w:fldCharType="end"/>
    </w:r>
    <w:r>
      <w:rPr>
        <w:rStyle w:val="19"/>
        <w:rFonts w:hint="eastAsia"/>
      </w:rPr>
      <w:t>页，共</w:t>
    </w:r>
    <w:r>
      <w:fldChar w:fldCharType="begin"/>
    </w:r>
    <w:r>
      <w:rPr>
        <w:rStyle w:val="19"/>
      </w:rPr>
      <w:instrText xml:space="preserve"> NUMPAGES </w:instrText>
    </w:r>
    <w:r>
      <w:fldChar w:fldCharType="separate"/>
    </w:r>
    <w:r>
      <w:rPr>
        <w:rStyle w:val="19"/>
      </w:rPr>
      <w:t>86</w:t>
    </w:r>
    <w:r>
      <w:fldChar w:fldCharType="end"/>
    </w:r>
    <w:r>
      <w:rPr>
        <w:rStyle w:val="19"/>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2021年市桥街环卫车辆易损件采购项目</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项目编号：</w:t>
    </w:r>
    <w:r>
      <w:rPr>
        <w:rFonts w:hint="eastAsia" w:ascii="宋体" w:hAnsi="宋体"/>
        <w:bCs/>
        <w:lang w:eastAsia="zh-CN"/>
      </w:rPr>
      <w:t>GZBC20HG12010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E6996"/>
    <w:multiLevelType w:val="singleLevel"/>
    <w:tmpl w:val="857E6996"/>
    <w:lvl w:ilvl="0" w:tentative="0">
      <w:start w:val="1"/>
      <w:numFmt w:val="decimal"/>
      <w:lvlText w:val="%1"/>
      <w:lvlJc w:val="left"/>
      <w:pPr>
        <w:tabs>
          <w:tab w:val="left" w:pos="420"/>
        </w:tabs>
        <w:ind w:left="425" w:hanging="425"/>
      </w:pPr>
      <w:rPr>
        <w:rFonts w:hint="default"/>
      </w:rPr>
    </w:lvl>
  </w:abstractNum>
  <w:abstractNum w:abstractNumId="1">
    <w:nsid w:val="8C66AAA1"/>
    <w:multiLevelType w:val="singleLevel"/>
    <w:tmpl w:val="8C66AAA1"/>
    <w:lvl w:ilvl="0" w:tentative="0">
      <w:start w:val="1"/>
      <w:numFmt w:val="decimal"/>
      <w:lvlText w:val="%1"/>
      <w:lvlJc w:val="left"/>
      <w:pPr>
        <w:tabs>
          <w:tab w:val="left" w:pos="420"/>
        </w:tabs>
        <w:ind w:left="425" w:hanging="425"/>
      </w:pPr>
      <w:rPr>
        <w:rFonts w:hint="default"/>
      </w:rPr>
    </w:lvl>
  </w:abstractNum>
  <w:abstractNum w:abstractNumId="2">
    <w:nsid w:val="973FC3A8"/>
    <w:multiLevelType w:val="singleLevel"/>
    <w:tmpl w:val="973FC3A8"/>
    <w:lvl w:ilvl="0" w:tentative="0">
      <w:start w:val="1"/>
      <w:numFmt w:val="decimal"/>
      <w:lvlText w:val="%1"/>
      <w:lvlJc w:val="left"/>
      <w:pPr>
        <w:tabs>
          <w:tab w:val="left" w:pos="420"/>
        </w:tabs>
        <w:ind w:left="425" w:hanging="425"/>
      </w:pPr>
      <w:rPr>
        <w:rFonts w:hint="default"/>
      </w:rPr>
    </w:lvl>
  </w:abstractNum>
  <w:abstractNum w:abstractNumId="3">
    <w:nsid w:val="C6E17C58"/>
    <w:multiLevelType w:val="singleLevel"/>
    <w:tmpl w:val="C6E17C58"/>
    <w:lvl w:ilvl="0" w:tentative="0">
      <w:start w:val="1"/>
      <w:numFmt w:val="decimal"/>
      <w:lvlText w:val="%1"/>
      <w:lvlJc w:val="left"/>
      <w:pPr>
        <w:tabs>
          <w:tab w:val="left" w:pos="420"/>
        </w:tabs>
        <w:ind w:left="425" w:hanging="425"/>
      </w:pPr>
      <w:rPr>
        <w:rFonts w:hint="default"/>
      </w:rPr>
    </w:lvl>
  </w:abstractNum>
  <w:abstractNum w:abstractNumId="4">
    <w:nsid w:val="E4012133"/>
    <w:multiLevelType w:val="multilevel"/>
    <w:tmpl w:val="E4012133"/>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EFAF1EDE"/>
    <w:multiLevelType w:val="singleLevel"/>
    <w:tmpl w:val="EFAF1EDE"/>
    <w:lvl w:ilvl="0" w:tentative="0">
      <w:start w:val="1"/>
      <w:numFmt w:val="decimal"/>
      <w:lvlText w:val="%1"/>
      <w:lvlJc w:val="left"/>
      <w:pPr>
        <w:tabs>
          <w:tab w:val="left" w:pos="420"/>
        </w:tabs>
        <w:ind w:left="425" w:hanging="425"/>
      </w:pPr>
      <w:rPr>
        <w:rFonts w:hint="default"/>
      </w:rPr>
    </w:lvl>
  </w:abstractNum>
  <w:abstractNum w:abstractNumId="6">
    <w:nsid w:val="F13B068B"/>
    <w:multiLevelType w:val="singleLevel"/>
    <w:tmpl w:val="F13B068B"/>
    <w:lvl w:ilvl="0" w:tentative="0">
      <w:start w:val="1"/>
      <w:numFmt w:val="decimal"/>
      <w:lvlText w:val="%1"/>
      <w:lvlJc w:val="left"/>
      <w:pPr>
        <w:tabs>
          <w:tab w:val="left" w:pos="420"/>
        </w:tabs>
        <w:ind w:left="425" w:hanging="425"/>
      </w:pPr>
      <w:rPr>
        <w:rFonts w:hint="default"/>
      </w:rPr>
    </w:lvl>
  </w:abstractNum>
  <w:abstractNum w:abstractNumId="7">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F62668"/>
    <w:multiLevelType w:val="multilevel"/>
    <w:tmpl w:val="03F62668"/>
    <w:lvl w:ilvl="0" w:tentative="0">
      <w:start w:val="1"/>
      <w:numFmt w:val="chineseCountingThousand"/>
      <w:lvlText w:val="%1、"/>
      <w:lvlJc w:val="left"/>
      <w:pPr>
        <w:ind w:left="425" w:hanging="425"/>
      </w:pPr>
      <w:rPr>
        <w:b w:val="0"/>
        <w:i w:val="0"/>
        <w:color w:val="auto"/>
        <w:sz w:val="24"/>
        <w:szCs w:val="24"/>
      </w:rPr>
    </w:lvl>
    <w:lvl w:ilvl="1" w:tentative="0">
      <w:start w:val="1"/>
      <w:numFmt w:val="chineseCountingThousand"/>
      <w:lvlText w:val="(%2)"/>
      <w:lvlJc w:val="left"/>
      <w:pPr>
        <w:ind w:left="567" w:hanging="567"/>
      </w:pPr>
      <w:rPr>
        <w:rFonts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07AE746A"/>
    <w:multiLevelType w:val="singleLevel"/>
    <w:tmpl w:val="07AE746A"/>
    <w:lvl w:ilvl="0" w:tentative="0">
      <w:start w:val="1"/>
      <w:numFmt w:val="decimal"/>
      <w:lvlText w:val="%1."/>
      <w:lvlJc w:val="left"/>
      <w:pPr>
        <w:tabs>
          <w:tab w:val="left" w:pos="312"/>
        </w:tabs>
      </w:pPr>
    </w:lvl>
  </w:abstractNum>
  <w:abstractNum w:abstractNumId="11">
    <w:nsid w:val="0993D3ED"/>
    <w:multiLevelType w:val="singleLevel"/>
    <w:tmpl w:val="0993D3ED"/>
    <w:lvl w:ilvl="0" w:tentative="0">
      <w:start w:val="1"/>
      <w:numFmt w:val="decimal"/>
      <w:lvlText w:val="%1"/>
      <w:lvlJc w:val="left"/>
      <w:pPr>
        <w:tabs>
          <w:tab w:val="left" w:pos="420"/>
        </w:tabs>
        <w:ind w:left="425" w:hanging="425"/>
      </w:pPr>
      <w:rPr>
        <w:rFonts w:hint="default"/>
      </w:rPr>
    </w:lvl>
  </w:abstractNum>
  <w:abstractNum w:abstractNumId="12">
    <w:nsid w:val="0E046E1E"/>
    <w:multiLevelType w:val="multilevel"/>
    <w:tmpl w:val="0E046E1E"/>
    <w:lvl w:ilvl="0" w:tentative="0">
      <w:start w:val="1"/>
      <w:numFmt w:val="chineseCountingThousand"/>
      <w:lvlText w:val="%1、"/>
      <w:lvlJc w:val="left"/>
      <w:pPr>
        <w:tabs>
          <w:tab w:val="left" w:pos="1134"/>
        </w:tabs>
        <w:ind w:left="2642"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1F5C2B"/>
    <w:multiLevelType w:val="multilevel"/>
    <w:tmpl w:val="1C1F5C2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18">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B43FCF1"/>
    <w:multiLevelType w:val="singleLevel"/>
    <w:tmpl w:val="2B43FCF1"/>
    <w:lvl w:ilvl="0" w:tentative="0">
      <w:start w:val="1"/>
      <w:numFmt w:val="decimal"/>
      <w:lvlText w:val="%1"/>
      <w:lvlJc w:val="left"/>
      <w:pPr>
        <w:tabs>
          <w:tab w:val="left" w:pos="420"/>
        </w:tabs>
        <w:ind w:left="425" w:hanging="425"/>
      </w:pPr>
      <w:rPr>
        <w:rFonts w:hint="default"/>
      </w:rPr>
    </w:lvl>
  </w:abstractNum>
  <w:abstractNum w:abstractNumId="21">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3">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25">
    <w:nsid w:val="41D7EC61"/>
    <w:multiLevelType w:val="singleLevel"/>
    <w:tmpl w:val="41D7EC61"/>
    <w:lvl w:ilvl="0" w:tentative="0">
      <w:start w:val="1"/>
      <w:numFmt w:val="decimal"/>
      <w:lvlText w:val="%1"/>
      <w:lvlJc w:val="left"/>
      <w:pPr>
        <w:tabs>
          <w:tab w:val="left" w:pos="420"/>
        </w:tabs>
        <w:ind w:left="425" w:hanging="425"/>
      </w:pPr>
      <w:rPr>
        <w:rFonts w:hint="default"/>
      </w:rPr>
    </w:lvl>
  </w:abstractNum>
  <w:abstractNum w:abstractNumId="26">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43BE665"/>
    <w:multiLevelType w:val="singleLevel"/>
    <w:tmpl w:val="443BE665"/>
    <w:lvl w:ilvl="0" w:tentative="0">
      <w:start w:val="1"/>
      <w:numFmt w:val="decimal"/>
      <w:lvlText w:val="%1"/>
      <w:lvlJc w:val="left"/>
      <w:pPr>
        <w:tabs>
          <w:tab w:val="left" w:pos="420"/>
        </w:tabs>
        <w:ind w:left="425" w:hanging="425"/>
      </w:pPr>
      <w:rPr>
        <w:rFonts w:hint="default"/>
      </w:rPr>
    </w:lvl>
  </w:abstractNum>
  <w:abstractNum w:abstractNumId="2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6"/>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4">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5">
    <w:nsid w:val="51447D86"/>
    <w:multiLevelType w:val="singleLevel"/>
    <w:tmpl w:val="51447D86"/>
    <w:lvl w:ilvl="0" w:tentative="0">
      <w:start w:val="1"/>
      <w:numFmt w:val="decimal"/>
      <w:suff w:val="space"/>
      <w:lvlText w:val="%1."/>
      <w:lvlJc w:val="left"/>
    </w:lvl>
  </w:abstractNum>
  <w:abstractNum w:abstractNumId="36">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0">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2">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5">
    <w:nsid w:val="7F0E593A"/>
    <w:multiLevelType w:val="singleLevel"/>
    <w:tmpl w:val="7F0E593A"/>
    <w:lvl w:ilvl="0" w:tentative="0">
      <w:start w:val="1"/>
      <w:numFmt w:val="decimal"/>
      <w:lvlText w:val="%1"/>
      <w:lvlJc w:val="left"/>
      <w:pPr>
        <w:tabs>
          <w:tab w:val="left" w:pos="420"/>
        </w:tabs>
        <w:ind w:left="425" w:hanging="425"/>
      </w:pPr>
      <w:rPr>
        <w:rFonts w:hint="default"/>
      </w:rPr>
    </w:lvl>
  </w:abstractNum>
  <w:num w:numId="1">
    <w:abstractNumId w:val="3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6"/>
  </w:num>
  <w:num w:numId="5">
    <w:abstractNumId w:val="19"/>
  </w:num>
  <w:num w:numId="6">
    <w:abstractNumId w:val="33"/>
  </w:num>
  <w:num w:numId="7">
    <w:abstractNumId w:val="29"/>
  </w:num>
  <w:num w:numId="8">
    <w:abstractNumId w:val="18"/>
  </w:num>
  <w:num w:numId="9">
    <w:abstractNumId w:val="16"/>
  </w:num>
  <w:num w:numId="10">
    <w:abstractNumId w:val="23"/>
  </w:num>
  <w:num w:numId="11">
    <w:abstractNumId w:val="10"/>
  </w:num>
  <w:num w:numId="12">
    <w:abstractNumId w:val="34"/>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3"/>
  </w:num>
  <w:num w:numId="18">
    <w:abstractNumId w:val="27"/>
  </w:num>
  <w:num w:numId="19">
    <w:abstractNumId w:val="0"/>
  </w:num>
  <w:num w:numId="20">
    <w:abstractNumId w:val="5"/>
  </w:num>
  <w:num w:numId="21">
    <w:abstractNumId w:val="45"/>
  </w:num>
  <w:num w:numId="22">
    <w:abstractNumId w:val="11"/>
  </w:num>
  <w:num w:numId="23">
    <w:abstractNumId w:val="1"/>
  </w:num>
  <w:num w:numId="24">
    <w:abstractNumId w:val="20"/>
  </w:num>
  <w:num w:numId="25">
    <w:abstractNumId w:val="25"/>
  </w:num>
  <w:num w:numId="26">
    <w:abstractNumId w:val="2"/>
  </w:num>
  <w:num w:numId="27">
    <w:abstractNumId w:val="6"/>
  </w:num>
  <w:num w:numId="28">
    <w:abstractNumId w:val="39"/>
  </w:num>
  <w:num w:numId="29">
    <w:abstractNumId w:val="22"/>
  </w:num>
  <w:num w:numId="30">
    <w:abstractNumId w:val="44"/>
  </w:num>
  <w:num w:numId="31">
    <w:abstractNumId w:val="14"/>
  </w:num>
  <w:num w:numId="32">
    <w:abstractNumId w:val="4"/>
  </w:num>
  <w:num w:numId="33">
    <w:abstractNumId w:val="21"/>
  </w:num>
  <w:num w:numId="34">
    <w:abstractNumId w:val="24"/>
  </w:num>
  <w:num w:numId="35">
    <w:abstractNumId w:val="43"/>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7"/>
  </w:num>
  <w:num w:numId="40">
    <w:abstractNumId w:val="35"/>
  </w:num>
  <w:num w:numId="41">
    <w:abstractNumId w:val="15"/>
  </w:num>
  <w:num w:numId="42">
    <w:abstractNumId w:val="32"/>
  </w:num>
  <w:num w:numId="43">
    <w:abstractNumId w:val="42"/>
  </w:num>
  <w:num w:numId="44">
    <w:abstractNumId w:val="40"/>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759"/>
    <w:rsid w:val="000809FA"/>
    <w:rsid w:val="000F33E4"/>
    <w:rsid w:val="00107439"/>
    <w:rsid w:val="0012180D"/>
    <w:rsid w:val="00220759"/>
    <w:rsid w:val="002E3CFA"/>
    <w:rsid w:val="00301DB2"/>
    <w:rsid w:val="00373922"/>
    <w:rsid w:val="003763E5"/>
    <w:rsid w:val="0038138A"/>
    <w:rsid w:val="003A662A"/>
    <w:rsid w:val="003B2DD3"/>
    <w:rsid w:val="004154B6"/>
    <w:rsid w:val="005F146C"/>
    <w:rsid w:val="00603374"/>
    <w:rsid w:val="00616B8E"/>
    <w:rsid w:val="0062088E"/>
    <w:rsid w:val="00650291"/>
    <w:rsid w:val="0067792F"/>
    <w:rsid w:val="006B1FB3"/>
    <w:rsid w:val="006B5DE0"/>
    <w:rsid w:val="006E789D"/>
    <w:rsid w:val="006F29FD"/>
    <w:rsid w:val="007027DC"/>
    <w:rsid w:val="007036BF"/>
    <w:rsid w:val="00755DCC"/>
    <w:rsid w:val="007E1F5B"/>
    <w:rsid w:val="00800827"/>
    <w:rsid w:val="00815D98"/>
    <w:rsid w:val="00895D82"/>
    <w:rsid w:val="008B7A88"/>
    <w:rsid w:val="008D4028"/>
    <w:rsid w:val="008E0F27"/>
    <w:rsid w:val="0091698C"/>
    <w:rsid w:val="009713FA"/>
    <w:rsid w:val="009B097A"/>
    <w:rsid w:val="00A41C84"/>
    <w:rsid w:val="00A44054"/>
    <w:rsid w:val="00A518DB"/>
    <w:rsid w:val="00A61108"/>
    <w:rsid w:val="00AE37D2"/>
    <w:rsid w:val="00B178F4"/>
    <w:rsid w:val="00B45D29"/>
    <w:rsid w:val="00C22F78"/>
    <w:rsid w:val="00C663EE"/>
    <w:rsid w:val="00CA70B5"/>
    <w:rsid w:val="00CD0622"/>
    <w:rsid w:val="00CE1F05"/>
    <w:rsid w:val="00D03D82"/>
    <w:rsid w:val="00D14864"/>
    <w:rsid w:val="00D73EAA"/>
    <w:rsid w:val="00DB03A3"/>
    <w:rsid w:val="00E44955"/>
    <w:rsid w:val="00E85DCC"/>
    <w:rsid w:val="00EA02F9"/>
    <w:rsid w:val="00EC4661"/>
    <w:rsid w:val="00EC4D8B"/>
    <w:rsid w:val="00EE6351"/>
    <w:rsid w:val="00EE71D4"/>
    <w:rsid w:val="00F21BAD"/>
    <w:rsid w:val="00F36428"/>
    <w:rsid w:val="00F90625"/>
    <w:rsid w:val="00FA6B7E"/>
    <w:rsid w:val="00FE0B1C"/>
    <w:rsid w:val="01076FD7"/>
    <w:rsid w:val="010D45D7"/>
    <w:rsid w:val="01100146"/>
    <w:rsid w:val="01177C71"/>
    <w:rsid w:val="011A451D"/>
    <w:rsid w:val="011E610E"/>
    <w:rsid w:val="01233CB9"/>
    <w:rsid w:val="01255D48"/>
    <w:rsid w:val="012D6130"/>
    <w:rsid w:val="013446F5"/>
    <w:rsid w:val="013924F5"/>
    <w:rsid w:val="013D7117"/>
    <w:rsid w:val="01425063"/>
    <w:rsid w:val="01456C0A"/>
    <w:rsid w:val="01460851"/>
    <w:rsid w:val="014A2C98"/>
    <w:rsid w:val="014A752A"/>
    <w:rsid w:val="01543ABB"/>
    <w:rsid w:val="01692646"/>
    <w:rsid w:val="016A0798"/>
    <w:rsid w:val="016B1954"/>
    <w:rsid w:val="01863C37"/>
    <w:rsid w:val="01A023BB"/>
    <w:rsid w:val="01AB3259"/>
    <w:rsid w:val="01AB439B"/>
    <w:rsid w:val="01B66F67"/>
    <w:rsid w:val="01B864DF"/>
    <w:rsid w:val="01BA3379"/>
    <w:rsid w:val="01BD240D"/>
    <w:rsid w:val="01BE2DA5"/>
    <w:rsid w:val="01C0060E"/>
    <w:rsid w:val="01CC04BD"/>
    <w:rsid w:val="01CE6F13"/>
    <w:rsid w:val="01CF5629"/>
    <w:rsid w:val="01D829F2"/>
    <w:rsid w:val="01E76F96"/>
    <w:rsid w:val="01EA4213"/>
    <w:rsid w:val="01EE06D9"/>
    <w:rsid w:val="01F25280"/>
    <w:rsid w:val="01F40FA5"/>
    <w:rsid w:val="01FE472A"/>
    <w:rsid w:val="020739DD"/>
    <w:rsid w:val="020D4CB8"/>
    <w:rsid w:val="021D40B0"/>
    <w:rsid w:val="02206911"/>
    <w:rsid w:val="02235477"/>
    <w:rsid w:val="02246E58"/>
    <w:rsid w:val="022D2B4F"/>
    <w:rsid w:val="02342AF7"/>
    <w:rsid w:val="0237773C"/>
    <w:rsid w:val="02427C6A"/>
    <w:rsid w:val="024545E6"/>
    <w:rsid w:val="02485AE1"/>
    <w:rsid w:val="024910A2"/>
    <w:rsid w:val="02496491"/>
    <w:rsid w:val="02516405"/>
    <w:rsid w:val="02571DE8"/>
    <w:rsid w:val="025B1A52"/>
    <w:rsid w:val="025B3DAF"/>
    <w:rsid w:val="025C408B"/>
    <w:rsid w:val="02616F3B"/>
    <w:rsid w:val="02764D92"/>
    <w:rsid w:val="0285293B"/>
    <w:rsid w:val="028F2637"/>
    <w:rsid w:val="028F5FC3"/>
    <w:rsid w:val="029022D1"/>
    <w:rsid w:val="02935333"/>
    <w:rsid w:val="029B0320"/>
    <w:rsid w:val="02A02BEF"/>
    <w:rsid w:val="02A114C6"/>
    <w:rsid w:val="02B30F4C"/>
    <w:rsid w:val="02B6787A"/>
    <w:rsid w:val="02C103D8"/>
    <w:rsid w:val="02C85C4D"/>
    <w:rsid w:val="02CA1787"/>
    <w:rsid w:val="02D04232"/>
    <w:rsid w:val="02D9087F"/>
    <w:rsid w:val="02D9796E"/>
    <w:rsid w:val="02DF7AD4"/>
    <w:rsid w:val="02EC4A73"/>
    <w:rsid w:val="02ED1E35"/>
    <w:rsid w:val="02FF6296"/>
    <w:rsid w:val="030179D7"/>
    <w:rsid w:val="03022A39"/>
    <w:rsid w:val="03205778"/>
    <w:rsid w:val="03236AC2"/>
    <w:rsid w:val="03251CA2"/>
    <w:rsid w:val="03256779"/>
    <w:rsid w:val="03331E67"/>
    <w:rsid w:val="03525BB4"/>
    <w:rsid w:val="03672518"/>
    <w:rsid w:val="03687111"/>
    <w:rsid w:val="037E27E8"/>
    <w:rsid w:val="037F7BA2"/>
    <w:rsid w:val="03845F0D"/>
    <w:rsid w:val="038E075C"/>
    <w:rsid w:val="039879F7"/>
    <w:rsid w:val="03B56F97"/>
    <w:rsid w:val="03CC74A6"/>
    <w:rsid w:val="03D11AFF"/>
    <w:rsid w:val="03DE1AAF"/>
    <w:rsid w:val="03E12C23"/>
    <w:rsid w:val="03E145CE"/>
    <w:rsid w:val="03EB5EA0"/>
    <w:rsid w:val="03F94376"/>
    <w:rsid w:val="040075A3"/>
    <w:rsid w:val="040258F9"/>
    <w:rsid w:val="040635BC"/>
    <w:rsid w:val="041450C2"/>
    <w:rsid w:val="041E5662"/>
    <w:rsid w:val="04202074"/>
    <w:rsid w:val="042B32BA"/>
    <w:rsid w:val="042C421D"/>
    <w:rsid w:val="042C45F3"/>
    <w:rsid w:val="0435791D"/>
    <w:rsid w:val="04366A2A"/>
    <w:rsid w:val="043D32A2"/>
    <w:rsid w:val="044279CF"/>
    <w:rsid w:val="044D7F7C"/>
    <w:rsid w:val="04507948"/>
    <w:rsid w:val="04605644"/>
    <w:rsid w:val="04643FB1"/>
    <w:rsid w:val="046766D3"/>
    <w:rsid w:val="047139A6"/>
    <w:rsid w:val="047F5C61"/>
    <w:rsid w:val="04835712"/>
    <w:rsid w:val="04856217"/>
    <w:rsid w:val="048D2B18"/>
    <w:rsid w:val="04A53FE1"/>
    <w:rsid w:val="04B02EDC"/>
    <w:rsid w:val="04B45049"/>
    <w:rsid w:val="04B65CA3"/>
    <w:rsid w:val="04BC3200"/>
    <w:rsid w:val="04C5482A"/>
    <w:rsid w:val="04CA5CA6"/>
    <w:rsid w:val="04CF7C8B"/>
    <w:rsid w:val="04D06007"/>
    <w:rsid w:val="04D4516F"/>
    <w:rsid w:val="04DF3D66"/>
    <w:rsid w:val="04E6270B"/>
    <w:rsid w:val="04E751A9"/>
    <w:rsid w:val="04EB7DBE"/>
    <w:rsid w:val="04F2702F"/>
    <w:rsid w:val="04F663E2"/>
    <w:rsid w:val="04F75E4C"/>
    <w:rsid w:val="05075E5F"/>
    <w:rsid w:val="051154FD"/>
    <w:rsid w:val="051D5098"/>
    <w:rsid w:val="05232673"/>
    <w:rsid w:val="05237F8E"/>
    <w:rsid w:val="05240ECE"/>
    <w:rsid w:val="053A443A"/>
    <w:rsid w:val="05433EC5"/>
    <w:rsid w:val="0550338B"/>
    <w:rsid w:val="05512A36"/>
    <w:rsid w:val="055C1DDF"/>
    <w:rsid w:val="055E6D0B"/>
    <w:rsid w:val="05640F83"/>
    <w:rsid w:val="056D0EEA"/>
    <w:rsid w:val="057640AD"/>
    <w:rsid w:val="05777728"/>
    <w:rsid w:val="05861571"/>
    <w:rsid w:val="05983E54"/>
    <w:rsid w:val="05994730"/>
    <w:rsid w:val="059959FF"/>
    <w:rsid w:val="059C7058"/>
    <w:rsid w:val="059D0DCC"/>
    <w:rsid w:val="05A4072B"/>
    <w:rsid w:val="05A66373"/>
    <w:rsid w:val="05B13918"/>
    <w:rsid w:val="05B30505"/>
    <w:rsid w:val="05B601C1"/>
    <w:rsid w:val="05BD281A"/>
    <w:rsid w:val="05C3500F"/>
    <w:rsid w:val="05C5601A"/>
    <w:rsid w:val="05C66CFE"/>
    <w:rsid w:val="05D46C1C"/>
    <w:rsid w:val="05D561DA"/>
    <w:rsid w:val="05D56952"/>
    <w:rsid w:val="05D71877"/>
    <w:rsid w:val="05D92701"/>
    <w:rsid w:val="05DA060F"/>
    <w:rsid w:val="05DF719E"/>
    <w:rsid w:val="05EC7AC4"/>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622738"/>
    <w:rsid w:val="06683F90"/>
    <w:rsid w:val="06751F36"/>
    <w:rsid w:val="068A729F"/>
    <w:rsid w:val="068B51FF"/>
    <w:rsid w:val="068E350E"/>
    <w:rsid w:val="06915C39"/>
    <w:rsid w:val="069D4ABD"/>
    <w:rsid w:val="06A00F45"/>
    <w:rsid w:val="06A911AE"/>
    <w:rsid w:val="06A94E70"/>
    <w:rsid w:val="06C51603"/>
    <w:rsid w:val="06C670A8"/>
    <w:rsid w:val="06CA744A"/>
    <w:rsid w:val="06D17F81"/>
    <w:rsid w:val="06DD4E3D"/>
    <w:rsid w:val="06ED59AB"/>
    <w:rsid w:val="06F17DC5"/>
    <w:rsid w:val="06F5637C"/>
    <w:rsid w:val="06F63A05"/>
    <w:rsid w:val="06FB5BEA"/>
    <w:rsid w:val="06FB6328"/>
    <w:rsid w:val="06FD6F5A"/>
    <w:rsid w:val="07050E9A"/>
    <w:rsid w:val="0713372E"/>
    <w:rsid w:val="07135201"/>
    <w:rsid w:val="07136744"/>
    <w:rsid w:val="071873BB"/>
    <w:rsid w:val="071C0EA5"/>
    <w:rsid w:val="071C2B9F"/>
    <w:rsid w:val="071D7C41"/>
    <w:rsid w:val="07325CFB"/>
    <w:rsid w:val="07445122"/>
    <w:rsid w:val="07455AC0"/>
    <w:rsid w:val="07507F25"/>
    <w:rsid w:val="075B3CA9"/>
    <w:rsid w:val="075E7DA5"/>
    <w:rsid w:val="076273A3"/>
    <w:rsid w:val="07633D59"/>
    <w:rsid w:val="07656A09"/>
    <w:rsid w:val="07677110"/>
    <w:rsid w:val="077D78AE"/>
    <w:rsid w:val="079040AE"/>
    <w:rsid w:val="07A10BB5"/>
    <w:rsid w:val="07A17C1D"/>
    <w:rsid w:val="07A56326"/>
    <w:rsid w:val="07AD12CC"/>
    <w:rsid w:val="07B25005"/>
    <w:rsid w:val="07B35C3A"/>
    <w:rsid w:val="07B60CF4"/>
    <w:rsid w:val="07BB4BC8"/>
    <w:rsid w:val="07C44F01"/>
    <w:rsid w:val="07D70E7A"/>
    <w:rsid w:val="07D9391A"/>
    <w:rsid w:val="07EA56E7"/>
    <w:rsid w:val="07EB12A0"/>
    <w:rsid w:val="07ED23C3"/>
    <w:rsid w:val="07F27638"/>
    <w:rsid w:val="07F77B97"/>
    <w:rsid w:val="07FC12FC"/>
    <w:rsid w:val="08032138"/>
    <w:rsid w:val="080C259C"/>
    <w:rsid w:val="080E2CF5"/>
    <w:rsid w:val="081E6D03"/>
    <w:rsid w:val="082549C0"/>
    <w:rsid w:val="08287FB4"/>
    <w:rsid w:val="083927F2"/>
    <w:rsid w:val="083948C1"/>
    <w:rsid w:val="083A63CB"/>
    <w:rsid w:val="083E2CC9"/>
    <w:rsid w:val="084629C6"/>
    <w:rsid w:val="084A0F9B"/>
    <w:rsid w:val="086037D3"/>
    <w:rsid w:val="086B4787"/>
    <w:rsid w:val="086E7719"/>
    <w:rsid w:val="08707530"/>
    <w:rsid w:val="08714199"/>
    <w:rsid w:val="08846250"/>
    <w:rsid w:val="088B0A0F"/>
    <w:rsid w:val="08987D1B"/>
    <w:rsid w:val="089E1D6F"/>
    <w:rsid w:val="08A108BB"/>
    <w:rsid w:val="08A52F21"/>
    <w:rsid w:val="08A55AE2"/>
    <w:rsid w:val="08A84B0A"/>
    <w:rsid w:val="08AF4250"/>
    <w:rsid w:val="08B96FD1"/>
    <w:rsid w:val="08BA1528"/>
    <w:rsid w:val="08BA6A2E"/>
    <w:rsid w:val="08BF45A4"/>
    <w:rsid w:val="08C12249"/>
    <w:rsid w:val="08C273DC"/>
    <w:rsid w:val="08CF4D50"/>
    <w:rsid w:val="08D27BF6"/>
    <w:rsid w:val="08E5218B"/>
    <w:rsid w:val="08E91AA1"/>
    <w:rsid w:val="08F1760E"/>
    <w:rsid w:val="08FB28D6"/>
    <w:rsid w:val="08FB6DB0"/>
    <w:rsid w:val="08FB76E9"/>
    <w:rsid w:val="0904163D"/>
    <w:rsid w:val="090F0BF1"/>
    <w:rsid w:val="091B4508"/>
    <w:rsid w:val="091C599B"/>
    <w:rsid w:val="092007AC"/>
    <w:rsid w:val="09224D8F"/>
    <w:rsid w:val="092330E0"/>
    <w:rsid w:val="0925477F"/>
    <w:rsid w:val="09264D0B"/>
    <w:rsid w:val="092D1BB8"/>
    <w:rsid w:val="092F6AFE"/>
    <w:rsid w:val="09320FB5"/>
    <w:rsid w:val="09322F0D"/>
    <w:rsid w:val="093341BD"/>
    <w:rsid w:val="09375999"/>
    <w:rsid w:val="094671CE"/>
    <w:rsid w:val="094E68C4"/>
    <w:rsid w:val="09597B04"/>
    <w:rsid w:val="096C6C46"/>
    <w:rsid w:val="096D6BA1"/>
    <w:rsid w:val="097B5D16"/>
    <w:rsid w:val="098D2EB2"/>
    <w:rsid w:val="09917D73"/>
    <w:rsid w:val="09A0309E"/>
    <w:rsid w:val="09A631F6"/>
    <w:rsid w:val="09AC43EE"/>
    <w:rsid w:val="09B13C74"/>
    <w:rsid w:val="09B40FB4"/>
    <w:rsid w:val="09B86002"/>
    <w:rsid w:val="09BC73C1"/>
    <w:rsid w:val="09CD3AC3"/>
    <w:rsid w:val="09D2755D"/>
    <w:rsid w:val="09D417B2"/>
    <w:rsid w:val="09DC0410"/>
    <w:rsid w:val="09DF3FB6"/>
    <w:rsid w:val="09FC691A"/>
    <w:rsid w:val="0A0A04D3"/>
    <w:rsid w:val="0A0E0055"/>
    <w:rsid w:val="0A193412"/>
    <w:rsid w:val="0A331DF5"/>
    <w:rsid w:val="0A3C10C1"/>
    <w:rsid w:val="0A4F3643"/>
    <w:rsid w:val="0A5715D9"/>
    <w:rsid w:val="0A5E4838"/>
    <w:rsid w:val="0A5E69CE"/>
    <w:rsid w:val="0A6104A3"/>
    <w:rsid w:val="0A620FC9"/>
    <w:rsid w:val="0A6C66BA"/>
    <w:rsid w:val="0A6D44BD"/>
    <w:rsid w:val="0A782910"/>
    <w:rsid w:val="0A7A5ECF"/>
    <w:rsid w:val="0A7B00FA"/>
    <w:rsid w:val="0A7E1E5F"/>
    <w:rsid w:val="0A8008E1"/>
    <w:rsid w:val="0A8648ED"/>
    <w:rsid w:val="0A942906"/>
    <w:rsid w:val="0A9F5AA3"/>
    <w:rsid w:val="0AA40BD4"/>
    <w:rsid w:val="0AB14A71"/>
    <w:rsid w:val="0AC321EE"/>
    <w:rsid w:val="0AC558E6"/>
    <w:rsid w:val="0AC601BD"/>
    <w:rsid w:val="0AC732DE"/>
    <w:rsid w:val="0ACD4604"/>
    <w:rsid w:val="0ACF0DFB"/>
    <w:rsid w:val="0AD20000"/>
    <w:rsid w:val="0AD82858"/>
    <w:rsid w:val="0AD91E36"/>
    <w:rsid w:val="0ADE554D"/>
    <w:rsid w:val="0AE75D12"/>
    <w:rsid w:val="0AEA52A2"/>
    <w:rsid w:val="0AF00EFE"/>
    <w:rsid w:val="0AF14212"/>
    <w:rsid w:val="0AF210F7"/>
    <w:rsid w:val="0B01368C"/>
    <w:rsid w:val="0B057F4F"/>
    <w:rsid w:val="0B0B542D"/>
    <w:rsid w:val="0B1C567B"/>
    <w:rsid w:val="0B215037"/>
    <w:rsid w:val="0B222495"/>
    <w:rsid w:val="0B2A7363"/>
    <w:rsid w:val="0B2D0D88"/>
    <w:rsid w:val="0B303411"/>
    <w:rsid w:val="0B306BDB"/>
    <w:rsid w:val="0B35589D"/>
    <w:rsid w:val="0B3B46C7"/>
    <w:rsid w:val="0B477723"/>
    <w:rsid w:val="0B4B77A4"/>
    <w:rsid w:val="0B4F5563"/>
    <w:rsid w:val="0B5233A1"/>
    <w:rsid w:val="0B5727D8"/>
    <w:rsid w:val="0B584682"/>
    <w:rsid w:val="0B592B8D"/>
    <w:rsid w:val="0B5C6DF4"/>
    <w:rsid w:val="0B6B23F0"/>
    <w:rsid w:val="0B6D1BA0"/>
    <w:rsid w:val="0B6E29A5"/>
    <w:rsid w:val="0B7016BB"/>
    <w:rsid w:val="0B7F51DF"/>
    <w:rsid w:val="0B813C27"/>
    <w:rsid w:val="0B840A57"/>
    <w:rsid w:val="0B864C0C"/>
    <w:rsid w:val="0B8C64D5"/>
    <w:rsid w:val="0B963BF8"/>
    <w:rsid w:val="0B9A48A9"/>
    <w:rsid w:val="0BA64C51"/>
    <w:rsid w:val="0BA760D0"/>
    <w:rsid w:val="0BA96727"/>
    <w:rsid w:val="0BAA084A"/>
    <w:rsid w:val="0BB47B20"/>
    <w:rsid w:val="0BB5246C"/>
    <w:rsid w:val="0BB535CA"/>
    <w:rsid w:val="0BC03089"/>
    <w:rsid w:val="0BD067E6"/>
    <w:rsid w:val="0BDC5D3C"/>
    <w:rsid w:val="0BE05230"/>
    <w:rsid w:val="0BE11970"/>
    <w:rsid w:val="0BEB5A39"/>
    <w:rsid w:val="0BF53982"/>
    <w:rsid w:val="0C037046"/>
    <w:rsid w:val="0C0716CC"/>
    <w:rsid w:val="0C082284"/>
    <w:rsid w:val="0C131DC7"/>
    <w:rsid w:val="0C145CE4"/>
    <w:rsid w:val="0C2631BC"/>
    <w:rsid w:val="0C324EA6"/>
    <w:rsid w:val="0C40688D"/>
    <w:rsid w:val="0C513FEB"/>
    <w:rsid w:val="0C54299D"/>
    <w:rsid w:val="0C5C7DBC"/>
    <w:rsid w:val="0C5E6115"/>
    <w:rsid w:val="0C656979"/>
    <w:rsid w:val="0C662B4A"/>
    <w:rsid w:val="0C742B8B"/>
    <w:rsid w:val="0C756652"/>
    <w:rsid w:val="0C76664C"/>
    <w:rsid w:val="0C7C0554"/>
    <w:rsid w:val="0C804D22"/>
    <w:rsid w:val="0C964645"/>
    <w:rsid w:val="0C9C4F63"/>
    <w:rsid w:val="0C9F3B5A"/>
    <w:rsid w:val="0CAC5A8E"/>
    <w:rsid w:val="0CBF7234"/>
    <w:rsid w:val="0CCB5B76"/>
    <w:rsid w:val="0CD90F45"/>
    <w:rsid w:val="0CE527A4"/>
    <w:rsid w:val="0CEA4585"/>
    <w:rsid w:val="0CF30A60"/>
    <w:rsid w:val="0D0272E1"/>
    <w:rsid w:val="0D07371E"/>
    <w:rsid w:val="0D085CD5"/>
    <w:rsid w:val="0D177BA2"/>
    <w:rsid w:val="0D3668A7"/>
    <w:rsid w:val="0D392327"/>
    <w:rsid w:val="0D3E0AB0"/>
    <w:rsid w:val="0D4125FF"/>
    <w:rsid w:val="0D465059"/>
    <w:rsid w:val="0D48448C"/>
    <w:rsid w:val="0D586F7E"/>
    <w:rsid w:val="0D6642B2"/>
    <w:rsid w:val="0D690BEB"/>
    <w:rsid w:val="0D6A04F7"/>
    <w:rsid w:val="0D815A20"/>
    <w:rsid w:val="0D8241DA"/>
    <w:rsid w:val="0D91734B"/>
    <w:rsid w:val="0D9E69A8"/>
    <w:rsid w:val="0DA40C88"/>
    <w:rsid w:val="0DAB0F99"/>
    <w:rsid w:val="0DAB1B56"/>
    <w:rsid w:val="0DB14954"/>
    <w:rsid w:val="0DB514C0"/>
    <w:rsid w:val="0DBD165B"/>
    <w:rsid w:val="0DC71864"/>
    <w:rsid w:val="0DC76181"/>
    <w:rsid w:val="0DCA7491"/>
    <w:rsid w:val="0DD26857"/>
    <w:rsid w:val="0DDA7F38"/>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82319"/>
    <w:rsid w:val="0E3A4805"/>
    <w:rsid w:val="0E4A6F1D"/>
    <w:rsid w:val="0E537A1E"/>
    <w:rsid w:val="0E62130E"/>
    <w:rsid w:val="0E650473"/>
    <w:rsid w:val="0E681100"/>
    <w:rsid w:val="0E6B31D8"/>
    <w:rsid w:val="0E73215E"/>
    <w:rsid w:val="0E813F40"/>
    <w:rsid w:val="0E820509"/>
    <w:rsid w:val="0E896FFE"/>
    <w:rsid w:val="0E8F652D"/>
    <w:rsid w:val="0E9341BB"/>
    <w:rsid w:val="0E9C5605"/>
    <w:rsid w:val="0E9E4DC0"/>
    <w:rsid w:val="0EAF6F74"/>
    <w:rsid w:val="0EB57A21"/>
    <w:rsid w:val="0EBB3ECC"/>
    <w:rsid w:val="0EC109B9"/>
    <w:rsid w:val="0EDA5675"/>
    <w:rsid w:val="0EE04776"/>
    <w:rsid w:val="0EEA3D8E"/>
    <w:rsid w:val="0EF24883"/>
    <w:rsid w:val="0EF408C9"/>
    <w:rsid w:val="0F09758C"/>
    <w:rsid w:val="0F1C36D3"/>
    <w:rsid w:val="0F237C9A"/>
    <w:rsid w:val="0F326255"/>
    <w:rsid w:val="0F411FE7"/>
    <w:rsid w:val="0F524E69"/>
    <w:rsid w:val="0F566D59"/>
    <w:rsid w:val="0F5C3DBD"/>
    <w:rsid w:val="0F6064A8"/>
    <w:rsid w:val="0F6F66F8"/>
    <w:rsid w:val="0F752C30"/>
    <w:rsid w:val="0F827398"/>
    <w:rsid w:val="0F877AE7"/>
    <w:rsid w:val="0F8C27C0"/>
    <w:rsid w:val="0F9261BA"/>
    <w:rsid w:val="0F934178"/>
    <w:rsid w:val="0F972A29"/>
    <w:rsid w:val="0F997E52"/>
    <w:rsid w:val="0F9E1CE2"/>
    <w:rsid w:val="0FA42338"/>
    <w:rsid w:val="0FAD2C02"/>
    <w:rsid w:val="0FBD61C4"/>
    <w:rsid w:val="0FC57A5F"/>
    <w:rsid w:val="0FCB1C3D"/>
    <w:rsid w:val="0FD161C4"/>
    <w:rsid w:val="0FD6699C"/>
    <w:rsid w:val="0FE72674"/>
    <w:rsid w:val="0FEB7E0D"/>
    <w:rsid w:val="0FF63D67"/>
    <w:rsid w:val="0FF8224E"/>
    <w:rsid w:val="100866C9"/>
    <w:rsid w:val="10216F3E"/>
    <w:rsid w:val="10281CAB"/>
    <w:rsid w:val="102A2CD2"/>
    <w:rsid w:val="102B762A"/>
    <w:rsid w:val="10304E93"/>
    <w:rsid w:val="1045085E"/>
    <w:rsid w:val="10464D9F"/>
    <w:rsid w:val="104C0CCB"/>
    <w:rsid w:val="105B31EF"/>
    <w:rsid w:val="105F59D9"/>
    <w:rsid w:val="106845BA"/>
    <w:rsid w:val="106B16E5"/>
    <w:rsid w:val="108037BD"/>
    <w:rsid w:val="10805D57"/>
    <w:rsid w:val="10830267"/>
    <w:rsid w:val="108A71DF"/>
    <w:rsid w:val="108F770C"/>
    <w:rsid w:val="10903BB8"/>
    <w:rsid w:val="10951E9E"/>
    <w:rsid w:val="109E4DDE"/>
    <w:rsid w:val="10A66BB5"/>
    <w:rsid w:val="10A90238"/>
    <w:rsid w:val="10AF0D25"/>
    <w:rsid w:val="10B72375"/>
    <w:rsid w:val="10B729A8"/>
    <w:rsid w:val="10B937F6"/>
    <w:rsid w:val="10BF066C"/>
    <w:rsid w:val="10C36F86"/>
    <w:rsid w:val="10C554CE"/>
    <w:rsid w:val="10CF2502"/>
    <w:rsid w:val="10DC0B43"/>
    <w:rsid w:val="10DD5695"/>
    <w:rsid w:val="10DE1A89"/>
    <w:rsid w:val="10DE628A"/>
    <w:rsid w:val="10F63A48"/>
    <w:rsid w:val="1108553C"/>
    <w:rsid w:val="11092752"/>
    <w:rsid w:val="11110886"/>
    <w:rsid w:val="11156B5F"/>
    <w:rsid w:val="111F6475"/>
    <w:rsid w:val="112213FC"/>
    <w:rsid w:val="112A0E5B"/>
    <w:rsid w:val="112C5325"/>
    <w:rsid w:val="112F1AE5"/>
    <w:rsid w:val="113334A9"/>
    <w:rsid w:val="113D0BD7"/>
    <w:rsid w:val="11415019"/>
    <w:rsid w:val="114657CA"/>
    <w:rsid w:val="11471DEC"/>
    <w:rsid w:val="11494296"/>
    <w:rsid w:val="11510737"/>
    <w:rsid w:val="115743DB"/>
    <w:rsid w:val="115D0895"/>
    <w:rsid w:val="11647640"/>
    <w:rsid w:val="11744F0C"/>
    <w:rsid w:val="1184410A"/>
    <w:rsid w:val="118603A6"/>
    <w:rsid w:val="119A4285"/>
    <w:rsid w:val="11A13830"/>
    <w:rsid w:val="11A55C03"/>
    <w:rsid w:val="11B036C7"/>
    <w:rsid w:val="11BE738E"/>
    <w:rsid w:val="11C63C86"/>
    <w:rsid w:val="11CE6E93"/>
    <w:rsid w:val="11D371FD"/>
    <w:rsid w:val="11DF7B3A"/>
    <w:rsid w:val="11EA25D5"/>
    <w:rsid w:val="11EE6DCA"/>
    <w:rsid w:val="11EF0378"/>
    <w:rsid w:val="11F128D4"/>
    <w:rsid w:val="11F3526B"/>
    <w:rsid w:val="11F702EF"/>
    <w:rsid w:val="11F86AFE"/>
    <w:rsid w:val="1206407A"/>
    <w:rsid w:val="120A0329"/>
    <w:rsid w:val="121965C0"/>
    <w:rsid w:val="12274679"/>
    <w:rsid w:val="122B667F"/>
    <w:rsid w:val="12307737"/>
    <w:rsid w:val="123B714B"/>
    <w:rsid w:val="123D1C01"/>
    <w:rsid w:val="124654AF"/>
    <w:rsid w:val="12480DE3"/>
    <w:rsid w:val="125245BE"/>
    <w:rsid w:val="12654091"/>
    <w:rsid w:val="12684E43"/>
    <w:rsid w:val="126B41F6"/>
    <w:rsid w:val="126C6635"/>
    <w:rsid w:val="128240B1"/>
    <w:rsid w:val="128717D8"/>
    <w:rsid w:val="128E200F"/>
    <w:rsid w:val="12905F0B"/>
    <w:rsid w:val="1298260B"/>
    <w:rsid w:val="129D50AA"/>
    <w:rsid w:val="12A01EC8"/>
    <w:rsid w:val="12A85EC5"/>
    <w:rsid w:val="12A93F60"/>
    <w:rsid w:val="12B0212D"/>
    <w:rsid w:val="12B20D6A"/>
    <w:rsid w:val="12B322E9"/>
    <w:rsid w:val="12BB2356"/>
    <w:rsid w:val="12BE5707"/>
    <w:rsid w:val="12C44259"/>
    <w:rsid w:val="12CB752C"/>
    <w:rsid w:val="12CD54BA"/>
    <w:rsid w:val="12D1493E"/>
    <w:rsid w:val="12DA4151"/>
    <w:rsid w:val="12DE5AA3"/>
    <w:rsid w:val="12E12EDF"/>
    <w:rsid w:val="12EC16B3"/>
    <w:rsid w:val="12EE3831"/>
    <w:rsid w:val="12EF39F1"/>
    <w:rsid w:val="12FC2777"/>
    <w:rsid w:val="12FC3DC2"/>
    <w:rsid w:val="13077776"/>
    <w:rsid w:val="130969F4"/>
    <w:rsid w:val="13096C1B"/>
    <w:rsid w:val="130B5931"/>
    <w:rsid w:val="130D399B"/>
    <w:rsid w:val="130E5589"/>
    <w:rsid w:val="131C61D5"/>
    <w:rsid w:val="131C6844"/>
    <w:rsid w:val="131D7918"/>
    <w:rsid w:val="1323777A"/>
    <w:rsid w:val="13254FDA"/>
    <w:rsid w:val="1326049E"/>
    <w:rsid w:val="1331725B"/>
    <w:rsid w:val="13362437"/>
    <w:rsid w:val="13362A82"/>
    <w:rsid w:val="133F4332"/>
    <w:rsid w:val="13421F12"/>
    <w:rsid w:val="13445761"/>
    <w:rsid w:val="13470B72"/>
    <w:rsid w:val="134B3396"/>
    <w:rsid w:val="134C3392"/>
    <w:rsid w:val="13572403"/>
    <w:rsid w:val="136B2BD9"/>
    <w:rsid w:val="13702E67"/>
    <w:rsid w:val="13710D11"/>
    <w:rsid w:val="13755F24"/>
    <w:rsid w:val="137778F1"/>
    <w:rsid w:val="13926679"/>
    <w:rsid w:val="139B7900"/>
    <w:rsid w:val="13AB10C3"/>
    <w:rsid w:val="13B66AE6"/>
    <w:rsid w:val="13BE37A7"/>
    <w:rsid w:val="13BF1E66"/>
    <w:rsid w:val="13C92A31"/>
    <w:rsid w:val="13CC3968"/>
    <w:rsid w:val="13DD428B"/>
    <w:rsid w:val="13EB4D36"/>
    <w:rsid w:val="13F40833"/>
    <w:rsid w:val="13FC25C4"/>
    <w:rsid w:val="14005C22"/>
    <w:rsid w:val="14041B5B"/>
    <w:rsid w:val="14086309"/>
    <w:rsid w:val="1413722A"/>
    <w:rsid w:val="141E453A"/>
    <w:rsid w:val="141F5AFE"/>
    <w:rsid w:val="142719F6"/>
    <w:rsid w:val="14397000"/>
    <w:rsid w:val="143C1B5C"/>
    <w:rsid w:val="143E42F5"/>
    <w:rsid w:val="14612821"/>
    <w:rsid w:val="146B05E1"/>
    <w:rsid w:val="146B31C5"/>
    <w:rsid w:val="14853944"/>
    <w:rsid w:val="148C1B36"/>
    <w:rsid w:val="14901548"/>
    <w:rsid w:val="14991348"/>
    <w:rsid w:val="149F3E4D"/>
    <w:rsid w:val="14B15D22"/>
    <w:rsid w:val="14B97A92"/>
    <w:rsid w:val="14C655E5"/>
    <w:rsid w:val="14C861FB"/>
    <w:rsid w:val="14CD1FF7"/>
    <w:rsid w:val="14D36B81"/>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D206E"/>
    <w:rsid w:val="15286794"/>
    <w:rsid w:val="152C765F"/>
    <w:rsid w:val="15401471"/>
    <w:rsid w:val="155520BD"/>
    <w:rsid w:val="155B48B3"/>
    <w:rsid w:val="155F033A"/>
    <w:rsid w:val="156E03F6"/>
    <w:rsid w:val="15710A67"/>
    <w:rsid w:val="15753EFF"/>
    <w:rsid w:val="15786EBF"/>
    <w:rsid w:val="157924C7"/>
    <w:rsid w:val="157F44A7"/>
    <w:rsid w:val="15823112"/>
    <w:rsid w:val="15831A68"/>
    <w:rsid w:val="158E7CA3"/>
    <w:rsid w:val="158F7009"/>
    <w:rsid w:val="15907E04"/>
    <w:rsid w:val="15946E65"/>
    <w:rsid w:val="159B2DD6"/>
    <w:rsid w:val="159D06A1"/>
    <w:rsid w:val="159D726A"/>
    <w:rsid w:val="15A313AC"/>
    <w:rsid w:val="15AC5474"/>
    <w:rsid w:val="15BD36C0"/>
    <w:rsid w:val="15BF6870"/>
    <w:rsid w:val="15C51ED2"/>
    <w:rsid w:val="15D103CA"/>
    <w:rsid w:val="15D10DCA"/>
    <w:rsid w:val="15DC7DEF"/>
    <w:rsid w:val="15DF306C"/>
    <w:rsid w:val="15EF7E12"/>
    <w:rsid w:val="15F20A86"/>
    <w:rsid w:val="1603237C"/>
    <w:rsid w:val="1607459A"/>
    <w:rsid w:val="160D3373"/>
    <w:rsid w:val="16147D16"/>
    <w:rsid w:val="161C2BC7"/>
    <w:rsid w:val="16242F02"/>
    <w:rsid w:val="163367B4"/>
    <w:rsid w:val="16371790"/>
    <w:rsid w:val="16374A54"/>
    <w:rsid w:val="163F45DD"/>
    <w:rsid w:val="16426B8B"/>
    <w:rsid w:val="16481886"/>
    <w:rsid w:val="165266E7"/>
    <w:rsid w:val="16542547"/>
    <w:rsid w:val="16554F76"/>
    <w:rsid w:val="165811A6"/>
    <w:rsid w:val="165D528E"/>
    <w:rsid w:val="166313A7"/>
    <w:rsid w:val="166D7AEE"/>
    <w:rsid w:val="167006B3"/>
    <w:rsid w:val="16765CF9"/>
    <w:rsid w:val="167B0CE8"/>
    <w:rsid w:val="16844690"/>
    <w:rsid w:val="168618B8"/>
    <w:rsid w:val="16877755"/>
    <w:rsid w:val="16886F66"/>
    <w:rsid w:val="16932C4F"/>
    <w:rsid w:val="16952D61"/>
    <w:rsid w:val="16961D80"/>
    <w:rsid w:val="169C5B4A"/>
    <w:rsid w:val="169E43BB"/>
    <w:rsid w:val="16A1248C"/>
    <w:rsid w:val="16A71D6A"/>
    <w:rsid w:val="16AE2AD6"/>
    <w:rsid w:val="16BD2C63"/>
    <w:rsid w:val="16C03FA8"/>
    <w:rsid w:val="16C20D93"/>
    <w:rsid w:val="16C908C1"/>
    <w:rsid w:val="16C941AB"/>
    <w:rsid w:val="16CE431A"/>
    <w:rsid w:val="16D37FC1"/>
    <w:rsid w:val="16D436D3"/>
    <w:rsid w:val="16D55A26"/>
    <w:rsid w:val="16DF1B6A"/>
    <w:rsid w:val="16F1047C"/>
    <w:rsid w:val="16F27B2F"/>
    <w:rsid w:val="16F34581"/>
    <w:rsid w:val="16FB0EAA"/>
    <w:rsid w:val="17080B36"/>
    <w:rsid w:val="170B1411"/>
    <w:rsid w:val="172C190E"/>
    <w:rsid w:val="17313DBB"/>
    <w:rsid w:val="1733204A"/>
    <w:rsid w:val="173642F1"/>
    <w:rsid w:val="17382E21"/>
    <w:rsid w:val="173B2CBB"/>
    <w:rsid w:val="1746166A"/>
    <w:rsid w:val="174C0B25"/>
    <w:rsid w:val="17515D17"/>
    <w:rsid w:val="175225A9"/>
    <w:rsid w:val="175E5685"/>
    <w:rsid w:val="175E7109"/>
    <w:rsid w:val="17605E59"/>
    <w:rsid w:val="176D2223"/>
    <w:rsid w:val="176E5AAD"/>
    <w:rsid w:val="17716C8E"/>
    <w:rsid w:val="17733879"/>
    <w:rsid w:val="17830166"/>
    <w:rsid w:val="178B5941"/>
    <w:rsid w:val="179A1BF1"/>
    <w:rsid w:val="179B3199"/>
    <w:rsid w:val="17A54224"/>
    <w:rsid w:val="17A55683"/>
    <w:rsid w:val="17B152CC"/>
    <w:rsid w:val="17BE238F"/>
    <w:rsid w:val="17D65AF0"/>
    <w:rsid w:val="17DD3C4A"/>
    <w:rsid w:val="17DE2C4B"/>
    <w:rsid w:val="17F62CAF"/>
    <w:rsid w:val="180911D6"/>
    <w:rsid w:val="180A5128"/>
    <w:rsid w:val="180C16C3"/>
    <w:rsid w:val="181227BC"/>
    <w:rsid w:val="18144B2E"/>
    <w:rsid w:val="181C5707"/>
    <w:rsid w:val="18271570"/>
    <w:rsid w:val="18274560"/>
    <w:rsid w:val="182A77A3"/>
    <w:rsid w:val="18301DAA"/>
    <w:rsid w:val="183D5BC2"/>
    <w:rsid w:val="18406503"/>
    <w:rsid w:val="18457E93"/>
    <w:rsid w:val="184E4896"/>
    <w:rsid w:val="18544A4F"/>
    <w:rsid w:val="1855371E"/>
    <w:rsid w:val="18560CAD"/>
    <w:rsid w:val="186D2EF5"/>
    <w:rsid w:val="187362C4"/>
    <w:rsid w:val="187545CF"/>
    <w:rsid w:val="187A16E0"/>
    <w:rsid w:val="187D0D0A"/>
    <w:rsid w:val="187D43CE"/>
    <w:rsid w:val="188327CB"/>
    <w:rsid w:val="18836D5B"/>
    <w:rsid w:val="188B6184"/>
    <w:rsid w:val="18A31B7F"/>
    <w:rsid w:val="18AF00FC"/>
    <w:rsid w:val="18B57A11"/>
    <w:rsid w:val="18B83042"/>
    <w:rsid w:val="18C120BC"/>
    <w:rsid w:val="18C1482D"/>
    <w:rsid w:val="18CA6615"/>
    <w:rsid w:val="18E4078D"/>
    <w:rsid w:val="18EF4C22"/>
    <w:rsid w:val="18F009F7"/>
    <w:rsid w:val="18F21B8A"/>
    <w:rsid w:val="18F53D88"/>
    <w:rsid w:val="18F7559C"/>
    <w:rsid w:val="18FA37F2"/>
    <w:rsid w:val="18FC2B99"/>
    <w:rsid w:val="19010BA7"/>
    <w:rsid w:val="19076E72"/>
    <w:rsid w:val="190F6C58"/>
    <w:rsid w:val="191344EC"/>
    <w:rsid w:val="19161B88"/>
    <w:rsid w:val="19164014"/>
    <w:rsid w:val="19242488"/>
    <w:rsid w:val="1925244E"/>
    <w:rsid w:val="19294D1D"/>
    <w:rsid w:val="19304F5E"/>
    <w:rsid w:val="193B58FE"/>
    <w:rsid w:val="193D5B8D"/>
    <w:rsid w:val="194F199E"/>
    <w:rsid w:val="19545C3D"/>
    <w:rsid w:val="19587032"/>
    <w:rsid w:val="195A3EF5"/>
    <w:rsid w:val="195C5F46"/>
    <w:rsid w:val="195F2A67"/>
    <w:rsid w:val="196B1356"/>
    <w:rsid w:val="19724549"/>
    <w:rsid w:val="197431E8"/>
    <w:rsid w:val="1974743A"/>
    <w:rsid w:val="1975458D"/>
    <w:rsid w:val="197B0865"/>
    <w:rsid w:val="19831D76"/>
    <w:rsid w:val="19875DC6"/>
    <w:rsid w:val="19884618"/>
    <w:rsid w:val="198C7715"/>
    <w:rsid w:val="1998232D"/>
    <w:rsid w:val="199A2DDB"/>
    <w:rsid w:val="199D6A85"/>
    <w:rsid w:val="19A606F4"/>
    <w:rsid w:val="19B50EB0"/>
    <w:rsid w:val="19C50385"/>
    <w:rsid w:val="19CF2CD4"/>
    <w:rsid w:val="19D42DBF"/>
    <w:rsid w:val="19D97E24"/>
    <w:rsid w:val="19E44EFF"/>
    <w:rsid w:val="19EB0279"/>
    <w:rsid w:val="19F7674A"/>
    <w:rsid w:val="19FC0C40"/>
    <w:rsid w:val="19FF2A68"/>
    <w:rsid w:val="1A055CE3"/>
    <w:rsid w:val="1A063C69"/>
    <w:rsid w:val="1A065B0A"/>
    <w:rsid w:val="1A200EBD"/>
    <w:rsid w:val="1A2519F7"/>
    <w:rsid w:val="1A2D2C6A"/>
    <w:rsid w:val="1A3129A2"/>
    <w:rsid w:val="1A3168F5"/>
    <w:rsid w:val="1A332F12"/>
    <w:rsid w:val="1A3A0BE6"/>
    <w:rsid w:val="1A3B3FC5"/>
    <w:rsid w:val="1A3B7C41"/>
    <w:rsid w:val="1A3D4271"/>
    <w:rsid w:val="1A3E1DA3"/>
    <w:rsid w:val="1A413FFF"/>
    <w:rsid w:val="1A4243BB"/>
    <w:rsid w:val="1A437302"/>
    <w:rsid w:val="1A471FA2"/>
    <w:rsid w:val="1A4951D6"/>
    <w:rsid w:val="1A537FE8"/>
    <w:rsid w:val="1A547060"/>
    <w:rsid w:val="1A551D7A"/>
    <w:rsid w:val="1A673513"/>
    <w:rsid w:val="1A6B1D7F"/>
    <w:rsid w:val="1A785DD9"/>
    <w:rsid w:val="1A7C2A99"/>
    <w:rsid w:val="1A872451"/>
    <w:rsid w:val="1A8F5557"/>
    <w:rsid w:val="1A93317C"/>
    <w:rsid w:val="1AAA75F2"/>
    <w:rsid w:val="1AC031C9"/>
    <w:rsid w:val="1AC84BC7"/>
    <w:rsid w:val="1ACE4AD7"/>
    <w:rsid w:val="1AE156E8"/>
    <w:rsid w:val="1AE33CF4"/>
    <w:rsid w:val="1AF4060B"/>
    <w:rsid w:val="1AF744A3"/>
    <w:rsid w:val="1AFB485C"/>
    <w:rsid w:val="1AFB4F24"/>
    <w:rsid w:val="1AFE7E88"/>
    <w:rsid w:val="1B09577A"/>
    <w:rsid w:val="1B0C1569"/>
    <w:rsid w:val="1B1612B6"/>
    <w:rsid w:val="1B1B46BD"/>
    <w:rsid w:val="1B2B6878"/>
    <w:rsid w:val="1B320CED"/>
    <w:rsid w:val="1B375393"/>
    <w:rsid w:val="1B3B5530"/>
    <w:rsid w:val="1B4368FA"/>
    <w:rsid w:val="1B4668E5"/>
    <w:rsid w:val="1B4A664B"/>
    <w:rsid w:val="1B572293"/>
    <w:rsid w:val="1B586C82"/>
    <w:rsid w:val="1B5B71A3"/>
    <w:rsid w:val="1B5F0ECC"/>
    <w:rsid w:val="1B65563D"/>
    <w:rsid w:val="1B6E70A2"/>
    <w:rsid w:val="1B754109"/>
    <w:rsid w:val="1B99573B"/>
    <w:rsid w:val="1BA52C65"/>
    <w:rsid w:val="1BAC5BFB"/>
    <w:rsid w:val="1BB03CEA"/>
    <w:rsid w:val="1BBD78EF"/>
    <w:rsid w:val="1BC944CA"/>
    <w:rsid w:val="1BDA3373"/>
    <w:rsid w:val="1BFE40D3"/>
    <w:rsid w:val="1BFF6E19"/>
    <w:rsid w:val="1C0A2CDF"/>
    <w:rsid w:val="1C0A3A2D"/>
    <w:rsid w:val="1C0B4902"/>
    <w:rsid w:val="1C0C46AE"/>
    <w:rsid w:val="1C0E1C8D"/>
    <w:rsid w:val="1C175818"/>
    <w:rsid w:val="1C1877EB"/>
    <w:rsid w:val="1C19604A"/>
    <w:rsid w:val="1C1A5E23"/>
    <w:rsid w:val="1C2A5F1F"/>
    <w:rsid w:val="1C2D0830"/>
    <w:rsid w:val="1C311EC8"/>
    <w:rsid w:val="1C393F7F"/>
    <w:rsid w:val="1C3D6B63"/>
    <w:rsid w:val="1C453B8A"/>
    <w:rsid w:val="1C4D24E6"/>
    <w:rsid w:val="1C4F4B73"/>
    <w:rsid w:val="1C534CC0"/>
    <w:rsid w:val="1C562F08"/>
    <w:rsid w:val="1C7872F8"/>
    <w:rsid w:val="1C856E3E"/>
    <w:rsid w:val="1C8D7615"/>
    <w:rsid w:val="1C913CA3"/>
    <w:rsid w:val="1C937D88"/>
    <w:rsid w:val="1C946292"/>
    <w:rsid w:val="1CAA7BAF"/>
    <w:rsid w:val="1CB6203D"/>
    <w:rsid w:val="1CC41DE5"/>
    <w:rsid w:val="1CC45194"/>
    <w:rsid w:val="1CD121FE"/>
    <w:rsid w:val="1CD60AC2"/>
    <w:rsid w:val="1CD824EF"/>
    <w:rsid w:val="1CDB2883"/>
    <w:rsid w:val="1CE11909"/>
    <w:rsid w:val="1CE50BAF"/>
    <w:rsid w:val="1CE53F61"/>
    <w:rsid w:val="1CE9015E"/>
    <w:rsid w:val="1D037DF0"/>
    <w:rsid w:val="1D1241CC"/>
    <w:rsid w:val="1D151B49"/>
    <w:rsid w:val="1D1A61C7"/>
    <w:rsid w:val="1D1C63EE"/>
    <w:rsid w:val="1D1D310C"/>
    <w:rsid w:val="1D1F1BCA"/>
    <w:rsid w:val="1D216171"/>
    <w:rsid w:val="1D255157"/>
    <w:rsid w:val="1D2B2847"/>
    <w:rsid w:val="1D2B4BDB"/>
    <w:rsid w:val="1D2C22C1"/>
    <w:rsid w:val="1D31038F"/>
    <w:rsid w:val="1D3339E6"/>
    <w:rsid w:val="1D3645D7"/>
    <w:rsid w:val="1D3836AD"/>
    <w:rsid w:val="1D3A6AAF"/>
    <w:rsid w:val="1D490CFC"/>
    <w:rsid w:val="1D494834"/>
    <w:rsid w:val="1D543505"/>
    <w:rsid w:val="1D5A22B2"/>
    <w:rsid w:val="1D666A65"/>
    <w:rsid w:val="1D6F2115"/>
    <w:rsid w:val="1D717800"/>
    <w:rsid w:val="1D722A11"/>
    <w:rsid w:val="1D7B731D"/>
    <w:rsid w:val="1D8612F4"/>
    <w:rsid w:val="1D8B29B3"/>
    <w:rsid w:val="1DA05543"/>
    <w:rsid w:val="1DA26A78"/>
    <w:rsid w:val="1DA36DB0"/>
    <w:rsid w:val="1DA70405"/>
    <w:rsid w:val="1DA7671B"/>
    <w:rsid w:val="1DAD467B"/>
    <w:rsid w:val="1DBC4C99"/>
    <w:rsid w:val="1DBE402F"/>
    <w:rsid w:val="1DC440DC"/>
    <w:rsid w:val="1DC44B42"/>
    <w:rsid w:val="1DCA27AD"/>
    <w:rsid w:val="1DCA598A"/>
    <w:rsid w:val="1DD22E92"/>
    <w:rsid w:val="1DD52E51"/>
    <w:rsid w:val="1DDF50C5"/>
    <w:rsid w:val="1DE33AED"/>
    <w:rsid w:val="1DE85A1C"/>
    <w:rsid w:val="1DF548F1"/>
    <w:rsid w:val="1DFB759A"/>
    <w:rsid w:val="1DFD6276"/>
    <w:rsid w:val="1DFF24FD"/>
    <w:rsid w:val="1E035B0C"/>
    <w:rsid w:val="1E097658"/>
    <w:rsid w:val="1E0D6AC0"/>
    <w:rsid w:val="1E0E5C41"/>
    <w:rsid w:val="1E106F71"/>
    <w:rsid w:val="1E14276A"/>
    <w:rsid w:val="1E184A44"/>
    <w:rsid w:val="1E2B0555"/>
    <w:rsid w:val="1E2B5075"/>
    <w:rsid w:val="1E2E10EA"/>
    <w:rsid w:val="1E3320D1"/>
    <w:rsid w:val="1E3A1BC8"/>
    <w:rsid w:val="1E42337D"/>
    <w:rsid w:val="1E44293E"/>
    <w:rsid w:val="1E4473B7"/>
    <w:rsid w:val="1E474640"/>
    <w:rsid w:val="1E4B3DCC"/>
    <w:rsid w:val="1E4D0DE6"/>
    <w:rsid w:val="1E5833F9"/>
    <w:rsid w:val="1E5E5C25"/>
    <w:rsid w:val="1E635478"/>
    <w:rsid w:val="1E651F92"/>
    <w:rsid w:val="1E684069"/>
    <w:rsid w:val="1E6912CF"/>
    <w:rsid w:val="1E691D5F"/>
    <w:rsid w:val="1E821B6B"/>
    <w:rsid w:val="1E8645D2"/>
    <w:rsid w:val="1E9027B4"/>
    <w:rsid w:val="1E9A5B08"/>
    <w:rsid w:val="1E9A5D49"/>
    <w:rsid w:val="1EA22DB2"/>
    <w:rsid w:val="1EAA0F84"/>
    <w:rsid w:val="1EB72233"/>
    <w:rsid w:val="1EBA3082"/>
    <w:rsid w:val="1EBE5C51"/>
    <w:rsid w:val="1EC27D37"/>
    <w:rsid w:val="1ECD0713"/>
    <w:rsid w:val="1ED422F9"/>
    <w:rsid w:val="1EDD28D0"/>
    <w:rsid w:val="1EDE7E55"/>
    <w:rsid w:val="1EDF4E49"/>
    <w:rsid w:val="1EE14B15"/>
    <w:rsid w:val="1EE500D2"/>
    <w:rsid w:val="1EE935B0"/>
    <w:rsid w:val="1EEF6BF1"/>
    <w:rsid w:val="1EF739A4"/>
    <w:rsid w:val="1F176A0C"/>
    <w:rsid w:val="1F254183"/>
    <w:rsid w:val="1F262716"/>
    <w:rsid w:val="1F3B649C"/>
    <w:rsid w:val="1F3E1E3C"/>
    <w:rsid w:val="1F401A4C"/>
    <w:rsid w:val="1F42633F"/>
    <w:rsid w:val="1F453002"/>
    <w:rsid w:val="1F463769"/>
    <w:rsid w:val="1F54672C"/>
    <w:rsid w:val="1F5C1132"/>
    <w:rsid w:val="1F5E455B"/>
    <w:rsid w:val="1F613B6F"/>
    <w:rsid w:val="1F641E59"/>
    <w:rsid w:val="1F686726"/>
    <w:rsid w:val="1F79272A"/>
    <w:rsid w:val="1F7F40BC"/>
    <w:rsid w:val="1F9008C7"/>
    <w:rsid w:val="1F913CCE"/>
    <w:rsid w:val="1F984549"/>
    <w:rsid w:val="1F9E4FAC"/>
    <w:rsid w:val="1F9F1506"/>
    <w:rsid w:val="1F9F3DD7"/>
    <w:rsid w:val="1FA303D2"/>
    <w:rsid w:val="1FA87A7C"/>
    <w:rsid w:val="1FAF7572"/>
    <w:rsid w:val="1FB5719D"/>
    <w:rsid w:val="1FB64867"/>
    <w:rsid w:val="1FB64B58"/>
    <w:rsid w:val="1FB95506"/>
    <w:rsid w:val="1FC0516E"/>
    <w:rsid w:val="1FC24E7F"/>
    <w:rsid w:val="1FCA5891"/>
    <w:rsid w:val="1FCC3EC3"/>
    <w:rsid w:val="1FD000B9"/>
    <w:rsid w:val="1FD06938"/>
    <w:rsid w:val="1FDE0DD5"/>
    <w:rsid w:val="1FDF12CA"/>
    <w:rsid w:val="1FE41A6F"/>
    <w:rsid w:val="1FEF407A"/>
    <w:rsid w:val="1FF64103"/>
    <w:rsid w:val="20000A88"/>
    <w:rsid w:val="200229D7"/>
    <w:rsid w:val="201D0606"/>
    <w:rsid w:val="2025262A"/>
    <w:rsid w:val="202674E0"/>
    <w:rsid w:val="20286D41"/>
    <w:rsid w:val="202C4A72"/>
    <w:rsid w:val="202D3CDB"/>
    <w:rsid w:val="203324AB"/>
    <w:rsid w:val="2035450A"/>
    <w:rsid w:val="204216B7"/>
    <w:rsid w:val="205F243C"/>
    <w:rsid w:val="20695741"/>
    <w:rsid w:val="207439BD"/>
    <w:rsid w:val="20771C9C"/>
    <w:rsid w:val="20776D72"/>
    <w:rsid w:val="207B5526"/>
    <w:rsid w:val="208C709E"/>
    <w:rsid w:val="2093368B"/>
    <w:rsid w:val="20AA45D9"/>
    <w:rsid w:val="20AB4430"/>
    <w:rsid w:val="20AC0A19"/>
    <w:rsid w:val="20B21721"/>
    <w:rsid w:val="20BE4B78"/>
    <w:rsid w:val="20C04B03"/>
    <w:rsid w:val="20C26108"/>
    <w:rsid w:val="20C73D28"/>
    <w:rsid w:val="20C80AFA"/>
    <w:rsid w:val="20D141E6"/>
    <w:rsid w:val="20D502B5"/>
    <w:rsid w:val="20D8148B"/>
    <w:rsid w:val="20D8469D"/>
    <w:rsid w:val="20DD6D05"/>
    <w:rsid w:val="20E94561"/>
    <w:rsid w:val="20ED6F48"/>
    <w:rsid w:val="20F03951"/>
    <w:rsid w:val="20F13673"/>
    <w:rsid w:val="20F35D3A"/>
    <w:rsid w:val="20FC4C02"/>
    <w:rsid w:val="20FE49D2"/>
    <w:rsid w:val="2102385C"/>
    <w:rsid w:val="2104291D"/>
    <w:rsid w:val="210E11B1"/>
    <w:rsid w:val="21260482"/>
    <w:rsid w:val="212A0A23"/>
    <w:rsid w:val="213759BD"/>
    <w:rsid w:val="213765BD"/>
    <w:rsid w:val="213A18C0"/>
    <w:rsid w:val="213B7211"/>
    <w:rsid w:val="21406BA5"/>
    <w:rsid w:val="21430E98"/>
    <w:rsid w:val="2145170C"/>
    <w:rsid w:val="214D33D3"/>
    <w:rsid w:val="21563C97"/>
    <w:rsid w:val="215B04E6"/>
    <w:rsid w:val="21643CDF"/>
    <w:rsid w:val="216E2B4D"/>
    <w:rsid w:val="217666E8"/>
    <w:rsid w:val="2177156C"/>
    <w:rsid w:val="2187085A"/>
    <w:rsid w:val="218C0698"/>
    <w:rsid w:val="218F25FE"/>
    <w:rsid w:val="21935DF5"/>
    <w:rsid w:val="219F55B8"/>
    <w:rsid w:val="21A15907"/>
    <w:rsid w:val="21A72709"/>
    <w:rsid w:val="21A83508"/>
    <w:rsid w:val="21AD5C84"/>
    <w:rsid w:val="21B32404"/>
    <w:rsid w:val="21BF6973"/>
    <w:rsid w:val="21C645A3"/>
    <w:rsid w:val="21C7631E"/>
    <w:rsid w:val="21CC3855"/>
    <w:rsid w:val="21CE2CE8"/>
    <w:rsid w:val="21D13DA9"/>
    <w:rsid w:val="21D575C7"/>
    <w:rsid w:val="21D64DEF"/>
    <w:rsid w:val="21D65308"/>
    <w:rsid w:val="21DA417D"/>
    <w:rsid w:val="21EB5344"/>
    <w:rsid w:val="21EC32B3"/>
    <w:rsid w:val="21F558EA"/>
    <w:rsid w:val="21F717EA"/>
    <w:rsid w:val="220009B9"/>
    <w:rsid w:val="22024694"/>
    <w:rsid w:val="220C363D"/>
    <w:rsid w:val="221C734E"/>
    <w:rsid w:val="221E3217"/>
    <w:rsid w:val="222C0C2F"/>
    <w:rsid w:val="222E13BD"/>
    <w:rsid w:val="22321F70"/>
    <w:rsid w:val="223936E3"/>
    <w:rsid w:val="223C5A50"/>
    <w:rsid w:val="223E64A5"/>
    <w:rsid w:val="223E7D91"/>
    <w:rsid w:val="223F7FF0"/>
    <w:rsid w:val="224A7D89"/>
    <w:rsid w:val="22536A17"/>
    <w:rsid w:val="2261131F"/>
    <w:rsid w:val="226250E7"/>
    <w:rsid w:val="227441FD"/>
    <w:rsid w:val="227606F7"/>
    <w:rsid w:val="22793D81"/>
    <w:rsid w:val="227E166C"/>
    <w:rsid w:val="22853E7D"/>
    <w:rsid w:val="22860C3B"/>
    <w:rsid w:val="2298323C"/>
    <w:rsid w:val="22A80A6F"/>
    <w:rsid w:val="22AF7551"/>
    <w:rsid w:val="22B619B9"/>
    <w:rsid w:val="22B774B7"/>
    <w:rsid w:val="22C43B6A"/>
    <w:rsid w:val="22CA66D9"/>
    <w:rsid w:val="22D33D77"/>
    <w:rsid w:val="22E01C4A"/>
    <w:rsid w:val="22E0563C"/>
    <w:rsid w:val="22E06246"/>
    <w:rsid w:val="22E30FDA"/>
    <w:rsid w:val="22EA1A1C"/>
    <w:rsid w:val="22F35ED0"/>
    <w:rsid w:val="22F40325"/>
    <w:rsid w:val="22F45893"/>
    <w:rsid w:val="22F707ED"/>
    <w:rsid w:val="2301032C"/>
    <w:rsid w:val="230118FC"/>
    <w:rsid w:val="23011A41"/>
    <w:rsid w:val="23012ED8"/>
    <w:rsid w:val="230570F4"/>
    <w:rsid w:val="23086B36"/>
    <w:rsid w:val="23097103"/>
    <w:rsid w:val="230E5A39"/>
    <w:rsid w:val="23110081"/>
    <w:rsid w:val="231742F7"/>
    <w:rsid w:val="231C353B"/>
    <w:rsid w:val="232F27BC"/>
    <w:rsid w:val="233444B0"/>
    <w:rsid w:val="233F1560"/>
    <w:rsid w:val="234206CF"/>
    <w:rsid w:val="2342266F"/>
    <w:rsid w:val="23453A6C"/>
    <w:rsid w:val="23544C74"/>
    <w:rsid w:val="235B0AEA"/>
    <w:rsid w:val="23651F0A"/>
    <w:rsid w:val="23667DB0"/>
    <w:rsid w:val="23753C96"/>
    <w:rsid w:val="237A64BB"/>
    <w:rsid w:val="2386084A"/>
    <w:rsid w:val="238E53E2"/>
    <w:rsid w:val="238F076D"/>
    <w:rsid w:val="238F5A6E"/>
    <w:rsid w:val="238F6217"/>
    <w:rsid w:val="23986020"/>
    <w:rsid w:val="239E30FB"/>
    <w:rsid w:val="239E53CD"/>
    <w:rsid w:val="23A42E49"/>
    <w:rsid w:val="23AA1F31"/>
    <w:rsid w:val="23AD51E3"/>
    <w:rsid w:val="23B72747"/>
    <w:rsid w:val="23BA6729"/>
    <w:rsid w:val="23BB6566"/>
    <w:rsid w:val="23BD0C21"/>
    <w:rsid w:val="23C140C7"/>
    <w:rsid w:val="23CA3793"/>
    <w:rsid w:val="23D0026A"/>
    <w:rsid w:val="23E81DFF"/>
    <w:rsid w:val="23E9382E"/>
    <w:rsid w:val="23EC75A8"/>
    <w:rsid w:val="23EE01FE"/>
    <w:rsid w:val="24013F40"/>
    <w:rsid w:val="241E7B09"/>
    <w:rsid w:val="2424431C"/>
    <w:rsid w:val="242550C6"/>
    <w:rsid w:val="24346493"/>
    <w:rsid w:val="243879F5"/>
    <w:rsid w:val="244A62E7"/>
    <w:rsid w:val="244C4F41"/>
    <w:rsid w:val="245A5AFD"/>
    <w:rsid w:val="245E11B6"/>
    <w:rsid w:val="246048C9"/>
    <w:rsid w:val="246127DE"/>
    <w:rsid w:val="2464434D"/>
    <w:rsid w:val="24664C5E"/>
    <w:rsid w:val="24664D43"/>
    <w:rsid w:val="247F38A4"/>
    <w:rsid w:val="248F0548"/>
    <w:rsid w:val="24913D04"/>
    <w:rsid w:val="24A425A4"/>
    <w:rsid w:val="24A658B5"/>
    <w:rsid w:val="24AB6A99"/>
    <w:rsid w:val="24B51FCD"/>
    <w:rsid w:val="24B849F2"/>
    <w:rsid w:val="24BC6B56"/>
    <w:rsid w:val="24C51BB3"/>
    <w:rsid w:val="24CC031F"/>
    <w:rsid w:val="24DC15C5"/>
    <w:rsid w:val="24DC41B9"/>
    <w:rsid w:val="24DC6462"/>
    <w:rsid w:val="24DF14C8"/>
    <w:rsid w:val="24DF3759"/>
    <w:rsid w:val="24E46DA4"/>
    <w:rsid w:val="24EB05A3"/>
    <w:rsid w:val="24F239C2"/>
    <w:rsid w:val="25135AE0"/>
    <w:rsid w:val="252E4D73"/>
    <w:rsid w:val="253464F0"/>
    <w:rsid w:val="2541192A"/>
    <w:rsid w:val="25540AD8"/>
    <w:rsid w:val="2559616C"/>
    <w:rsid w:val="255A3DCC"/>
    <w:rsid w:val="256306B7"/>
    <w:rsid w:val="25636515"/>
    <w:rsid w:val="256445D0"/>
    <w:rsid w:val="256B3641"/>
    <w:rsid w:val="257B2563"/>
    <w:rsid w:val="257C674E"/>
    <w:rsid w:val="25852F1A"/>
    <w:rsid w:val="258C1137"/>
    <w:rsid w:val="258D1F5D"/>
    <w:rsid w:val="258F2D0C"/>
    <w:rsid w:val="259D1D20"/>
    <w:rsid w:val="259D4978"/>
    <w:rsid w:val="25B457F5"/>
    <w:rsid w:val="25BC277D"/>
    <w:rsid w:val="25C012CF"/>
    <w:rsid w:val="25C05349"/>
    <w:rsid w:val="25C3495D"/>
    <w:rsid w:val="25CF4F3E"/>
    <w:rsid w:val="25D53721"/>
    <w:rsid w:val="25D62DCA"/>
    <w:rsid w:val="25E8340C"/>
    <w:rsid w:val="25EA14D2"/>
    <w:rsid w:val="25ED1812"/>
    <w:rsid w:val="26004B08"/>
    <w:rsid w:val="260735C4"/>
    <w:rsid w:val="2617413D"/>
    <w:rsid w:val="261C7C2F"/>
    <w:rsid w:val="261E04EC"/>
    <w:rsid w:val="262824A1"/>
    <w:rsid w:val="262D1B8D"/>
    <w:rsid w:val="262D7300"/>
    <w:rsid w:val="26386355"/>
    <w:rsid w:val="26525BA6"/>
    <w:rsid w:val="265924F7"/>
    <w:rsid w:val="265F6258"/>
    <w:rsid w:val="266D6216"/>
    <w:rsid w:val="267277FD"/>
    <w:rsid w:val="26734F59"/>
    <w:rsid w:val="267833BD"/>
    <w:rsid w:val="268A4EA5"/>
    <w:rsid w:val="268F391F"/>
    <w:rsid w:val="26917709"/>
    <w:rsid w:val="2696018B"/>
    <w:rsid w:val="269D15F5"/>
    <w:rsid w:val="26A20122"/>
    <w:rsid w:val="26A55682"/>
    <w:rsid w:val="26A649C4"/>
    <w:rsid w:val="26AC45D7"/>
    <w:rsid w:val="26BA11E9"/>
    <w:rsid w:val="26BD2AC6"/>
    <w:rsid w:val="26C423C5"/>
    <w:rsid w:val="26D55208"/>
    <w:rsid w:val="26DC2861"/>
    <w:rsid w:val="26E035B3"/>
    <w:rsid w:val="26EA3EBD"/>
    <w:rsid w:val="26EA66F8"/>
    <w:rsid w:val="26EA6C05"/>
    <w:rsid w:val="26F71023"/>
    <w:rsid w:val="26F84F6E"/>
    <w:rsid w:val="26FE1B3E"/>
    <w:rsid w:val="270F0DF2"/>
    <w:rsid w:val="272048E8"/>
    <w:rsid w:val="27304EA0"/>
    <w:rsid w:val="273D285F"/>
    <w:rsid w:val="273F21C5"/>
    <w:rsid w:val="2749537C"/>
    <w:rsid w:val="275236A0"/>
    <w:rsid w:val="27554C49"/>
    <w:rsid w:val="275B15D2"/>
    <w:rsid w:val="276A1519"/>
    <w:rsid w:val="276F7DD7"/>
    <w:rsid w:val="277E2092"/>
    <w:rsid w:val="27827416"/>
    <w:rsid w:val="278378EC"/>
    <w:rsid w:val="27922E98"/>
    <w:rsid w:val="27990CD3"/>
    <w:rsid w:val="279C5FC5"/>
    <w:rsid w:val="279E1AD0"/>
    <w:rsid w:val="27A33307"/>
    <w:rsid w:val="27A35122"/>
    <w:rsid w:val="27A6094B"/>
    <w:rsid w:val="27B061AE"/>
    <w:rsid w:val="27C17151"/>
    <w:rsid w:val="27CB205F"/>
    <w:rsid w:val="27DE182B"/>
    <w:rsid w:val="27E27F6B"/>
    <w:rsid w:val="27E673FB"/>
    <w:rsid w:val="27E80F2E"/>
    <w:rsid w:val="27FA5F0A"/>
    <w:rsid w:val="27FC5672"/>
    <w:rsid w:val="27FE0ECF"/>
    <w:rsid w:val="27FE2719"/>
    <w:rsid w:val="28040FB8"/>
    <w:rsid w:val="280E18FD"/>
    <w:rsid w:val="28113320"/>
    <w:rsid w:val="28156A14"/>
    <w:rsid w:val="281771B9"/>
    <w:rsid w:val="28182C1A"/>
    <w:rsid w:val="28420B04"/>
    <w:rsid w:val="284A491C"/>
    <w:rsid w:val="284C3C44"/>
    <w:rsid w:val="285963AC"/>
    <w:rsid w:val="28615204"/>
    <w:rsid w:val="28644F63"/>
    <w:rsid w:val="286C7375"/>
    <w:rsid w:val="286D7FD0"/>
    <w:rsid w:val="2875007A"/>
    <w:rsid w:val="287514C3"/>
    <w:rsid w:val="28915383"/>
    <w:rsid w:val="289E499F"/>
    <w:rsid w:val="28AA6AAF"/>
    <w:rsid w:val="28B52245"/>
    <w:rsid w:val="28BE7876"/>
    <w:rsid w:val="28C159B6"/>
    <w:rsid w:val="28C63BB0"/>
    <w:rsid w:val="28C87B8A"/>
    <w:rsid w:val="28D15BA8"/>
    <w:rsid w:val="28E07DBD"/>
    <w:rsid w:val="28E24EAF"/>
    <w:rsid w:val="28E83A37"/>
    <w:rsid w:val="28E91743"/>
    <w:rsid w:val="28E97A66"/>
    <w:rsid w:val="28EA30D6"/>
    <w:rsid w:val="28EF2F3E"/>
    <w:rsid w:val="28F0211B"/>
    <w:rsid w:val="2907663E"/>
    <w:rsid w:val="291E60A2"/>
    <w:rsid w:val="29200184"/>
    <w:rsid w:val="292763F7"/>
    <w:rsid w:val="292A7911"/>
    <w:rsid w:val="292C6EE3"/>
    <w:rsid w:val="29302117"/>
    <w:rsid w:val="29350F17"/>
    <w:rsid w:val="294279D3"/>
    <w:rsid w:val="294503C2"/>
    <w:rsid w:val="294B7412"/>
    <w:rsid w:val="2953583E"/>
    <w:rsid w:val="295C1F8A"/>
    <w:rsid w:val="2968160A"/>
    <w:rsid w:val="29687041"/>
    <w:rsid w:val="296E261B"/>
    <w:rsid w:val="296E5220"/>
    <w:rsid w:val="29850B19"/>
    <w:rsid w:val="29862DCE"/>
    <w:rsid w:val="299D315A"/>
    <w:rsid w:val="29B0603E"/>
    <w:rsid w:val="29B52B8B"/>
    <w:rsid w:val="29C81E06"/>
    <w:rsid w:val="29E05655"/>
    <w:rsid w:val="29EC111F"/>
    <w:rsid w:val="29EE10E9"/>
    <w:rsid w:val="29FA5CD1"/>
    <w:rsid w:val="2A05422A"/>
    <w:rsid w:val="2A096DBA"/>
    <w:rsid w:val="2A15648E"/>
    <w:rsid w:val="2A182C42"/>
    <w:rsid w:val="2A191F64"/>
    <w:rsid w:val="2A3508F0"/>
    <w:rsid w:val="2A39367F"/>
    <w:rsid w:val="2A467AD0"/>
    <w:rsid w:val="2A4D15D2"/>
    <w:rsid w:val="2A5230B5"/>
    <w:rsid w:val="2A6343B1"/>
    <w:rsid w:val="2A661808"/>
    <w:rsid w:val="2A66740E"/>
    <w:rsid w:val="2A6F238A"/>
    <w:rsid w:val="2A76333C"/>
    <w:rsid w:val="2A8F131A"/>
    <w:rsid w:val="2A9023B8"/>
    <w:rsid w:val="2A9A71B6"/>
    <w:rsid w:val="2AA57A20"/>
    <w:rsid w:val="2AA73191"/>
    <w:rsid w:val="2AAA4630"/>
    <w:rsid w:val="2AAC37BD"/>
    <w:rsid w:val="2ABC05D0"/>
    <w:rsid w:val="2AC07AF8"/>
    <w:rsid w:val="2AC17847"/>
    <w:rsid w:val="2AC57AC5"/>
    <w:rsid w:val="2AC6433D"/>
    <w:rsid w:val="2AC9019E"/>
    <w:rsid w:val="2AD63F69"/>
    <w:rsid w:val="2ADE64A0"/>
    <w:rsid w:val="2AE06023"/>
    <w:rsid w:val="2AE30293"/>
    <w:rsid w:val="2AE35EF1"/>
    <w:rsid w:val="2B0410E8"/>
    <w:rsid w:val="2B080186"/>
    <w:rsid w:val="2B111BC2"/>
    <w:rsid w:val="2B12715D"/>
    <w:rsid w:val="2B180B49"/>
    <w:rsid w:val="2B181675"/>
    <w:rsid w:val="2B222B9A"/>
    <w:rsid w:val="2B277338"/>
    <w:rsid w:val="2B2A1FF9"/>
    <w:rsid w:val="2B352C03"/>
    <w:rsid w:val="2B3E06C1"/>
    <w:rsid w:val="2B403DBE"/>
    <w:rsid w:val="2B430848"/>
    <w:rsid w:val="2B464ADB"/>
    <w:rsid w:val="2B465CAB"/>
    <w:rsid w:val="2B4A56C8"/>
    <w:rsid w:val="2B4D6EDD"/>
    <w:rsid w:val="2B603C0A"/>
    <w:rsid w:val="2B7852D9"/>
    <w:rsid w:val="2B867208"/>
    <w:rsid w:val="2B880A01"/>
    <w:rsid w:val="2B936B61"/>
    <w:rsid w:val="2B9667B8"/>
    <w:rsid w:val="2B99302E"/>
    <w:rsid w:val="2BA51723"/>
    <w:rsid w:val="2BBC69E7"/>
    <w:rsid w:val="2BBE7124"/>
    <w:rsid w:val="2BC44A9D"/>
    <w:rsid w:val="2BCD455F"/>
    <w:rsid w:val="2BD56A9A"/>
    <w:rsid w:val="2BE3160B"/>
    <w:rsid w:val="2BEE1B84"/>
    <w:rsid w:val="2BF404A2"/>
    <w:rsid w:val="2BFB4885"/>
    <w:rsid w:val="2C032AB5"/>
    <w:rsid w:val="2C0B5494"/>
    <w:rsid w:val="2C0B57D0"/>
    <w:rsid w:val="2C1E3C70"/>
    <w:rsid w:val="2C270DFF"/>
    <w:rsid w:val="2C3116AE"/>
    <w:rsid w:val="2C3D5F7D"/>
    <w:rsid w:val="2C437A60"/>
    <w:rsid w:val="2C4408FE"/>
    <w:rsid w:val="2C473DB1"/>
    <w:rsid w:val="2C4B420E"/>
    <w:rsid w:val="2C4E60C6"/>
    <w:rsid w:val="2C66306C"/>
    <w:rsid w:val="2C686912"/>
    <w:rsid w:val="2C7D1E7E"/>
    <w:rsid w:val="2C822090"/>
    <w:rsid w:val="2C842BC6"/>
    <w:rsid w:val="2C8A0E53"/>
    <w:rsid w:val="2C8C1B11"/>
    <w:rsid w:val="2C8C7708"/>
    <w:rsid w:val="2C996A30"/>
    <w:rsid w:val="2C9C141F"/>
    <w:rsid w:val="2CA52CE7"/>
    <w:rsid w:val="2CAA27D0"/>
    <w:rsid w:val="2CC32D54"/>
    <w:rsid w:val="2CC71902"/>
    <w:rsid w:val="2CCD1E4D"/>
    <w:rsid w:val="2CCF6792"/>
    <w:rsid w:val="2CD43E1A"/>
    <w:rsid w:val="2CDA6A99"/>
    <w:rsid w:val="2CE371C3"/>
    <w:rsid w:val="2CE633BB"/>
    <w:rsid w:val="2CEF3FEC"/>
    <w:rsid w:val="2CF62289"/>
    <w:rsid w:val="2CFC31F5"/>
    <w:rsid w:val="2CFF08AE"/>
    <w:rsid w:val="2CFF50AA"/>
    <w:rsid w:val="2D0C5F5D"/>
    <w:rsid w:val="2D0F1CBB"/>
    <w:rsid w:val="2D112A5E"/>
    <w:rsid w:val="2D141BAC"/>
    <w:rsid w:val="2D1D39B7"/>
    <w:rsid w:val="2D3844A2"/>
    <w:rsid w:val="2D415B95"/>
    <w:rsid w:val="2D436353"/>
    <w:rsid w:val="2D4878E2"/>
    <w:rsid w:val="2D5A1664"/>
    <w:rsid w:val="2D5F0BD4"/>
    <w:rsid w:val="2D616996"/>
    <w:rsid w:val="2D6D7E92"/>
    <w:rsid w:val="2D6F73AA"/>
    <w:rsid w:val="2D7370A3"/>
    <w:rsid w:val="2D793988"/>
    <w:rsid w:val="2D7E2C02"/>
    <w:rsid w:val="2D871DDA"/>
    <w:rsid w:val="2D8761F7"/>
    <w:rsid w:val="2D8A057B"/>
    <w:rsid w:val="2D8A676C"/>
    <w:rsid w:val="2D9B29F2"/>
    <w:rsid w:val="2D9C2F9A"/>
    <w:rsid w:val="2DA32AF3"/>
    <w:rsid w:val="2DAC39D0"/>
    <w:rsid w:val="2DB022C3"/>
    <w:rsid w:val="2DB240A4"/>
    <w:rsid w:val="2DB56577"/>
    <w:rsid w:val="2DBA5C7F"/>
    <w:rsid w:val="2DC11E02"/>
    <w:rsid w:val="2DD40EFF"/>
    <w:rsid w:val="2DD66B87"/>
    <w:rsid w:val="2DD7560C"/>
    <w:rsid w:val="2DDA689D"/>
    <w:rsid w:val="2DDE077E"/>
    <w:rsid w:val="2DE6173A"/>
    <w:rsid w:val="2DE67D12"/>
    <w:rsid w:val="2DE91597"/>
    <w:rsid w:val="2DEE1FB5"/>
    <w:rsid w:val="2DF533FA"/>
    <w:rsid w:val="2DFA596E"/>
    <w:rsid w:val="2E044389"/>
    <w:rsid w:val="2E0C7022"/>
    <w:rsid w:val="2E0F2818"/>
    <w:rsid w:val="2E1100DC"/>
    <w:rsid w:val="2E140964"/>
    <w:rsid w:val="2E1C61FD"/>
    <w:rsid w:val="2E1E4596"/>
    <w:rsid w:val="2E481797"/>
    <w:rsid w:val="2E4C5497"/>
    <w:rsid w:val="2E526984"/>
    <w:rsid w:val="2E594A91"/>
    <w:rsid w:val="2E5D5D84"/>
    <w:rsid w:val="2E5E578C"/>
    <w:rsid w:val="2E5F4BFA"/>
    <w:rsid w:val="2E657BA1"/>
    <w:rsid w:val="2E69489B"/>
    <w:rsid w:val="2E6978C1"/>
    <w:rsid w:val="2E6A798A"/>
    <w:rsid w:val="2E793B4B"/>
    <w:rsid w:val="2E7B76A0"/>
    <w:rsid w:val="2E832671"/>
    <w:rsid w:val="2E8976BE"/>
    <w:rsid w:val="2E991A74"/>
    <w:rsid w:val="2E9D7479"/>
    <w:rsid w:val="2EA11237"/>
    <w:rsid w:val="2EA2680E"/>
    <w:rsid w:val="2EAF7A45"/>
    <w:rsid w:val="2EB236FA"/>
    <w:rsid w:val="2EC17DB3"/>
    <w:rsid w:val="2EC3080B"/>
    <w:rsid w:val="2EC4073F"/>
    <w:rsid w:val="2EC72B66"/>
    <w:rsid w:val="2ECB29E0"/>
    <w:rsid w:val="2ECB684F"/>
    <w:rsid w:val="2ED22020"/>
    <w:rsid w:val="2EE2010F"/>
    <w:rsid w:val="2EE52E7A"/>
    <w:rsid w:val="2EE967CC"/>
    <w:rsid w:val="2EEC39DA"/>
    <w:rsid w:val="2EFD2D95"/>
    <w:rsid w:val="2F0020F8"/>
    <w:rsid w:val="2F0E197A"/>
    <w:rsid w:val="2F1A5B77"/>
    <w:rsid w:val="2F2200D1"/>
    <w:rsid w:val="2F260BCD"/>
    <w:rsid w:val="2F2651F9"/>
    <w:rsid w:val="2F367804"/>
    <w:rsid w:val="2F3777A2"/>
    <w:rsid w:val="2F3C4594"/>
    <w:rsid w:val="2F436922"/>
    <w:rsid w:val="2F4A6576"/>
    <w:rsid w:val="2F512CA1"/>
    <w:rsid w:val="2F5911EC"/>
    <w:rsid w:val="2F663F21"/>
    <w:rsid w:val="2F6E4DD1"/>
    <w:rsid w:val="2F7E578B"/>
    <w:rsid w:val="2F7F5816"/>
    <w:rsid w:val="2F8436F9"/>
    <w:rsid w:val="2F940881"/>
    <w:rsid w:val="2F9D6150"/>
    <w:rsid w:val="2FA9542F"/>
    <w:rsid w:val="2FAB077E"/>
    <w:rsid w:val="2FB20885"/>
    <w:rsid w:val="2FBA41F1"/>
    <w:rsid w:val="2FC07315"/>
    <w:rsid w:val="2FC732AC"/>
    <w:rsid w:val="2FCC25E8"/>
    <w:rsid w:val="2FD60B28"/>
    <w:rsid w:val="2FD66FE4"/>
    <w:rsid w:val="2FDF2E92"/>
    <w:rsid w:val="2FDF75A1"/>
    <w:rsid w:val="2FF53A53"/>
    <w:rsid w:val="2FF754B6"/>
    <w:rsid w:val="2FF86CE1"/>
    <w:rsid w:val="2FFA2AC6"/>
    <w:rsid w:val="2FFE3249"/>
    <w:rsid w:val="30160883"/>
    <w:rsid w:val="301D0F52"/>
    <w:rsid w:val="301D13AA"/>
    <w:rsid w:val="30214554"/>
    <w:rsid w:val="302C018D"/>
    <w:rsid w:val="302D1551"/>
    <w:rsid w:val="302D4DBE"/>
    <w:rsid w:val="30341D03"/>
    <w:rsid w:val="30397F2A"/>
    <w:rsid w:val="30413874"/>
    <w:rsid w:val="30471F01"/>
    <w:rsid w:val="304F0C6D"/>
    <w:rsid w:val="3052188E"/>
    <w:rsid w:val="30526B66"/>
    <w:rsid w:val="305F4B6C"/>
    <w:rsid w:val="30700DB3"/>
    <w:rsid w:val="3071406C"/>
    <w:rsid w:val="30790C6A"/>
    <w:rsid w:val="307F31C1"/>
    <w:rsid w:val="308049D5"/>
    <w:rsid w:val="308F2E2D"/>
    <w:rsid w:val="309713E7"/>
    <w:rsid w:val="30985121"/>
    <w:rsid w:val="309B6C76"/>
    <w:rsid w:val="30B54A3C"/>
    <w:rsid w:val="30C05643"/>
    <w:rsid w:val="30CB7BAF"/>
    <w:rsid w:val="30CF4321"/>
    <w:rsid w:val="30DE3B39"/>
    <w:rsid w:val="30DE6902"/>
    <w:rsid w:val="30F3210E"/>
    <w:rsid w:val="30F3258F"/>
    <w:rsid w:val="30F95331"/>
    <w:rsid w:val="30F958CD"/>
    <w:rsid w:val="30FB3737"/>
    <w:rsid w:val="3102157F"/>
    <w:rsid w:val="3105096D"/>
    <w:rsid w:val="31152233"/>
    <w:rsid w:val="31185F87"/>
    <w:rsid w:val="311E15CF"/>
    <w:rsid w:val="31287E99"/>
    <w:rsid w:val="313B0890"/>
    <w:rsid w:val="313E6FAC"/>
    <w:rsid w:val="313F6535"/>
    <w:rsid w:val="31425D39"/>
    <w:rsid w:val="31442DAD"/>
    <w:rsid w:val="31456675"/>
    <w:rsid w:val="314D5BC5"/>
    <w:rsid w:val="31547E55"/>
    <w:rsid w:val="3159398D"/>
    <w:rsid w:val="31686DEF"/>
    <w:rsid w:val="316B5930"/>
    <w:rsid w:val="316F5599"/>
    <w:rsid w:val="31722577"/>
    <w:rsid w:val="317B3226"/>
    <w:rsid w:val="31841DDF"/>
    <w:rsid w:val="318E49C4"/>
    <w:rsid w:val="31913851"/>
    <w:rsid w:val="319C41C9"/>
    <w:rsid w:val="319E38E6"/>
    <w:rsid w:val="319F18FA"/>
    <w:rsid w:val="31AD64BD"/>
    <w:rsid w:val="31B23571"/>
    <w:rsid w:val="31BF7E6F"/>
    <w:rsid w:val="31BF7FA9"/>
    <w:rsid w:val="31C27DF6"/>
    <w:rsid w:val="31C33A63"/>
    <w:rsid w:val="31C36609"/>
    <w:rsid w:val="31CB729F"/>
    <w:rsid w:val="31CF026E"/>
    <w:rsid w:val="31D35C35"/>
    <w:rsid w:val="31D969BB"/>
    <w:rsid w:val="31DB640D"/>
    <w:rsid w:val="31E2726A"/>
    <w:rsid w:val="31E31A66"/>
    <w:rsid w:val="31E83339"/>
    <w:rsid w:val="31EA5372"/>
    <w:rsid w:val="31F139CC"/>
    <w:rsid w:val="31F9572A"/>
    <w:rsid w:val="31FD44AD"/>
    <w:rsid w:val="320015FF"/>
    <w:rsid w:val="32012DCD"/>
    <w:rsid w:val="32040940"/>
    <w:rsid w:val="320846FC"/>
    <w:rsid w:val="32166D4D"/>
    <w:rsid w:val="32197E14"/>
    <w:rsid w:val="321C3752"/>
    <w:rsid w:val="3221335A"/>
    <w:rsid w:val="32235C15"/>
    <w:rsid w:val="32260C39"/>
    <w:rsid w:val="322B01D6"/>
    <w:rsid w:val="322B24E6"/>
    <w:rsid w:val="32376659"/>
    <w:rsid w:val="323D5104"/>
    <w:rsid w:val="323F16B2"/>
    <w:rsid w:val="32555B12"/>
    <w:rsid w:val="3265649B"/>
    <w:rsid w:val="326C49CB"/>
    <w:rsid w:val="327524C7"/>
    <w:rsid w:val="32781CC3"/>
    <w:rsid w:val="32794ADC"/>
    <w:rsid w:val="328A40FE"/>
    <w:rsid w:val="328F22A1"/>
    <w:rsid w:val="32977C77"/>
    <w:rsid w:val="329840D0"/>
    <w:rsid w:val="32A24832"/>
    <w:rsid w:val="32A96648"/>
    <w:rsid w:val="32AD62C1"/>
    <w:rsid w:val="32AF0C88"/>
    <w:rsid w:val="32B92B1F"/>
    <w:rsid w:val="32BB2A65"/>
    <w:rsid w:val="32CB53A3"/>
    <w:rsid w:val="32CB5F46"/>
    <w:rsid w:val="32CC0321"/>
    <w:rsid w:val="32D05126"/>
    <w:rsid w:val="32D612B8"/>
    <w:rsid w:val="32DB5FE2"/>
    <w:rsid w:val="32DC1884"/>
    <w:rsid w:val="32E56661"/>
    <w:rsid w:val="32E91504"/>
    <w:rsid w:val="32EB72A4"/>
    <w:rsid w:val="32F3740F"/>
    <w:rsid w:val="32FA214B"/>
    <w:rsid w:val="32FC65D9"/>
    <w:rsid w:val="32FE7A85"/>
    <w:rsid w:val="330E138F"/>
    <w:rsid w:val="331306F6"/>
    <w:rsid w:val="33165AD1"/>
    <w:rsid w:val="33173DF0"/>
    <w:rsid w:val="331C6C97"/>
    <w:rsid w:val="332E192D"/>
    <w:rsid w:val="33325244"/>
    <w:rsid w:val="333308E2"/>
    <w:rsid w:val="33417D52"/>
    <w:rsid w:val="334350DD"/>
    <w:rsid w:val="33491C41"/>
    <w:rsid w:val="33492444"/>
    <w:rsid w:val="334B65B8"/>
    <w:rsid w:val="3358507C"/>
    <w:rsid w:val="335B786E"/>
    <w:rsid w:val="33665CF5"/>
    <w:rsid w:val="33744C89"/>
    <w:rsid w:val="337723B7"/>
    <w:rsid w:val="33780F46"/>
    <w:rsid w:val="33820DF1"/>
    <w:rsid w:val="33841CA4"/>
    <w:rsid w:val="3386671F"/>
    <w:rsid w:val="338B5D97"/>
    <w:rsid w:val="338D1597"/>
    <w:rsid w:val="33973FAA"/>
    <w:rsid w:val="339A4918"/>
    <w:rsid w:val="33A402B2"/>
    <w:rsid w:val="33A56DAF"/>
    <w:rsid w:val="33AC69A6"/>
    <w:rsid w:val="33B53522"/>
    <w:rsid w:val="33C459D3"/>
    <w:rsid w:val="33C87FC3"/>
    <w:rsid w:val="33CD688F"/>
    <w:rsid w:val="33CF1F91"/>
    <w:rsid w:val="33DD69CB"/>
    <w:rsid w:val="33EC2474"/>
    <w:rsid w:val="33F225C8"/>
    <w:rsid w:val="33F33DE9"/>
    <w:rsid w:val="33F42391"/>
    <w:rsid w:val="3402521F"/>
    <w:rsid w:val="340B4474"/>
    <w:rsid w:val="340E172D"/>
    <w:rsid w:val="3424620C"/>
    <w:rsid w:val="34271E21"/>
    <w:rsid w:val="34450011"/>
    <w:rsid w:val="34451F15"/>
    <w:rsid w:val="344D0963"/>
    <w:rsid w:val="34552EAA"/>
    <w:rsid w:val="345C1BC9"/>
    <w:rsid w:val="3463005F"/>
    <w:rsid w:val="34650620"/>
    <w:rsid w:val="34845DAA"/>
    <w:rsid w:val="3496715F"/>
    <w:rsid w:val="349D553A"/>
    <w:rsid w:val="349D6D6F"/>
    <w:rsid w:val="34A17DC6"/>
    <w:rsid w:val="34AA7088"/>
    <w:rsid w:val="34B42DD9"/>
    <w:rsid w:val="34D37DF5"/>
    <w:rsid w:val="34D40E4C"/>
    <w:rsid w:val="34D713CC"/>
    <w:rsid w:val="34D91B12"/>
    <w:rsid w:val="34D92306"/>
    <w:rsid w:val="34F820D2"/>
    <w:rsid w:val="35114FCA"/>
    <w:rsid w:val="35116F72"/>
    <w:rsid w:val="35142A05"/>
    <w:rsid w:val="351933DD"/>
    <w:rsid w:val="351C2AB2"/>
    <w:rsid w:val="351C3B08"/>
    <w:rsid w:val="35261501"/>
    <w:rsid w:val="35322102"/>
    <w:rsid w:val="354112A0"/>
    <w:rsid w:val="35434E54"/>
    <w:rsid w:val="354C0942"/>
    <w:rsid w:val="35560CE7"/>
    <w:rsid w:val="35574CCB"/>
    <w:rsid w:val="355F4704"/>
    <w:rsid w:val="35654C6E"/>
    <w:rsid w:val="356F1599"/>
    <w:rsid w:val="357B730B"/>
    <w:rsid w:val="358071CF"/>
    <w:rsid w:val="35807E8D"/>
    <w:rsid w:val="3583402F"/>
    <w:rsid w:val="3589384B"/>
    <w:rsid w:val="358B5E9B"/>
    <w:rsid w:val="359B3FD1"/>
    <w:rsid w:val="359D2367"/>
    <w:rsid w:val="35A00AB6"/>
    <w:rsid w:val="35A05D04"/>
    <w:rsid w:val="35B11EE8"/>
    <w:rsid w:val="35B322DB"/>
    <w:rsid w:val="35B60C78"/>
    <w:rsid w:val="35B97173"/>
    <w:rsid w:val="35BC4127"/>
    <w:rsid w:val="35C501CC"/>
    <w:rsid w:val="35C52E9D"/>
    <w:rsid w:val="35DA3178"/>
    <w:rsid w:val="35DD3ADA"/>
    <w:rsid w:val="35EF18FD"/>
    <w:rsid w:val="35F20D74"/>
    <w:rsid w:val="35F4027C"/>
    <w:rsid w:val="36020E80"/>
    <w:rsid w:val="3605477E"/>
    <w:rsid w:val="360F7C99"/>
    <w:rsid w:val="36185EC4"/>
    <w:rsid w:val="361A1EA9"/>
    <w:rsid w:val="361A5C33"/>
    <w:rsid w:val="36247ECD"/>
    <w:rsid w:val="3626311A"/>
    <w:rsid w:val="36270F15"/>
    <w:rsid w:val="36334C83"/>
    <w:rsid w:val="364E0919"/>
    <w:rsid w:val="365B24B1"/>
    <w:rsid w:val="36686DFB"/>
    <w:rsid w:val="368B50DC"/>
    <w:rsid w:val="368F1A74"/>
    <w:rsid w:val="369275E2"/>
    <w:rsid w:val="369304FD"/>
    <w:rsid w:val="36944903"/>
    <w:rsid w:val="36965924"/>
    <w:rsid w:val="36A026F4"/>
    <w:rsid w:val="36AC4D3C"/>
    <w:rsid w:val="36B3080C"/>
    <w:rsid w:val="36C906E2"/>
    <w:rsid w:val="36D5466E"/>
    <w:rsid w:val="36D75467"/>
    <w:rsid w:val="36DA5A9D"/>
    <w:rsid w:val="36E03B81"/>
    <w:rsid w:val="36E126B2"/>
    <w:rsid w:val="36E432CF"/>
    <w:rsid w:val="36FA5C24"/>
    <w:rsid w:val="36FC3404"/>
    <w:rsid w:val="36FE3930"/>
    <w:rsid w:val="370B6BBD"/>
    <w:rsid w:val="37103543"/>
    <w:rsid w:val="371A4CCE"/>
    <w:rsid w:val="371C7817"/>
    <w:rsid w:val="371D2610"/>
    <w:rsid w:val="37244B71"/>
    <w:rsid w:val="373A038D"/>
    <w:rsid w:val="373B0DD4"/>
    <w:rsid w:val="373F5E54"/>
    <w:rsid w:val="37444456"/>
    <w:rsid w:val="374F6BD6"/>
    <w:rsid w:val="376D4330"/>
    <w:rsid w:val="3779232F"/>
    <w:rsid w:val="37843DF9"/>
    <w:rsid w:val="378E02F2"/>
    <w:rsid w:val="37981FA0"/>
    <w:rsid w:val="37A22635"/>
    <w:rsid w:val="37A44251"/>
    <w:rsid w:val="37A61E6C"/>
    <w:rsid w:val="37B46271"/>
    <w:rsid w:val="37B66BE9"/>
    <w:rsid w:val="37C52C6D"/>
    <w:rsid w:val="37D05380"/>
    <w:rsid w:val="37D71178"/>
    <w:rsid w:val="37DD26D9"/>
    <w:rsid w:val="37E261BB"/>
    <w:rsid w:val="37E369F7"/>
    <w:rsid w:val="37E52D87"/>
    <w:rsid w:val="37E956B8"/>
    <w:rsid w:val="37EC1388"/>
    <w:rsid w:val="37F16953"/>
    <w:rsid w:val="37F21C9F"/>
    <w:rsid w:val="37F3056F"/>
    <w:rsid w:val="37FD135B"/>
    <w:rsid w:val="38090F60"/>
    <w:rsid w:val="38233BE0"/>
    <w:rsid w:val="382A1B29"/>
    <w:rsid w:val="382D0AB9"/>
    <w:rsid w:val="382F0FB3"/>
    <w:rsid w:val="383315F7"/>
    <w:rsid w:val="383D5DF2"/>
    <w:rsid w:val="383D767B"/>
    <w:rsid w:val="383F74F8"/>
    <w:rsid w:val="38487D19"/>
    <w:rsid w:val="384E2E58"/>
    <w:rsid w:val="3851076E"/>
    <w:rsid w:val="38537DA2"/>
    <w:rsid w:val="38553124"/>
    <w:rsid w:val="38557066"/>
    <w:rsid w:val="38562292"/>
    <w:rsid w:val="38616AEB"/>
    <w:rsid w:val="38630259"/>
    <w:rsid w:val="38665C5E"/>
    <w:rsid w:val="3867704F"/>
    <w:rsid w:val="38683139"/>
    <w:rsid w:val="386A34F6"/>
    <w:rsid w:val="386C72A0"/>
    <w:rsid w:val="3872134D"/>
    <w:rsid w:val="387A70D9"/>
    <w:rsid w:val="388A00D1"/>
    <w:rsid w:val="388B382C"/>
    <w:rsid w:val="389C3A5F"/>
    <w:rsid w:val="38A17A1B"/>
    <w:rsid w:val="38A6468E"/>
    <w:rsid w:val="38B05CB9"/>
    <w:rsid w:val="38B31DD0"/>
    <w:rsid w:val="38BA1F3F"/>
    <w:rsid w:val="38BC5DAE"/>
    <w:rsid w:val="38BD15BF"/>
    <w:rsid w:val="38C1453E"/>
    <w:rsid w:val="38C26BC5"/>
    <w:rsid w:val="38C31B56"/>
    <w:rsid w:val="38C67EE1"/>
    <w:rsid w:val="38C93DBD"/>
    <w:rsid w:val="38CC1313"/>
    <w:rsid w:val="38CC283F"/>
    <w:rsid w:val="38D754AF"/>
    <w:rsid w:val="38DA6338"/>
    <w:rsid w:val="38DB4C2A"/>
    <w:rsid w:val="38E42C1F"/>
    <w:rsid w:val="38E84D2E"/>
    <w:rsid w:val="38F12E40"/>
    <w:rsid w:val="38F5255A"/>
    <w:rsid w:val="38FA05FE"/>
    <w:rsid w:val="38FE071E"/>
    <w:rsid w:val="3900087B"/>
    <w:rsid w:val="3908788E"/>
    <w:rsid w:val="390F08FA"/>
    <w:rsid w:val="390F2EDB"/>
    <w:rsid w:val="39103812"/>
    <w:rsid w:val="39103E8A"/>
    <w:rsid w:val="39132F0F"/>
    <w:rsid w:val="391C19FF"/>
    <w:rsid w:val="391E4DC6"/>
    <w:rsid w:val="39234319"/>
    <w:rsid w:val="39234C5A"/>
    <w:rsid w:val="392422F3"/>
    <w:rsid w:val="39245314"/>
    <w:rsid w:val="393A3F4D"/>
    <w:rsid w:val="39424ECD"/>
    <w:rsid w:val="39491E1E"/>
    <w:rsid w:val="394D2426"/>
    <w:rsid w:val="394E38F4"/>
    <w:rsid w:val="39521196"/>
    <w:rsid w:val="39535B3E"/>
    <w:rsid w:val="39567680"/>
    <w:rsid w:val="395954D0"/>
    <w:rsid w:val="397035AE"/>
    <w:rsid w:val="397113EA"/>
    <w:rsid w:val="39735BE3"/>
    <w:rsid w:val="3989360B"/>
    <w:rsid w:val="39953609"/>
    <w:rsid w:val="39957403"/>
    <w:rsid w:val="399B2ADB"/>
    <w:rsid w:val="399E2047"/>
    <w:rsid w:val="39A71332"/>
    <w:rsid w:val="39C021F4"/>
    <w:rsid w:val="39C30A82"/>
    <w:rsid w:val="39C57800"/>
    <w:rsid w:val="39D25DF9"/>
    <w:rsid w:val="39D56468"/>
    <w:rsid w:val="39DE22CE"/>
    <w:rsid w:val="39DE68B6"/>
    <w:rsid w:val="39E22918"/>
    <w:rsid w:val="39E31AC7"/>
    <w:rsid w:val="39EF3AE4"/>
    <w:rsid w:val="39F46D3B"/>
    <w:rsid w:val="39FE0BC6"/>
    <w:rsid w:val="39FF69F2"/>
    <w:rsid w:val="3A0D3AEB"/>
    <w:rsid w:val="3A135B82"/>
    <w:rsid w:val="3A1A4296"/>
    <w:rsid w:val="3A2424CB"/>
    <w:rsid w:val="3A290338"/>
    <w:rsid w:val="3A3306A7"/>
    <w:rsid w:val="3A3A1D9A"/>
    <w:rsid w:val="3A3B08A4"/>
    <w:rsid w:val="3A3E110A"/>
    <w:rsid w:val="3A4037CF"/>
    <w:rsid w:val="3A496805"/>
    <w:rsid w:val="3A595E0E"/>
    <w:rsid w:val="3A5D48A3"/>
    <w:rsid w:val="3A5E2036"/>
    <w:rsid w:val="3A612389"/>
    <w:rsid w:val="3A6A32E7"/>
    <w:rsid w:val="3A75135C"/>
    <w:rsid w:val="3A7C538A"/>
    <w:rsid w:val="3A82483A"/>
    <w:rsid w:val="3A8F7C91"/>
    <w:rsid w:val="3A93182C"/>
    <w:rsid w:val="3A950B7C"/>
    <w:rsid w:val="3AA069CF"/>
    <w:rsid w:val="3AA7293C"/>
    <w:rsid w:val="3AA92AFA"/>
    <w:rsid w:val="3AAF4827"/>
    <w:rsid w:val="3AB26CC5"/>
    <w:rsid w:val="3AB54018"/>
    <w:rsid w:val="3AB55C15"/>
    <w:rsid w:val="3ABD02F4"/>
    <w:rsid w:val="3ABF3981"/>
    <w:rsid w:val="3AC154CA"/>
    <w:rsid w:val="3AC505A2"/>
    <w:rsid w:val="3ACA18AD"/>
    <w:rsid w:val="3AD556A6"/>
    <w:rsid w:val="3AD93CF0"/>
    <w:rsid w:val="3AE112FF"/>
    <w:rsid w:val="3AEE367E"/>
    <w:rsid w:val="3AF73F8E"/>
    <w:rsid w:val="3AF83408"/>
    <w:rsid w:val="3AFA3AA5"/>
    <w:rsid w:val="3AFA6DC9"/>
    <w:rsid w:val="3AFC4599"/>
    <w:rsid w:val="3AFD3322"/>
    <w:rsid w:val="3B002B9D"/>
    <w:rsid w:val="3B0C2497"/>
    <w:rsid w:val="3B0C4F93"/>
    <w:rsid w:val="3B1669C2"/>
    <w:rsid w:val="3B186FE9"/>
    <w:rsid w:val="3B190A60"/>
    <w:rsid w:val="3B1A392B"/>
    <w:rsid w:val="3B1C3234"/>
    <w:rsid w:val="3B2468B3"/>
    <w:rsid w:val="3B256536"/>
    <w:rsid w:val="3B313E15"/>
    <w:rsid w:val="3B3635AB"/>
    <w:rsid w:val="3B37613F"/>
    <w:rsid w:val="3B452C50"/>
    <w:rsid w:val="3B4E14F1"/>
    <w:rsid w:val="3B505A1C"/>
    <w:rsid w:val="3B5865B2"/>
    <w:rsid w:val="3B59301C"/>
    <w:rsid w:val="3B5A25D6"/>
    <w:rsid w:val="3B5B3975"/>
    <w:rsid w:val="3B5E09D7"/>
    <w:rsid w:val="3B651DF0"/>
    <w:rsid w:val="3B731D7A"/>
    <w:rsid w:val="3B791E90"/>
    <w:rsid w:val="3B7B74E1"/>
    <w:rsid w:val="3B837671"/>
    <w:rsid w:val="3B880A4A"/>
    <w:rsid w:val="3B89300D"/>
    <w:rsid w:val="3B8A6EC2"/>
    <w:rsid w:val="3B8C5732"/>
    <w:rsid w:val="3B8E4AB8"/>
    <w:rsid w:val="3B9440A1"/>
    <w:rsid w:val="3B94652B"/>
    <w:rsid w:val="3BA24786"/>
    <w:rsid w:val="3BB95194"/>
    <w:rsid w:val="3BBA1ACD"/>
    <w:rsid w:val="3BBF74DE"/>
    <w:rsid w:val="3BC0696E"/>
    <w:rsid w:val="3BC26D55"/>
    <w:rsid w:val="3BC85F21"/>
    <w:rsid w:val="3BC93F63"/>
    <w:rsid w:val="3BD20A4B"/>
    <w:rsid w:val="3BD20BEC"/>
    <w:rsid w:val="3BE258F2"/>
    <w:rsid w:val="3BE3693B"/>
    <w:rsid w:val="3BE932D3"/>
    <w:rsid w:val="3BFE0432"/>
    <w:rsid w:val="3C00317A"/>
    <w:rsid w:val="3C03300E"/>
    <w:rsid w:val="3C0A656E"/>
    <w:rsid w:val="3C0B63AD"/>
    <w:rsid w:val="3C15066D"/>
    <w:rsid w:val="3C205BC3"/>
    <w:rsid w:val="3C2201D1"/>
    <w:rsid w:val="3C28729F"/>
    <w:rsid w:val="3C2A741A"/>
    <w:rsid w:val="3C3710FF"/>
    <w:rsid w:val="3C411AB8"/>
    <w:rsid w:val="3C4353FE"/>
    <w:rsid w:val="3C4608AC"/>
    <w:rsid w:val="3C4E6265"/>
    <w:rsid w:val="3C50390A"/>
    <w:rsid w:val="3C54160F"/>
    <w:rsid w:val="3C6127E8"/>
    <w:rsid w:val="3C624A28"/>
    <w:rsid w:val="3C773190"/>
    <w:rsid w:val="3C793E68"/>
    <w:rsid w:val="3C7C7F0F"/>
    <w:rsid w:val="3C7E497B"/>
    <w:rsid w:val="3C82043C"/>
    <w:rsid w:val="3C82216B"/>
    <w:rsid w:val="3C886F15"/>
    <w:rsid w:val="3C8B109E"/>
    <w:rsid w:val="3C8B67DD"/>
    <w:rsid w:val="3C8D7814"/>
    <w:rsid w:val="3C942A66"/>
    <w:rsid w:val="3C9A328E"/>
    <w:rsid w:val="3C9A4085"/>
    <w:rsid w:val="3C9B7D26"/>
    <w:rsid w:val="3CA3632E"/>
    <w:rsid w:val="3CA70778"/>
    <w:rsid w:val="3CB43F91"/>
    <w:rsid w:val="3CB77EFD"/>
    <w:rsid w:val="3CB80646"/>
    <w:rsid w:val="3CB95734"/>
    <w:rsid w:val="3CBC7F19"/>
    <w:rsid w:val="3CC20B2A"/>
    <w:rsid w:val="3CC20CE7"/>
    <w:rsid w:val="3CCA0EB2"/>
    <w:rsid w:val="3CCF05E4"/>
    <w:rsid w:val="3CD479FE"/>
    <w:rsid w:val="3CE2143C"/>
    <w:rsid w:val="3CE4052E"/>
    <w:rsid w:val="3CF32F6E"/>
    <w:rsid w:val="3CF83B2E"/>
    <w:rsid w:val="3CF957C1"/>
    <w:rsid w:val="3CFA4C9E"/>
    <w:rsid w:val="3CFB2368"/>
    <w:rsid w:val="3D016024"/>
    <w:rsid w:val="3D0A066C"/>
    <w:rsid w:val="3D103E71"/>
    <w:rsid w:val="3D142619"/>
    <w:rsid w:val="3D1850D7"/>
    <w:rsid w:val="3D210EEF"/>
    <w:rsid w:val="3D224F2D"/>
    <w:rsid w:val="3D291937"/>
    <w:rsid w:val="3D294205"/>
    <w:rsid w:val="3D363C80"/>
    <w:rsid w:val="3D3D6946"/>
    <w:rsid w:val="3D412A08"/>
    <w:rsid w:val="3D4C6FC6"/>
    <w:rsid w:val="3D5428F6"/>
    <w:rsid w:val="3D5B5C86"/>
    <w:rsid w:val="3D5F0D8C"/>
    <w:rsid w:val="3D620236"/>
    <w:rsid w:val="3D685FA3"/>
    <w:rsid w:val="3D736FA2"/>
    <w:rsid w:val="3D83315B"/>
    <w:rsid w:val="3D8812AE"/>
    <w:rsid w:val="3D8C6C4A"/>
    <w:rsid w:val="3DA209BD"/>
    <w:rsid w:val="3DA66963"/>
    <w:rsid w:val="3DA73760"/>
    <w:rsid w:val="3DAA2A50"/>
    <w:rsid w:val="3DAE72B1"/>
    <w:rsid w:val="3DAF498D"/>
    <w:rsid w:val="3DB77267"/>
    <w:rsid w:val="3DBF046C"/>
    <w:rsid w:val="3DC13666"/>
    <w:rsid w:val="3DC86DB6"/>
    <w:rsid w:val="3DD37AE2"/>
    <w:rsid w:val="3DD6554A"/>
    <w:rsid w:val="3DDA4854"/>
    <w:rsid w:val="3DEF3562"/>
    <w:rsid w:val="3DF158A0"/>
    <w:rsid w:val="3DF20129"/>
    <w:rsid w:val="3DF33FCC"/>
    <w:rsid w:val="3DF67E14"/>
    <w:rsid w:val="3E03148D"/>
    <w:rsid w:val="3E0C5AC9"/>
    <w:rsid w:val="3E1019BB"/>
    <w:rsid w:val="3E1F38B2"/>
    <w:rsid w:val="3E2657D5"/>
    <w:rsid w:val="3E2E27B9"/>
    <w:rsid w:val="3E3647AA"/>
    <w:rsid w:val="3E4F243E"/>
    <w:rsid w:val="3E4F4E8E"/>
    <w:rsid w:val="3E520CD7"/>
    <w:rsid w:val="3E527378"/>
    <w:rsid w:val="3E6970B2"/>
    <w:rsid w:val="3E7212ED"/>
    <w:rsid w:val="3E73685A"/>
    <w:rsid w:val="3E8B26FE"/>
    <w:rsid w:val="3E922536"/>
    <w:rsid w:val="3E9A4BB1"/>
    <w:rsid w:val="3E9C40D7"/>
    <w:rsid w:val="3EA3414C"/>
    <w:rsid w:val="3EB01AC7"/>
    <w:rsid w:val="3EB1054C"/>
    <w:rsid w:val="3EB13C76"/>
    <w:rsid w:val="3EB14E3A"/>
    <w:rsid w:val="3EBD3F95"/>
    <w:rsid w:val="3EC25CA0"/>
    <w:rsid w:val="3EC7163A"/>
    <w:rsid w:val="3EC96566"/>
    <w:rsid w:val="3ECD16C8"/>
    <w:rsid w:val="3ED218A5"/>
    <w:rsid w:val="3EE27A1E"/>
    <w:rsid w:val="3EEE2BE8"/>
    <w:rsid w:val="3EF20519"/>
    <w:rsid w:val="3F023D3C"/>
    <w:rsid w:val="3F0B2670"/>
    <w:rsid w:val="3F12278F"/>
    <w:rsid w:val="3F13251A"/>
    <w:rsid w:val="3F136010"/>
    <w:rsid w:val="3F1365F0"/>
    <w:rsid w:val="3F153FB9"/>
    <w:rsid w:val="3F1D16CE"/>
    <w:rsid w:val="3F1E3820"/>
    <w:rsid w:val="3F2C3DE7"/>
    <w:rsid w:val="3F2D0248"/>
    <w:rsid w:val="3F2F5872"/>
    <w:rsid w:val="3F3A583F"/>
    <w:rsid w:val="3F411CE0"/>
    <w:rsid w:val="3F43603E"/>
    <w:rsid w:val="3F44276C"/>
    <w:rsid w:val="3F4A1C8B"/>
    <w:rsid w:val="3F4A6ABF"/>
    <w:rsid w:val="3F4C0C38"/>
    <w:rsid w:val="3F58403A"/>
    <w:rsid w:val="3F661102"/>
    <w:rsid w:val="3F666903"/>
    <w:rsid w:val="3F6D2629"/>
    <w:rsid w:val="3F720E02"/>
    <w:rsid w:val="3F722C41"/>
    <w:rsid w:val="3F892E15"/>
    <w:rsid w:val="3F8A5BAA"/>
    <w:rsid w:val="3F92136C"/>
    <w:rsid w:val="3F9E1960"/>
    <w:rsid w:val="3F9E4CF2"/>
    <w:rsid w:val="3FA933A2"/>
    <w:rsid w:val="3FAD2022"/>
    <w:rsid w:val="3FAE3F57"/>
    <w:rsid w:val="3FAE4204"/>
    <w:rsid w:val="3FAF181F"/>
    <w:rsid w:val="3FB43FB9"/>
    <w:rsid w:val="3FB479A0"/>
    <w:rsid w:val="3FB77D6F"/>
    <w:rsid w:val="3FD211FB"/>
    <w:rsid w:val="3FD404AB"/>
    <w:rsid w:val="3FD62EC1"/>
    <w:rsid w:val="3FD7678F"/>
    <w:rsid w:val="3FD97438"/>
    <w:rsid w:val="3FDA067E"/>
    <w:rsid w:val="3FDE72C9"/>
    <w:rsid w:val="3FE635F3"/>
    <w:rsid w:val="3FEE0241"/>
    <w:rsid w:val="3FF141E9"/>
    <w:rsid w:val="3FF53BC5"/>
    <w:rsid w:val="3FF54E76"/>
    <w:rsid w:val="3FF85BCF"/>
    <w:rsid w:val="401F116F"/>
    <w:rsid w:val="401F2835"/>
    <w:rsid w:val="40250F8B"/>
    <w:rsid w:val="40270AF7"/>
    <w:rsid w:val="40292CCE"/>
    <w:rsid w:val="40412C3B"/>
    <w:rsid w:val="404D6A5F"/>
    <w:rsid w:val="404E04A7"/>
    <w:rsid w:val="405668D4"/>
    <w:rsid w:val="4062348D"/>
    <w:rsid w:val="40653646"/>
    <w:rsid w:val="40655D1B"/>
    <w:rsid w:val="40681B0B"/>
    <w:rsid w:val="406E7CC6"/>
    <w:rsid w:val="406F602F"/>
    <w:rsid w:val="40712660"/>
    <w:rsid w:val="40797595"/>
    <w:rsid w:val="407E0656"/>
    <w:rsid w:val="40805F80"/>
    <w:rsid w:val="40850AD3"/>
    <w:rsid w:val="408F6CEC"/>
    <w:rsid w:val="409232C7"/>
    <w:rsid w:val="4094009F"/>
    <w:rsid w:val="4097140E"/>
    <w:rsid w:val="40A41E49"/>
    <w:rsid w:val="40A61EC4"/>
    <w:rsid w:val="40B64687"/>
    <w:rsid w:val="40B92893"/>
    <w:rsid w:val="40C55D36"/>
    <w:rsid w:val="40CF749B"/>
    <w:rsid w:val="40D03DBA"/>
    <w:rsid w:val="40D84655"/>
    <w:rsid w:val="40E727D9"/>
    <w:rsid w:val="40F435F1"/>
    <w:rsid w:val="40F75BC6"/>
    <w:rsid w:val="4102170A"/>
    <w:rsid w:val="41083CBA"/>
    <w:rsid w:val="41094141"/>
    <w:rsid w:val="411A643C"/>
    <w:rsid w:val="411E1620"/>
    <w:rsid w:val="411F2B4B"/>
    <w:rsid w:val="41213BE8"/>
    <w:rsid w:val="41294129"/>
    <w:rsid w:val="41303E98"/>
    <w:rsid w:val="41386742"/>
    <w:rsid w:val="41392B23"/>
    <w:rsid w:val="413C0CAB"/>
    <w:rsid w:val="4144054F"/>
    <w:rsid w:val="414528DF"/>
    <w:rsid w:val="41480D53"/>
    <w:rsid w:val="414B35E7"/>
    <w:rsid w:val="41506F12"/>
    <w:rsid w:val="415E67A5"/>
    <w:rsid w:val="41651D3A"/>
    <w:rsid w:val="416858EB"/>
    <w:rsid w:val="41694A56"/>
    <w:rsid w:val="41706740"/>
    <w:rsid w:val="417325E3"/>
    <w:rsid w:val="417742AC"/>
    <w:rsid w:val="4179238C"/>
    <w:rsid w:val="418249C7"/>
    <w:rsid w:val="41837D60"/>
    <w:rsid w:val="419433DE"/>
    <w:rsid w:val="41963A7A"/>
    <w:rsid w:val="419F1BE4"/>
    <w:rsid w:val="419F4083"/>
    <w:rsid w:val="41AF3F94"/>
    <w:rsid w:val="41AF6CA0"/>
    <w:rsid w:val="41B20C20"/>
    <w:rsid w:val="41BC6779"/>
    <w:rsid w:val="41C213BA"/>
    <w:rsid w:val="41C4063B"/>
    <w:rsid w:val="41C82ECA"/>
    <w:rsid w:val="41CC40FF"/>
    <w:rsid w:val="41CD3BB9"/>
    <w:rsid w:val="41D448DE"/>
    <w:rsid w:val="41DC6A82"/>
    <w:rsid w:val="41DE71D2"/>
    <w:rsid w:val="41E10958"/>
    <w:rsid w:val="41F1341F"/>
    <w:rsid w:val="41F54DD6"/>
    <w:rsid w:val="42067189"/>
    <w:rsid w:val="420A22A0"/>
    <w:rsid w:val="420B609C"/>
    <w:rsid w:val="42112A44"/>
    <w:rsid w:val="421C258C"/>
    <w:rsid w:val="422851E6"/>
    <w:rsid w:val="422870D4"/>
    <w:rsid w:val="422C6C39"/>
    <w:rsid w:val="422E76A1"/>
    <w:rsid w:val="42433416"/>
    <w:rsid w:val="424D3566"/>
    <w:rsid w:val="42591948"/>
    <w:rsid w:val="425C1657"/>
    <w:rsid w:val="425D181A"/>
    <w:rsid w:val="42661088"/>
    <w:rsid w:val="426806F4"/>
    <w:rsid w:val="426E1C28"/>
    <w:rsid w:val="42716473"/>
    <w:rsid w:val="42785B8C"/>
    <w:rsid w:val="427B1A08"/>
    <w:rsid w:val="427D2F21"/>
    <w:rsid w:val="4288614E"/>
    <w:rsid w:val="4288648A"/>
    <w:rsid w:val="428D045B"/>
    <w:rsid w:val="4292322F"/>
    <w:rsid w:val="429B2B21"/>
    <w:rsid w:val="429D17B5"/>
    <w:rsid w:val="42A62228"/>
    <w:rsid w:val="42A627F2"/>
    <w:rsid w:val="42B4050E"/>
    <w:rsid w:val="42BC7587"/>
    <w:rsid w:val="42C22E3B"/>
    <w:rsid w:val="42C36CD5"/>
    <w:rsid w:val="42C41FE4"/>
    <w:rsid w:val="42D77E08"/>
    <w:rsid w:val="42DD60FE"/>
    <w:rsid w:val="42DF3109"/>
    <w:rsid w:val="42E54ED7"/>
    <w:rsid w:val="42F009CC"/>
    <w:rsid w:val="42F05A7C"/>
    <w:rsid w:val="42FA34CA"/>
    <w:rsid w:val="43061E6A"/>
    <w:rsid w:val="4312661B"/>
    <w:rsid w:val="43135EB5"/>
    <w:rsid w:val="431B70DA"/>
    <w:rsid w:val="43300A36"/>
    <w:rsid w:val="43322D1D"/>
    <w:rsid w:val="433D18C7"/>
    <w:rsid w:val="433F1262"/>
    <w:rsid w:val="43455BBB"/>
    <w:rsid w:val="434A3295"/>
    <w:rsid w:val="434A7154"/>
    <w:rsid w:val="43537F4B"/>
    <w:rsid w:val="435E03EB"/>
    <w:rsid w:val="43621F79"/>
    <w:rsid w:val="43676D85"/>
    <w:rsid w:val="43721FD6"/>
    <w:rsid w:val="4375205B"/>
    <w:rsid w:val="43815BC1"/>
    <w:rsid w:val="438666A4"/>
    <w:rsid w:val="43A04F14"/>
    <w:rsid w:val="43A21FD3"/>
    <w:rsid w:val="43B36449"/>
    <w:rsid w:val="43B52F2F"/>
    <w:rsid w:val="43B810FA"/>
    <w:rsid w:val="43C00DA4"/>
    <w:rsid w:val="43CB318B"/>
    <w:rsid w:val="43D40D25"/>
    <w:rsid w:val="43EB0169"/>
    <w:rsid w:val="43EF4A13"/>
    <w:rsid w:val="43EF6679"/>
    <w:rsid w:val="43F763EA"/>
    <w:rsid w:val="43F95F54"/>
    <w:rsid w:val="43FE1B4F"/>
    <w:rsid w:val="44070DDE"/>
    <w:rsid w:val="440756DA"/>
    <w:rsid w:val="440A40B2"/>
    <w:rsid w:val="440B2872"/>
    <w:rsid w:val="4418484A"/>
    <w:rsid w:val="441D117C"/>
    <w:rsid w:val="441E0811"/>
    <w:rsid w:val="44303F41"/>
    <w:rsid w:val="443315B5"/>
    <w:rsid w:val="44367F55"/>
    <w:rsid w:val="443F15B3"/>
    <w:rsid w:val="44534EE3"/>
    <w:rsid w:val="445B013B"/>
    <w:rsid w:val="44602AA9"/>
    <w:rsid w:val="44623A64"/>
    <w:rsid w:val="44663932"/>
    <w:rsid w:val="446D7208"/>
    <w:rsid w:val="447E4F37"/>
    <w:rsid w:val="447E71AC"/>
    <w:rsid w:val="44813040"/>
    <w:rsid w:val="44846F5D"/>
    <w:rsid w:val="44850C92"/>
    <w:rsid w:val="44860D83"/>
    <w:rsid w:val="44897EE1"/>
    <w:rsid w:val="448A00DF"/>
    <w:rsid w:val="448B57D9"/>
    <w:rsid w:val="44954BB9"/>
    <w:rsid w:val="44995D36"/>
    <w:rsid w:val="449B220F"/>
    <w:rsid w:val="449F7087"/>
    <w:rsid w:val="44A71F1F"/>
    <w:rsid w:val="44B216CC"/>
    <w:rsid w:val="44C570D6"/>
    <w:rsid w:val="44C57A9D"/>
    <w:rsid w:val="44D00359"/>
    <w:rsid w:val="44D1062D"/>
    <w:rsid w:val="44D456EB"/>
    <w:rsid w:val="44D56356"/>
    <w:rsid w:val="44D72E8E"/>
    <w:rsid w:val="44DB61C5"/>
    <w:rsid w:val="44E637E8"/>
    <w:rsid w:val="44E86ABF"/>
    <w:rsid w:val="44F17AC1"/>
    <w:rsid w:val="44F50B70"/>
    <w:rsid w:val="44F510CB"/>
    <w:rsid w:val="44F90F58"/>
    <w:rsid w:val="44FB1427"/>
    <w:rsid w:val="44FC530F"/>
    <w:rsid w:val="44FD49B4"/>
    <w:rsid w:val="450A16FF"/>
    <w:rsid w:val="450B6DD7"/>
    <w:rsid w:val="450C25DC"/>
    <w:rsid w:val="45122E52"/>
    <w:rsid w:val="451362FD"/>
    <w:rsid w:val="451A5CDD"/>
    <w:rsid w:val="451D6C73"/>
    <w:rsid w:val="452B4795"/>
    <w:rsid w:val="452C76AE"/>
    <w:rsid w:val="45391754"/>
    <w:rsid w:val="45391C5E"/>
    <w:rsid w:val="4540282F"/>
    <w:rsid w:val="45404374"/>
    <w:rsid w:val="45451C5A"/>
    <w:rsid w:val="45461FBC"/>
    <w:rsid w:val="4555591D"/>
    <w:rsid w:val="45567D79"/>
    <w:rsid w:val="455A6B7E"/>
    <w:rsid w:val="455C139D"/>
    <w:rsid w:val="4563661C"/>
    <w:rsid w:val="45664A59"/>
    <w:rsid w:val="45721926"/>
    <w:rsid w:val="45760E04"/>
    <w:rsid w:val="45765F5F"/>
    <w:rsid w:val="45793699"/>
    <w:rsid w:val="457D2DE9"/>
    <w:rsid w:val="45992930"/>
    <w:rsid w:val="459E128F"/>
    <w:rsid w:val="45A33B0B"/>
    <w:rsid w:val="45A81070"/>
    <w:rsid w:val="45A87F33"/>
    <w:rsid w:val="45AC7703"/>
    <w:rsid w:val="45B557E9"/>
    <w:rsid w:val="45B633EC"/>
    <w:rsid w:val="45BD5D17"/>
    <w:rsid w:val="45C01531"/>
    <w:rsid w:val="45C8771A"/>
    <w:rsid w:val="45CB47A1"/>
    <w:rsid w:val="45CC2615"/>
    <w:rsid w:val="45D53351"/>
    <w:rsid w:val="45DF41B2"/>
    <w:rsid w:val="45F0737D"/>
    <w:rsid w:val="45FD3EBA"/>
    <w:rsid w:val="46020FCD"/>
    <w:rsid w:val="46050266"/>
    <w:rsid w:val="46050BD4"/>
    <w:rsid w:val="461341EB"/>
    <w:rsid w:val="461D09DE"/>
    <w:rsid w:val="462733C7"/>
    <w:rsid w:val="46276F1A"/>
    <w:rsid w:val="46300C97"/>
    <w:rsid w:val="463C2476"/>
    <w:rsid w:val="463E40DC"/>
    <w:rsid w:val="464D46BF"/>
    <w:rsid w:val="464E2853"/>
    <w:rsid w:val="46514E54"/>
    <w:rsid w:val="46577FF6"/>
    <w:rsid w:val="466064E6"/>
    <w:rsid w:val="46614F86"/>
    <w:rsid w:val="466219B0"/>
    <w:rsid w:val="46747CC0"/>
    <w:rsid w:val="467629F6"/>
    <w:rsid w:val="46785B8E"/>
    <w:rsid w:val="46816807"/>
    <w:rsid w:val="468C1E1A"/>
    <w:rsid w:val="469778C2"/>
    <w:rsid w:val="469F30AC"/>
    <w:rsid w:val="46A03FA7"/>
    <w:rsid w:val="46A4258B"/>
    <w:rsid w:val="46A61F3C"/>
    <w:rsid w:val="46A66917"/>
    <w:rsid w:val="46AD7C79"/>
    <w:rsid w:val="46B975B3"/>
    <w:rsid w:val="46C3645D"/>
    <w:rsid w:val="46D6756B"/>
    <w:rsid w:val="46D76DB1"/>
    <w:rsid w:val="46D91145"/>
    <w:rsid w:val="46DE1B1F"/>
    <w:rsid w:val="46DE3D4F"/>
    <w:rsid w:val="46E07084"/>
    <w:rsid w:val="46E3679D"/>
    <w:rsid w:val="46E578CE"/>
    <w:rsid w:val="46E86E2E"/>
    <w:rsid w:val="46E916C3"/>
    <w:rsid w:val="46EE16EC"/>
    <w:rsid w:val="46EE19DD"/>
    <w:rsid w:val="46EF01DD"/>
    <w:rsid w:val="46F30D3B"/>
    <w:rsid w:val="46F32BB7"/>
    <w:rsid w:val="46F530C2"/>
    <w:rsid w:val="46FB2AD2"/>
    <w:rsid w:val="47076519"/>
    <w:rsid w:val="470A6E9A"/>
    <w:rsid w:val="471640D1"/>
    <w:rsid w:val="47192863"/>
    <w:rsid w:val="473123A3"/>
    <w:rsid w:val="47390859"/>
    <w:rsid w:val="47405EDE"/>
    <w:rsid w:val="47441A65"/>
    <w:rsid w:val="47491465"/>
    <w:rsid w:val="474A64BE"/>
    <w:rsid w:val="474D38BC"/>
    <w:rsid w:val="47533F0A"/>
    <w:rsid w:val="475444CC"/>
    <w:rsid w:val="476007AB"/>
    <w:rsid w:val="476055C2"/>
    <w:rsid w:val="476349C7"/>
    <w:rsid w:val="47673586"/>
    <w:rsid w:val="47692431"/>
    <w:rsid w:val="476E5E9C"/>
    <w:rsid w:val="477F25CC"/>
    <w:rsid w:val="47841526"/>
    <w:rsid w:val="478B7E34"/>
    <w:rsid w:val="478C68E9"/>
    <w:rsid w:val="478F4E9E"/>
    <w:rsid w:val="47A734B8"/>
    <w:rsid w:val="47AA428D"/>
    <w:rsid w:val="47AD44AD"/>
    <w:rsid w:val="47AE3E5F"/>
    <w:rsid w:val="47BD2AFD"/>
    <w:rsid w:val="47C64383"/>
    <w:rsid w:val="47C65442"/>
    <w:rsid w:val="47CE219D"/>
    <w:rsid w:val="47D4346A"/>
    <w:rsid w:val="47E007BE"/>
    <w:rsid w:val="47E706C8"/>
    <w:rsid w:val="47EB55C4"/>
    <w:rsid w:val="47F3693A"/>
    <w:rsid w:val="47F819D9"/>
    <w:rsid w:val="48072AAD"/>
    <w:rsid w:val="48084E26"/>
    <w:rsid w:val="48136E36"/>
    <w:rsid w:val="48194259"/>
    <w:rsid w:val="481F63D7"/>
    <w:rsid w:val="482043AB"/>
    <w:rsid w:val="482477FD"/>
    <w:rsid w:val="4836448F"/>
    <w:rsid w:val="483F03DA"/>
    <w:rsid w:val="484074F7"/>
    <w:rsid w:val="48492C81"/>
    <w:rsid w:val="4858093C"/>
    <w:rsid w:val="48621E6E"/>
    <w:rsid w:val="48643CCC"/>
    <w:rsid w:val="487853E3"/>
    <w:rsid w:val="488D1FCA"/>
    <w:rsid w:val="48934E08"/>
    <w:rsid w:val="489B4AC8"/>
    <w:rsid w:val="48A05411"/>
    <w:rsid w:val="48A217F1"/>
    <w:rsid w:val="48AA5D88"/>
    <w:rsid w:val="48AD3A15"/>
    <w:rsid w:val="48BB32CA"/>
    <w:rsid w:val="48BD0E4E"/>
    <w:rsid w:val="48C801FD"/>
    <w:rsid w:val="48CB598C"/>
    <w:rsid w:val="48CF1C1A"/>
    <w:rsid w:val="48D801B3"/>
    <w:rsid w:val="48E43750"/>
    <w:rsid w:val="48E637E8"/>
    <w:rsid w:val="48EC5370"/>
    <w:rsid w:val="48F86CF9"/>
    <w:rsid w:val="48FE01EA"/>
    <w:rsid w:val="48FE34AA"/>
    <w:rsid w:val="49105D9B"/>
    <w:rsid w:val="491A1426"/>
    <w:rsid w:val="491A2FC0"/>
    <w:rsid w:val="49312E4C"/>
    <w:rsid w:val="49482465"/>
    <w:rsid w:val="494852D1"/>
    <w:rsid w:val="49495815"/>
    <w:rsid w:val="494F7D0B"/>
    <w:rsid w:val="496332E8"/>
    <w:rsid w:val="49674BC9"/>
    <w:rsid w:val="49722044"/>
    <w:rsid w:val="49736F4E"/>
    <w:rsid w:val="49760344"/>
    <w:rsid w:val="497D55A1"/>
    <w:rsid w:val="498A095F"/>
    <w:rsid w:val="499004D9"/>
    <w:rsid w:val="49A7015D"/>
    <w:rsid w:val="49A94E13"/>
    <w:rsid w:val="49B108DF"/>
    <w:rsid w:val="49B461FE"/>
    <w:rsid w:val="49BD4B5D"/>
    <w:rsid w:val="49D059A7"/>
    <w:rsid w:val="49D1559F"/>
    <w:rsid w:val="49D45354"/>
    <w:rsid w:val="49DF4FBB"/>
    <w:rsid w:val="49F026FC"/>
    <w:rsid w:val="49F103CA"/>
    <w:rsid w:val="49F2328C"/>
    <w:rsid w:val="49F85431"/>
    <w:rsid w:val="49FB71AD"/>
    <w:rsid w:val="4A042828"/>
    <w:rsid w:val="4A113C53"/>
    <w:rsid w:val="4A117BE9"/>
    <w:rsid w:val="4A1E0E70"/>
    <w:rsid w:val="4A1F20A8"/>
    <w:rsid w:val="4A222D48"/>
    <w:rsid w:val="4A227D12"/>
    <w:rsid w:val="4A24691C"/>
    <w:rsid w:val="4A294A72"/>
    <w:rsid w:val="4A2A45CD"/>
    <w:rsid w:val="4A2B7F50"/>
    <w:rsid w:val="4A334EE3"/>
    <w:rsid w:val="4A357539"/>
    <w:rsid w:val="4A360C07"/>
    <w:rsid w:val="4A36444B"/>
    <w:rsid w:val="4A450EB7"/>
    <w:rsid w:val="4A5B6DC5"/>
    <w:rsid w:val="4A650664"/>
    <w:rsid w:val="4A6678FA"/>
    <w:rsid w:val="4A6A792D"/>
    <w:rsid w:val="4A6C3E8D"/>
    <w:rsid w:val="4A7625EF"/>
    <w:rsid w:val="4A762BBA"/>
    <w:rsid w:val="4A773D4F"/>
    <w:rsid w:val="4A7D7D0C"/>
    <w:rsid w:val="4A81634A"/>
    <w:rsid w:val="4A8C27C3"/>
    <w:rsid w:val="4A8D04A3"/>
    <w:rsid w:val="4A901507"/>
    <w:rsid w:val="4AA25265"/>
    <w:rsid w:val="4AC31B50"/>
    <w:rsid w:val="4AC46E2F"/>
    <w:rsid w:val="4AC64A0A"/>
    <w:rsid w:val="4AC90C03"/>
    <w:rsid w:val="4ACA6CF5"/>
    <w:rsid w:val="4AD4423F"/>
    <w:rsid w:val="4AEA6392"/>
    <w:rsid w:val="4AF0330D"/>
    <w:rsid w:val="4B065404"/>
    <w:rsid w:val="4B0D402B"/>
    <w:rsid w:val="4B0F1454"/>
    <w:rsid w:val="4B14271E"/>
    <w:rsid w:val="4B384E1A"/>
    <w:rsid w:val="4B385E4C"/>
    <w:rsid w:val="4B3E344D"/>
    <w:rsid w:val="4B4F3D5F"/>
    <w:rsid w:val="4B536976"/>
    <w:rsid w:val="4B6C2991"/>
    <w:rsid w:val="4B737E69"/>
    <w:rsid w:val="4B757CC4"/>
    <w:rsid w:val="4B76193C"/>
    <w:rsid w:val="4B785146"/>
    <w:rsid w:val="4B977AC9"/>
    <w:rsid w:val="4BA57DE6"/>
    <w:rsid w:val="4BA84FE4"/>
    <w:rsid w:val="4BAE1201"/>
    <w:rsid w:val="4BB31BAA"/>
    <w:rsid w:val="4BB56469"/>
    <w:rsid w:val="4BBF3561"/>
    <w:rsid w:val="4BBF4D7C"/>
    <w:rsid w:val="4BCA42BD"/>
    <w:rsid w:val="4BF87979"/>
    <w:rsid w:val="4BFA6898"/>
    <w:rsid w:val="4BFD6717"/>
    <w:rsid w:val="4C07068A"/>
    <w:rsid w:val="4C0D045A"/>
    <w:rsid w:val="4C1400F3"/>
    <w:rsid w:val="4C1432FB"/>
    <w:rsid w:val="4C1E1719"/>
    <w:rsid w:val="4C1E3988"/>
    <w:rsid w:val="4C27117E"/>
    <w:rsid w:val="4C294E52"/>
    <w:rsid w:val="4C2A0976"/>
    <w:rsid w:val="4C45231B"/>
    <w:rsid w:val="4C49528A"/>
    <w:rsid w:val="4C4E16F5"/>
    <w:rsid w:val="4C5C6EDD"/>
    <w:rsid w:val="4C5D0CF9"/>
    <w:rsid w:val="4C69273F"/>
    <w:rsid w:val="4C713868"/>
    <w:rsid w:val="4C732F5E"/>
    <w:rsid w:val="4C7D159E"/>
    <w:rsid w:val="4C8907BB"/>
    <w:rsid w:val="4C8E597D"/>
    <w:rsid w:val="4C92465C"/>
    <w:rsid w:val="4C933478"/>
    <w:rsid w:val="4C955857"/>
    <w:rsid w:val="4C965F85"/>
    <w:rsid w:val="4C9A3849"/>
    <w:rsid w:val="4CA322F1"/>
    <w:rsid w:val="4CB53B29"/>
    <w:rsid w:val="4CBA74DA"/>
    <w:rsid w:val="4CC96872"/>
    <w:rsid w:val="4CD916F0"/>
    <w:rsid w:val="4CDB7CFA"/>
    <w:rsid w:val="4CE15FF3"/>
    <w:rsid w:val="4CEB6FA1"/>
    <w:rsid w:val="4CF71914"/>
    <w:rsid w:val="4CFA2F72"/>
    <w:rsid w:val="4D0A3177"/>
    <w:rsid w:val="4D0F48C4"/>
    <w:rsid w:val="4D114BD7"/>
    <w:rsid w:val="4D181EFF"/>
    <w:rsid w:val="4D195888"/>
    <w:rsid w:val="4D1C12F1"/>
    <w:rsid w:val="4D2B569B"/>
    <w:rsid w:val="4D2C1174"/>
    <w:rsid w:val="4D2D4B24"/>
    <w:rsid w:val="4D2F61DE"/>
    <w:rsid w:val="4D496F49"/>
    <w:rsid w:val="4D4B0D6F"/>
    <w:rsid w:val="4D575C85"/>
    <w:rsid w:val="4D592608"/>
    <w:rsid w:val="4D597EE0"/>
    <w:rsid w:val="4D5F04A8"/>
    <w:rsid w:val="4D6C438C"/>
    <w:rsid w:val="4D737216"/>
    <w:rsid w:val="4D786349"/>
    <w:rsid w:val="4D7C4611"/>
    <w:rsid w:val="4D932CCA"/>
    <w:rsid w:val="4D9535C7"/>
    <w:rsid w:val="4D9660D9"/>
    <w:rsid w:val="4D9A2320"/>
    <w:rsid w:val="4DAD465D"/>
    <w:rsid w:val="4DB13EFE"/>
    <w:rsid w:val="4DB36946"/>
    <w:rsid w:val="4DC034A1"/>
    <w:rsid w:val="4DCE0C9C"/>
    <w:rsid w:val="4DCE3086"/>
    <w:rsid w:val="4DDA0452"/>
    <w:rsid w:val="4DDA674E"/>
    <w:rsid w:val="4DEF7B07"/>
    <w:rsid w:val="4DFA5D2E"/>
    <w:rsid w:val="4DFB5241"/>
    <w:rsid w:val="4E01603E"/>
    <w:rsid w:val="4E0A5145"/>
    <w:rsid w:val="4E0C3F5C"/>
    <w:rsid w:val="4E0D2463"/>
    <w:rsid w:val="4E0F7532"/>
    <w:rsid w:val="4E1B22F3"/>
    <w:rsid w:val="4E2423FB"/>
    <w:rsid w:val="4E2A0DA2"/>
    <w:rsid w:val="4E326083"/>
    <w:rsid w:val="4E34529B"/>
    <w:rsid w:val="4E431A1C"/>
    <w:rsid w:val="4E4B1117"/>
    <w:rsid w:val="4E4C0581"/>
    <w:rsid w:val="4E4C4C04"/>
    <w:rsid w:val="4E4D15C5"/>
    <w:rsid w:val="4E5665B2"/>
    <w:rsid w:val="4E5767E1"/>
    <w:rsid w:val="4E5C19ED"/>
    <w:rsid w:val="4E690508"/>
    <w:rsid w:val="4E6E6ED6"/>
    <w:rsid w:val="4E7253CD"/>
    <w:rsid w:val="4E752B16"/>
    <w:rsid w:val="4E8B4E7F"/>
    <w:rsid w:val="4E914CCF"/>
    <w:rsid w:val="4E915B2A"/>
    <w:rsid w:val="4E923593"/>
    <w:rsid w:val="4E950BA1"/>
    <w:rsid w:val="4E9552D0"/>
    <w:rsid w:val="4E96777E"/>
    <w:rsid w:val="4E9E6D8C"/>
    <w:rsid w:val="4EA26ABF"/>
    <w:rsid w:val="4EA80992"/>
    <w:rsid w:val="4EB929DF"/>
    <w:rsid w:val="4EE74154"/>
    <w:rsid w:val="4EEA695E"/>
    <w:rsid w:val="4EEC6B85"/>
    <w:rsid w:val="4EF5262F"/>
    <w:rsid w:val="4F0A4781"/>
    <w:rsid w:val="4F0B5BAD"/>
    <w:rsid w:val="4F152818"/>
    <w:rsid w:val="4F1C7EF0"/>
    <w:rsid w:val="4F241536"/>
    <w:rsid w:val="4F2861BC"/>
    <w:rsid w:val="4F2C7DC8"/>
    <w:rsid w:val="4F4D187E"/>
    <w:rsid w:val="4F4D5F76"/>
    <w:rsid w:val="4F5F2E1B"/>
    <w:rsid w:val="4F5F6EE1"/>
    <w:rsid w:val="4F667E55"/>
    <w:rsid w:val="4F7A53A2"/>
    <w:rsid w:val="4F8103E5"/>
    <w:rsid w:val="4F894EB8"/>
    <w:rsid w:val="4F8B3325"/>
    <w:rsid w:val="4F953B7B"/>
    <w:rsid w:val="4F9E716D"/>
    <w:rsid w:val="4FA519B3"/>
    <w:rsid w:val="4FA61710"/>
    <w:rsid w:val="4FA92BC7"/>
    <w:rsid w:val="4FC145DA"/>
    <w:rsid w:val="4FC457A9"/>
    <w:rsid w:val="4FCD2362"/>
    <w:rsid w:val="4FD67734"/>
    <w:rsid w:val="4FD830B6"/>
    <w:rsid w:val="4FD876AC"/>
    <w:rsid w:val="4FDF2D03"/>
    <w:rsid w:val="4FE3237D"/>
    <w:rsid w:val="4FE62190"/>
    <w:rsid w:val="4FE813DF"/>
    <w:rsid w:val="4FED3160"/>
    <w:rsid w:val="4FF3099E"/>
    <w:rsid w:val="4FF602BE"/>
    <w:rsid w:val="4FFD5EFF"/>
    <w:rsid w:val="50016317"/>
    <w:rsid w:val="50041757"/>
    <w:rsid w:val="50051B5E"/>
    <w:rsid w:val="501E5D33"/>
    <w:rsid w:val="50201442"/>
    <w:rsid w:val="50297503"/>
    <w:rsid w:val="502A1E70"/>
    <w:rsid w:val="503540C2"/>
    <w:rsid w:val="503B46AD"/>
    <w:rsid w:val="50434F83"/>
    <w:rsid w:val="504B2C3E"/>
    <w:rsid w:val="504C5F7E"/>
    <w:rsid w:val="504D275C"/>
    <w:rsid w:val="504D2CCD"/>
    <w:rsid w:val="50506DE6"/>
    <w:rsid w:val="505F089A"/>
    <w:rsid w:val="505F0F12"/>
    <w:rsid w:val="505F6E2D"/>
    <w:rsid w:val="5066538F"/>
    <w:rsid w:val="506866AB"/>
    <w:rsid w:val="5069244F"/>
    <w:rsid w:val="506961B1"/>
    <w:rsid w:val="506C7BB3"/>
    <w:rsid w:val="50747B45"/>
    <w:rsid w:val="50783260"/>
    <w:rsid w:val="50880DB8"/>
    <w:rsid w:val="509543FE"/>
    <w:rsid w:val="50967EE6"/>
    <w:rsid w:val="509A2BC2"/>
    <w:rsid w:val="50A10B3F"/>
    <w:rsid w:val="50A66F05"/>
    <w:rsid w:val="50A905B2"/>
    <w:rsid w:val="50B2666C"/>
    <w:rsid w:val="50B37CA4"/>
    <w:rsid w:val="50B57E06"/>
    <w:rsid w:val="50BB2DDB"/>
    <w:rsid w:val="50BD024F"/>
    <w:rsid w:val="50C41328"/>
    <w:rsid w:val="50D10219"/>
    <w:rsid w:val="50DA3166"/>
    <w:rsid w:val="50DA3269"/>
    <w:rsid w:val="50DE0B85"/>
    <w:rsid w:val="50E01DC1"/>
    <w:rsid w:val="50E16BE3"/>
    <w:rsid w:val="50F07030"/>
    <w:rsid w:val="50F41B04"/>
    <w:rsid w:val="50F436C8"/>
    <w:rsid w:val="50F5005D"/>
    <w:rsid w:val="51026A07"/>
    <w:rsid w:val="510F1C3D"/>
    <w:rsid w:val="510F6214"/>
    <w:rsid w:val="51132039"/>
    <w:rsid w:val="5116587F"/>
    <w:rsid w:val="51280590"/>
    <w:rsid w:val="51315B0F"/>
    <w:rsid w:val="51365C91"/>
    <w:rsid w:val="51372FE5"/>
    <w:rsid w:val="51394E3F"/>
    <w:rsid w:val="513A0B65"/>
    <w:rsid w:val="5142016A"/>
    <w:rsid w:val="514A7B88"/>
    <w:rsid w:val="514C12B8"/>
    <w:rsid w:val="514C6E28"/>
    <w:rsid w:val="514C78C0"/>
    <w:rsid w:val="51536481"/>
    <w:rsid w:val="515552AA"/>
    <w:rsid w:val="51656088"/>
    <w:rsid w:val="51705D14"/>
    <w:rsid w:val="51722153"/>
    <w:rsid w:val="51793826"/>
    <w:rsid w:val="518274CB"/>
    <w:rsid w:val="51940769"/>
    <w:rsid w:val="519A5C79"/>
    <w:rsid w:val="51A5699E"/>
    <w:rsid w:val="51AA4D1F"/>
    <w:rsid w:val="51C7527F"/>
    <w:rsid w:val="51CF23D3"/>
    <w:rsid w:val="51D074EA"/>
    <w:rsid w:val="51DF1844"/>
    <w:rsid w:val="51E37040"/>
    <w:rsid w:val="51E82DF1"/>
    <w:rsid w:val="51EE14DA"/>
    <w:rsid w:val="52021F05"/>
    <w:rsid w:val="52022A4F"/>
    <w:rsid w:val="52045A95"/>
    <w:rsid w:val="520B4A8B"/>
    <w:rsid w:val="52112C10"/>
    <w:rsid w:val="521436D2"/>
    <w:rsid w:val="52194CE3"/>
    <w:rsid w:val="522179A9"/>
    <w:rsid w:val="52233220"/>
    <w:rsid w:val="522A5D95"/>
    <w:rsid w:val="522A64D2"/>
    <w:rsid w:val="523C386A"/>
    <w:rsid w:val="52477DD7"/>
    <w:rsid w:val="524A2225"/>
    <w:rsid w:val="524C1AD1"/>
    <w:rsid w:val="52541950"/>
    <w:rsid w:val="52606C59"/>
    <w:rsid w:val="526202FC"/>
    <w:rsid w:val="52652E81"/>
    <w:rsid w:val="5271698F"/>
    <w:rsid w:val="5273545C"/>
    <w:rsid w:val="527725E7"/>
    <w:rsid w:val="527D5A39"/>
    <w:rsid w:val="52837FD3"/>
    <w:rsid w:val="528413E5"/>
    <w:rsid w:val="528B2E1E"/>
    <w:rsid w:val="528F4500"/>
    <w:rsid w:val="528F6C64"/>
    <w:rsid w:val="52915AF1"/>
    <w:rsid w:val="529A4A48"/>
    <w:rsid w:val="529E6965"/>
    <w:rsid w:val="52A00B02"/>
    <w:rsid w:val="52AA38AE"/>
    <w:rsid w:val="52B21E57"/>
    <w:rsid w:val="52B45E52"/>
    <w:rsid w:val="52BD47EA"/>
    <w:rsid w:val="52BF577B"/>
    <w:rsid w:val="52C055F6"/>
    <w:rsid w:val="52CA397A"/>
    <w:rsid w:val="52CC095C"/>
    <w:rsid w:val="52CF7A97"/>
    <w:rsid w:val="52D30B75"/>
    <w:rsid w:val="52DB3440"/>
    <w:rsid w:val="52EC3000"/>
    <w:rsid w:val="52F366EE"/>
    <w:rsid w:val="52F402B7"/>
    <w:rsid w:val="52F75321"/>
    <w:rsid w:val="52F95DBD"/>
    <w:rsid w:val="52FE161B"/>
    <w:rsid w:val="53026716"/>
    <w:rsid w:val="53084309"/>
    <w:rsid w:val="530A638A"/>
    <w:rsid w:val="531474F1"/>
    <w:rsid w:val="531C1071"/>
    <w:rsid w:val="531D610D"/>
    <w:rsid w:val="53200CCD"/>
    <w:rsid w:val="532053FA"/>
    <w:rsid w:val="53214E45"/>
    <w:rsid w:val="532F3B1A"/>
    <w:rsid w:val="53402D3D"/>
    <w:rsid w:val="53435358"/>
    <w:rsid w:val="5344782F"/>
    <w:rsid w:val="53596B69"/>
    <w:rsid w:val="535A347D"/>
    <w:rsid w:val="535A3814"/>
    <w:rsid w:val="535D1384"/>
    <w:rsid w:val="535F448C"/>
    <w:rsid w:val="535F765E"/>
    <w:rsid w:val="53665399"/>
    <w:rsid w:val="5372386D"/>
    <w:rsid w:val="53730E73"/>
    <w:rsid w:val="53790CC5"/>
    <w:rsid w:val="538B6E18"/>
    <w:rsid w:val="5393457C"/>
    <w:rsid w:val="53A23027"/>
    <w:rsid w:val="53A238D5"/>
    <w:rsid w:val="53A57185"/>
    <w:rsid w:val="53A673B2"/>
    <w:rsid w:val="53AA0419"/>
    <w:rsid w:val="53AD7726"/>
    <w:rsid w:val="53AF14ED"/>
    <w:rsid w:val="53B20651"/>
    <w:rsid w:val="53B34C09"/>
    <w:rsid w:val="53CA52EB"/>
    <w:rsid w:val="53D0566A"/>
    <w:rsid w:val="53D1048F"/>
    <w:rsid w:val="53E156E2"/>
    <w:rsid w:val="53E64FEA"/>
    <w:rsid w:val="53E81141"/>
    <w:rsid w:val="53F127DC"/>
    <w:rsid w:val="53F14250"/>
    <w:rsid w:val="53F329F2"/>
    <w:rsid w:val="54053D8D"/>
    <w:rsid w:val="54063DC4"/>
    <w:rsid w:val="54065179"/>
    <w:rsid w:val="54115408"/>
    <w:rsid w:val="541418FE"/>
    <w:rsid w:val="54157948"/>
    <w:rsid w:val="541E3B0C"/>
    <w:rsid w:val="54210DAB"/>
    <w:rsid w:val="54341A8C"/>
    <w:rsid w:val="543E20E3"/>
    <w:rsid w:val="54427183"/>
    <w:rsid w:val="545533E9"/>
    <w:rsid w:val="54592060"/>
    <w:rsid w:val="545B3419"/>
    <w:rsid w:val="545D7358"/>
    <w:rsid w:val="546A096A"/>
    <w:rsid w:val="547516C2"/>
    <w:rsid w:val="54765E5E"/>
    <w:rsid w:val="54823BE6"/>
    <w:rsid w:val="54850D2A"/>
    <w:rsid w:val="549668B7"/>
    <w:rsid w:val="549867E7"/>
    <w:rsid w:val="54A42193"/>
    <w:rsid w:val="54A468C1"/>
    <w:rsid w:val="54A740AD"/>
    <w:rsid w:val="54AB4151"/>
    <w:rsid w:val="54D1645C"/>
    <w:rsid w:val="54D36609"/>
    <w:rsid w:val="54DD605F"/>
    <w:rsid w:val="54DF52F8"/>
    <w:rsid w:val="54E25C4F"/>
    <w:rsid w:val="54E36F00"/>
    <w:rsid w:val="54E5265B"/>
    <w:rsid w:val="54F074E9"/>
    <w:rsid w:val="54FB75D3"/>
    <w:rsid w:val="55023391"/>
    <w:rsid w:val="550A46DF"/>
    <w:rsid w:val="550D043D"/>
    <w:rsid w:val="550E5243"/>
    <w:rsid w:val="550E5938"/>
    <w:rsid w:val="55165147"/>
    <w:rsid w:val="551951B8"/>
    <w:rsid w:val="551B4E45"/>
    <w:rsid w:val="551C14D8"/>
    <w:rsid w:val="552017EE"/>
    <w:rsid w:val="552375B5"/>
    <w:rsid w:val="55305626"/>
    <w:rsid w:val="55354AD8"/>
    <w:rsid w:val="55385031"/>
    <w:rsid w:val="553B3FB6"/>
    <w:rsid w:val="553F0726"/>
    <w:rsid w:val="55567DCD"/>
    <w:rsid w:val="5557242E"/>
    <w:rsid w:val="555F5BF6"/>
    <w:rsid w:val="55671A8E"/>
    <w:rsid w:val="556C4F3C"/>
    <w:rsid w:val="55735AC5"/>
    <w:rsid w:val="557F07F3"/>
    <w:rsid w:val="558120D0"/>
    <w:rsid w:val="55845AD9"/>
    <w:rsid w:val="558850A4"/>
    <w:rsid w:val="558C285B"/>
    <w:rsid w:val="558F00E5"/>
    <w:rsid w:val="5598586C"/>
    <w:rsid w:val="559D3020"/>
    <w:rsid w:val="55A24037"/>
    <w:rsid w:val="55A63A0A"/>
    <w:rsid w:val="55AC0E22"/>
    <w:rsid w:val="55B34996"/>
    <w:rsid w:val="55B86F8F"/>
    <w:rsid w:val="55C616BB"/>
    <w:rsid w:val="55C75DF0"/>
    <w:rsid w:val="55C933AC"/>
    <w:rsid w:val="55CA7DDA"/>
    <w:rsid w:val="55D62B39"/>
    <w:rsid w:val="55D64EFD"/>
    <w:rsid w:val="55D95C3B"/>
    <w:rsid w:val="55DE49AF"/>
    <w:rsid w:val="55E6047F"/>
    <w:rsid w:val="55E6414E"/>
    <w:rsid w:val="55EB30FF"/>
    <w:rsid w:val="55ED5AD1"/>
    <w:rsid w:val="55F50390"/>
    <w:rsid w:val="55FA35BE"/>
    <w:rsid w:val="56013350"/>
    <w:rsid w:val="56047DFD"/>
    <w:rsid w:val="560642DC"/>
    <w:rsid w:val="560D7ADA"/>
    <w:rsid w:val="56102313"/>
    <w:rsid w:val="561B7F6D"/>
    <w:rsid w:val="561C07B1"/>
    <w:rsid w:val="561E186F"/>
    <w:rsid w:val="561F04ED"/>
    <w:rsid w:val="56220D8B"/>
    <w:rsid w:val="562422E2"/>
    <w:rsid w:val="562631AE"/>
    <w:rsid w:val="562716F8"/>
    <w:rsid w:val="563479CB"/>
    <w:rsid w:val="5635150D"/>
    <w:rsid w:val="563F347A"/>
    <w:rsid w:val="56454091"/>
    <w:rsid w:val="564A62AC"/>
    <w:rsid w:val="566E646B"/>
    <w:rsid w:val="56704685"/>
    <w:rsid w:val="56770BAB"/>
    <w:rsid w:val="567C5764"/>
    <w:rsid w:val="567D6EFD"/>
    <w:rsid w:val="56895397"/>
    <w:rsid w:val="568B2E25"/>
    <w:rsid w:val="568D03DC"/>
    <w:rsid w:val="568F2493"/>
    <w:rsid w:val="56950CF7"/>
    <w:rsid w:val="56A31B7D"/>
    <w:rsid w:val="56A8580C"/>
    <w:rsid w:val="56A9256D"/>
    <w:rsid w:val="56B34203"/>
    <w:rsid w:val="56B60D7E"/>
    <w:rsid w:val="56D40C89"/>
    <w:rsid w:val="56DC67AC"/>
    <w:rsid w:val="56E1733B"/>
    <w:rsid w:val="56E32A29"/>
    <w:rsid w:val="56E51616"/>
    <w:rsid w:val="56EA7C9F"/>
    <w:rsid w:val="56F658B0"/>
    <w:rsid w:val="56FA6625"/>
    <w:rsid w:val="57036028"/>
    <w:rsid w:val="570723C7"/>
    <w:rsid w:val="570753D6"/>
    <w:rsid w:val="5713012B"/>
    <w:rsid w:val="57191164"/>
    <w:rsid w:val="571F4752"/>
    <w:rsid w:val="572326F5"/>
    <w:rsid w:val="57252922"/>
    <w:rsid w:val="57253800"/>
    <w:rsid w:val="572F2EA4"/>
    <w:rsid w:val="57322358"/>
    <w:rsid w:val="573246AC"/>
    <w:rsid w:val="5736004B"/>
    <w:rsid w:val="573D41A4"/>
    <w:rsid w:val="57414155"/>
    <w:rsid w:val="5743693A"/>
    <w:rsid w:val="574A34DB"/>
    <w:rsid w:val="574E67C9"/>
    <w:rsid w:val="574F7331"/>
    <w:rsid w:val="5763047A"/>
    <w:rsid w:val="57707DDF"/>
    <w:rsid w:val="578D6DF6"/>
    <w:rsid w:val="57903868"/>
    <w:rsid w:val="57985CF5"/>
    <w:rsid w:val="57A35E67"/>
    <w:rsid w:val="57A91DD2"/>
    <w:rsid w:val="57A97B34"/>
    <w:rsid w:val="57B914C0"/>
    <w:rsid w:val="57C9748C"/>
    <w:rsid w:val="57D35157"/>
    <w:rsid w:val="57DB36EA"/>
    <w:rsid w:val="57E31582"/>
    <w:rsid w:val="57E62349"/>
    <w:rsid w:val="57E65309"/>
    <w:rsid w:val="57E75DE9"/>
    <w:rsid w:val="57EC7FBF"/>
    <w:rsid w:val="580C4C19"/>
    <w:rsid w:val="580F7103"/>
    <w:rsid w:val="5815740A"/>
    <w:rsid w:val="58220FC0"/>
    <w:rsid w:val="582D171A"/>
    <w:rsid w:val="583B1D5A"/>
    <w:rsid w:val="583F5848"/>
    <w:rsid w:val="5846451F"/>
    <w:rsid w:val="584A5A23"/>
    <w:rsid w:val="584B18B4"/>
    <w:rsid w:val="584B52A2"/>
    <w:rsid w:val="584D42E9"/>
    <w:rsid w:val="58526178"/>
    <w:rsid w:val="58560C64"/>
    <w:rsid w:val="5858695C"/>
    <w:rsid w:val="5860194B"/>
    <w:rsid w:val="58622D30"/>
    <w:rsid w:val="586379EF"/>
    <w:rsid w:val="58656819"/>
    <w:rsid w:val="586D38E6"/>
    <w:rsid w:val="587119D8"/>
    <w:rsid w:val="58846E92"/>
    <w:rsid w:val="58863668"/>
    <w:rsid w:val="58867299"/>
    <w:rsid w:val="5888170E"/>
    <w:rsid w:val="588D40A6"/>
    <w:rsid w:val="58966D50"/>
    <w:rsid w:val="58AC4D57"/>
    <w:rsid w:val="58B31125"/>
    <w:rsid w:val="58B43BB9"/>
    <w:rsid w:val="58BD28F7"/>
    <w:rsid w:val="58BF6F8A"/>
    <w:rsid w:val="58C4100E"/>
    <w:rsid w:val="58C6250C"/>
    <w:rsid w:val="58C73A07"/>
    <w:rsid w:val="58C85B51"/>
    <w:rsid w:val="58C9049F"/>
    <w:rsid w:val="58C91045"/>
    <w:rsid w:val="58CB12C2"/>
    <w:rsid w:val="58D11054"/>
    <w:rsid w:val="58DE24E6"/>
    <w:rsid w:val="58E05392"/>
    <w:rsid w:val="58E22AF0"/>
    <w:rsid w:val="58E55E24"/>
    <w:rsid w:val="58F421B0"/>
    <w:rsid w:val="58F4738C"/>
    <w:rsid w:val="58FE6079"/>
    <w:rsid w:val="5912327A"/>
    <w:rsid w:val="591307E9"/>
    <w:rsid w:val="59154029"/>
    <w:rsid w:val="5917606C"/>
    <w:rsid w:val="591D4F68"/>
    <w:rsid w:val="5928575F"/>
    <w:rsid w:val="59354F9D"/>
    <w:rsid w:val="59447455"/>
    <w:rsid w:val="59485631"/>
    <w:rsid w:val="5948623B"/>
    <w:rsid w:val="594D2B4B"/>
    <w:rsid w:val="59500F20"/>
    <w:rsid w:val="595613E4"/>
    <w:rsid w:val="59641238"/>
    <w:rsid w:val="596915B6"/>
    <w:rsid w:val="596F1D0F"/>
    <w:rsid w:val="596F6EA2"/>
    <w:rsid w:val="59725151"/>
    <w:rsid w:val="597F00D0"/>
    <w:rsid w:val="598140A6"/>
    <w:rsid w:val="598246D9"/>
    <w:rsid w:val="59860E68"/>
    <w:rsid w:val="5999775C"/>
    <w:rsid w:val="59A06C22"/>
    <w:rsid w:val="59A85888"/>
    <w:rsid w:val="59AF245A"/>
    <w:rsid w:val="59B103E9"/>
    <w:rsid w:val="59B154EF"/>
    <w:rsid w:val="59B341F9"/>
    <w:rsid w:val="59B6006C"/>
    <w:rsid w:val="59B83276"/>
    <w:rsid w:val="59C90861"/>
    <w:rsid w:val="59D32A4B"/>
    <w:rsid w:val="59D663D3"/>
    <w:rsid w:val="59E057A7"/>
    <w:rsid w:val="59E22462"/>
    <w:rsid w:val="59EE0D48"/>
    <w:rsid w:val="59F009FC"/>
    <w:rsid w:val="59F41BAD"/>
    <w:rsid w:val="59FD3B0C"/>
    <w:rsid w:val="59FD542A"/>
    <w:rsid w:val="5A010BAC"/>
    <w:rsid w:val="5A02025E"/>
    <w:rsid w:val="5A052B0F"/>
    <w:rsid w:val="5A0A4376"/>
    <w:rsid w:val="5A17551B"/>
    <w:rsid w:val="5A18176B"/>
    <w:rsid w:val="5A196C3A"/>
    <w:rsid w:val="5A1B75F4"/>
    <w:rsid w:val="5A27509D"/>
    <w:rsid w:val="5A281731"/>
    <w:rsid w:val="5A2B5D60"/>
    <w:rsid w:val="5A33506A"/>
    <w:rsid w:val="5A3411BF"/>
    <w:rsid w:val="5A350F42"/>
    <w:rsid w:val="5A447649"/>
    <w:rsid w:val="5A483794"/>
    <w:rsid w:val="5A4E3DB2"/>
    <w:rsid w:val="5A5A5D18"/>
    <w:rsid w:val="5A5D1F26"/>
    <w:rsid w:val="5A5D4D4F"/>
    <w:rsid w:val="5A6130E8"/>
    <w:rsid w:val="5A6541FD"/>
    <w:rsid w:val="5A6547A3"/>
    <w:rsid w:val="5A73747C"/>
    <w:rsid w:val="5A784ABF"/>
    <w:rsid w:val="5A786ABC"/>
    <w:rsid w:val="5A7A1AD8"/>
    <w:rsid w:val="5A7A341E"/>
    <w:rsid w:val="5A8238FC"/>
    <w:rsid w:val="5A823E2E"/>
    <w:rsid w:val="5A844F42"/>
    <w:rsid w:val="5A865A77"/>
    <w:rsid w:val="5A8F7A1D"/>
    <w:rsid w:val="5A93584F"/>
    <w:rsid w:val="5A963D92"/>
    <w:rsid w:val="5A9B2E21"/>
    <w:rsid w:val="5A9C5F6A"/>
    <w:rsid w:val="5AA15776"/>
    <w:rsid w:val="5AA21145"/>
    <w:rsid w:val="5AA41B7C"/>
    <w:rsid w:val="5AA75648"/>
    <w:rsid w:val="5AAA1DFA"/>
    <w:rsid w:val="5AB319D3"/>
    <w:rsid w:val="5AE3587C"/>
    <w:rsid w:val="5AE46875"/>
    <w:rsid w:val="5AF87D2A"/>
    <w:rsid w:val="5AFE1EE4"/>
    <w:rsid w:val="5AFE3A6A"/>
    <w:rsid w:val="5B0A4B14"/>
    <w:rsid w:val="5B0D1AC5"/>
    <w:rsid w:val="5B0E533D"/>
    <w:rsid w:val="5B1325F0"/>
    <w:rsid w:val="5B1474D3"/>
    <w:rsid w:val="5B172E21"/>
    <w:rsid w:val="5B1C76EE"/>
    <w:rsid w:val="5B2C40EF"/>
    <w:rsid w:val="5B2D7FCA"/>
    <w:rsid w:val="5B31244E"/>
    <w:rsid w:val="5B396751"/>
    <w:rsid w:val="5B3B613A"/>
    <w:rsid w:val="5B3E09BA"/>
    <w:rsid w:val="5B432391"/>
    <w:rsid w:val="5B4355CC"/>
    <w:rsid w:val="5B4D26EB"/>
    <w:rsid w:val="5B5100D8"/>
    <w:rsid w:val="5B5C077C"/>
    <w:rsid w:val="5B6707C9"/>
    <w:rsid w:val="5B6B0B41"/>
    <w:rsid w:val="5B740FB5"/>
    <w:rsid w:val="5B7863A9"/>
    <w:rsid w:val="5B8918DE"/>
    <w:rsid w:val="5B8A542D"/>
    <w:rsid w:val="5B990415"/>
    <w:rsid w:val="5BBC2AA8"/>
    <w:rsid w:val="5BBE26DB"/>
    <w:rsid w:val="5BC23D02"/>
    <w:rsid w:val="5BC32CC0"/>
    <w:rsid w:val="5BC35EA3"/>
    <w:rsid w:val="5BC85B9D"/>
    <w:rsid w:val="5BD501A7"/>
    <w:rsid w:val="5BE7263B"/>
    <w:rsid w:val="5BE75F7E"/>
    <w:rsid w:val="5BF17C07"/>
    <w:rsid w:val="5BF41E74"/>
    <w:rsid w:val="5BF4310E"/>
    <w:rsid w:val="5BF52194"/>
    <w:rsid w:val="5BFD6A3B"/>
    <w:rsid w:val="5C0C2F01"/>
    <w:rsid w:val="5C157E57"/>
    <w:rsid w:val="5C37497E"/>
    <w:rsid w:val="5C3D3B22"/>
    <w:rsid w:val="5C465B9B"/>
    <w:rsid w:val="5C49380A"/>
    <w:rsid w:val="5C4C4925"/>
    <w:rsid w:val="5C4D2F94"/>
    <w:rsid w:val="5C580926"/>
    <w:rsid w:val="5C645F2C"/>
    <w:rsid w:val="5C6717DB"/>
    <w:rsid w:val="5C695C61"/>
    <w:rsid w:val="5C6E6DDA"/>
    <w:rsid w:val="5C702CBC"/>
    <w:rsid w:val="5C7C6F80"/>
    <w:rsid w:val="5C8E0952"/>
    <w:rsid w:val="5C9111C0"/>
    <w:rsid w:val="5C955CAC"/>
    <w:rsid w:val="5C990294"/>
    <w:rsid w:val="5CA174E1"/>
    <w:rsid w:val="5CA5402D"/>
    <w:rsid w:val="5CAD5632"/>
    <w:rsid w:val="5CB160AD"/>
    <w:rsid w:val="5CBB3EBE"/>
    <w:rsid w:val="5CC20876"/>
    <w:rsid w:val="5CC249E6"/>
    <w:rsid w:val="5CC94199"/>
    <w:rsid w:val="5CC96CEA"/>
    <w:rsid w:val="5CCC7DB2"/>
    <w:rsid w:val="5CD23897"/>
    <w:rsid w:val="5CD52965"/>
    <w:rsid w:val="5CD52A0F"/>
    <w:rsid w:val="5CDF4634"/>
    <w:rsid w:val="5CE0516A"/>
    <w:rsid w:val="5CF51939"/>
    <w:rsid w:val="5CF641A9"/>
    <w:rsid w:val="5CF80A79"/>
    <w:rsid w:val="5CFC0CF6"/>
    <w:rsid w:val="5CFC266D"/>
    <w:rsid w:val="5D113773"/>
    <w:rsid w:val="5D1165A1"/>
    <w:rsid w:val="5D1872CC"/>
    <w:rsid w:val="5D1906A7"/>
    <w:rsid w:val="5D1E7B25"/>
    <w:rsid w:val="5D2128FE"/>
    <w:rsid w:val="5D2B7728"/>
    <w:rsid w:val="5D2D1FFE"/>
    <w:rsid w:val="5D351D6F"/>
    <w:rsid w:val="5D3B3EAD"/>
    <w:rsid w:val="5D417B9B"/>
    <w:rsid w:val="5D4A6D72"/>
    <w:rsid w:val="5D554CDE"/>
    <w:rsid w:val="5D5719FB"/>
    <w:rsid w:val="5D72314E"/>
    <w:rsid w:val="5D8655E1"/>
    <w:rsid w:val="5D87635A"/>
    <w:rsid w:val="5D8A016B"/>
    <w:rsid w:val="5D8A4F57"/>
    <w:rsid w:val="5D975A69"/>
    <w:rsid w:val="5D9A1B41"/>
    <w:rsid w:val="5DA60F2E"/>
    <w:rsid w:val="5DAC3DCD"/>
    <w:rsid w:val="5DB50A35"/>
    <w:rsid w:val="5DB96A51"/>
    <w:rsid w:val="5DD400EC"/>
    <w:rsid w:val="5DDA15FC"/>
    <w:rsid w:val="5DDB648A"/>
    <w:rsid w:val="5DE90932"/>
    <w:rsid w:val="5DEC4FDF"/>
    <w:rsid w:val="5DF01CEA"/>
    <w:rsid w:val="5DF42758"/>
    <w:rsid w:val="5DF96357"/>
    <w:rsid w:val="5DFE1641"/>
    <w:rsid w:val="5E116BA5"/>
    <w:rsid w:val="5E172EAC"/>
    <w:rsid w:val="5E2142A9"/>
    <w:rsid w:val="5E2670BD"/>
    <w:rsid w:val="5E280E52"/>
    <w:rsid w:val="5E350EBE"/>
    <w:rsid w:val="5E370582"/>
    <w:rsid w:val="5E3A0814"/>
    <w:rsid w:val="5E3B0532"/>
    <w:rsid w:val="5E3C47F5"/>
    <w:rsid w:val="5E426D39"/>
    <w:rsid w:val="5E444268"/>
    <w:rsid w:val="5E4E2914"/>
    <w:rsid w:val="5E506658"/>
    <w:rsid w:val="5E551BAC"/>
    <w:rsid w:val="5E6145BD"/>
    <w:rsid w:val="5E644361"/>
    <w:rsid w:val="5E666973"/>
    <w:rsid w:val="5E7623C1"/>
    <w:rsid w:val="5E7E5E18"/>
    <w:rsid w:val="5E85034B"/>
    <w:rsid w:val="5E886B60"/>
    <w:rsid w:val="5E890733"/>
    <w:rsid w:val="5E8B30B5"/>
    <w:rsid w:val="5E8D71A4"/>
    <w:rsid w:val="5E8E0FE5"/>
    <w:rsid w:val="5E9B7BB3"/>
    <w:rsid w:val="5EA40086"/>
    <w:rsid w:val="5EA90E0E"/>
    <w:rsid w:val="5EAA6AB9"/>
    <w:rsid w:val="5EB17EA8"/>
    <w:rsid w:val="5EB45CB2"/>
    <w:rsid w:val="5EC57D0B"/>
    <w:rsid w:val="5EED7A7C"/>
    <w:rsid w:val="5F071ACC"/>
    <w:rsid w:val="5F082A29"/>
    <w:rsid w:val="5F0F36D9"/>
    <w:rsid w:val="5F127C4E"/>
    <w:rsid w:val="5F28570A"/>
    <w:rsid w:val="5F296076"/>
    <w:rsid w:val="5F2F65D0"/>
    <w:rsid w:val="5F302FAE"/>
    <w:rsid w:val="5F304FE3"/>
    <w:rsid w:val="5F3A218A"/>
    <w:rsid w:val="5F415A76"/>
    <w:rsid w:val="5F461712"/>
    <w:rsid w:val="5F474936"/>
    <w:rsid w:val="5F4D7C68"/>
    <w:rsid w:val="5F573159"/>
    <w:rsid w:val="5F584405"/>
    <w:rsid w:val="5F59000E"/>
    <w:rsid w:val="5F5D1782"/>
    <w:rsid w:val="5F605B48"/>
    <w:rsid w:val="5F623F07"/>
    <w:rsid w:val="5F672A4A"/>
    <w:rsid w:val="5F710C7A"/>
    <w:rsid w:val="5F733E17"/>
    <w:rsid w:val="5F793833"/>
    <w:rsid w:val="5F9424F0"/>
    <w:rsid w:val="5F9575C6"/>
    <w:rsid w:val="5F9638D0"/>
    <w:rsid w:val="5F9E3844"/>
    <w:rsid w:val="5FB07339"/>
    <w:rsid w:val="5FC150C9"/>
    <w:rsid w:val="5FC30830"/>
    <w:rsid w:val="5FD47BA3"/>
    <w:rsid w:val="5FE73C59"/>
    <w:rsid w:val="5FE81719"/>
    <w:rsid w:val="5FEB3BD6"/>
    <w:rsid w:val="5FEE4999"/>
    <w:rsid w:val="5FF37571"/>
    <w:rsid w:val="5FFB2B8F"/>
    <w:rsid w:val="5FFD6304"/>
    <w:rsid w:val="5FFF0B55"/>
    <w:rsid w:val="60063DFF"/>
    <w:rsid w:val="600A1B47"/>
    <w:rsid w:val="601232F4"/>
    <w:rsid w:val="60236723"/>
    <w:rsid w:val="60415279"/>
    <w:rsid w:val="604C3503"/>
    <w:rsid w:val="606462D5"/>
    <w:rsid w:val="60663A70"/>
    <w:rsid w:val="60701200"/>
    <w:rsid w:val="607E4295"/>
    <w:rsid w:val="60816108"/>
    <w:rsid w:val="60864F85"/>
    <w:rsid w:val="609F324B"/>
    <w:rsid w:val="60A00017"/>
    <w:rsid w:val="60A03E23"/>
    <w:rsid w:val="60A32699"/>
    <w:rsid w:val="60A86A90"/>
    <w:rsid w:val="60A94011"/>
    <w:rsid w:val="60BD23F1"/>
    <w:rsid w:val="60BD6529"/>
    <w:rsid w:val="60BF6F04"/>
    <w:rsid w:val="60CC3577"/>
    <w:rsid w:val="60D11531"/>
    <w:rsid w:val="60D63C76"/>
    <w:rsid w:val="60E778A1"/>
    <w:rsid w:val="60EE05DE"/>
    <w:rsid w:val="60F041BA"/>
    <w:rsid w:val="60F10AF5"/>
    <w:rsid w:val="60F138F2"/>
    <w:rsid w:val="60F34EEC"/>
    <w:rsid w:val="60F42C05"/>
    <w:rsid w:val="60F62397"/>
    <w:rsid w:val="61030094"/>
    <w:rsid w:val="610367E0"/>
    <w:rsid w:val="610A4609"/>
    <w:rsid w:val="610B46C5"/>
    <w:rsid w:val="610C575E"/>
    <w:rsid w:val="611B2D32"/>
    <w:rsid w:val="61256438"/>
    <w:rsid w:val="6130771F"/>
    <w:rsid w:val="613531E9"/>
    <w:rsid w:val="61407309"/>
    <w:rsid w:val="61415830"/>
    <w:rsid w:val="6141796E"/>
    <w:rsid w:val="61443020"/>
    <w:rsid w:val="61466637"/>
    <w:rsid w:val="614A556E"/>
    <w:rsid w:val="61515D4D"/>
    <w:rsid w:val="61524664"/>
    <w:rsid w:val="615F37BC"/>
    <w:rsid w:val="61683C83"/>
    <w:rsid w:val="616A18E7"/>
    <w:rsid w:val="61754DFA"/>
    <w:rsid w:val="61772439"/>
    <w:rsid w:val="6179622B"/>
    <w:rsid w:val="617D693A"/>
    <w:rsid w:val="61845DD0"/>
    <w:rsid w:val="618652C3"/>
    <w:rsid w:val="61881DE7"/>
    <w:rsid w:val="618C0BAB"/>
    <w:rsid w:val="61950155"/>
    <w:rsid w:val="61A0687C"/>
    <w:rsid w:val="61A1288D"/>
    <w:rsid w:val="61A13EED"/>
    <w:rsid w:val="61A44C5A"/>
    <w:rsid w:val="61A500D6"/>
    <w:rsid w:val="61A83417"/>
    <w:rsid w:val="61AC4431"/>
    <w:rsid w:val="61B05A5B"/>
    <w:rsid w:val="61B22F38"/>
    <w:rsid w:val="61CD59DA"/>
    <w:rsid w:val="61DF2693"/>
    <w:rsid w:val="61E36B34"/>
    <w:rsid w:val="61E40B82"/>
    <w:rsid w:val="61E82C9C"/>
    <w:rsid w:val="61EA01E1"/>
    <w:rsid w:val="61EB4E3B"/>
    <w:rsid w:val="61F44E34"/>
    <w:rsid w:val="61FD35EE"/>
    <w:rsid w:val="6203232F"/>
    <w:rsid w:val="621201CD"/>
    <w:rsid w:val="621A6570"/>
    <w:rsid w:val="621F4279"/>
    <w:rsid w:val="622F20F6"/>
    <w:rsid w:val="62343D7C"/>
    <w:rsid w:val="62373300"/>
    <w:rsid w:val="623842BA"/>
    <w:rsid w:val="62393803"/>
    <w:rsid w:val="623F543D"/>
    <w:rsid w:val="62516CFA"/>
    <w:rsid w:val="62542A19"/>
    <w:rsid w:val="625B149D"/>
    <w:rsid w:val="62624BFB"/>
    <w:rsid w:val="62660929"/>
    <w:rsid w:val="626E32BA"/>
    <w:rsid w:val="626F00F4"/>
    <w:rsid w:val="627B45CD"/>
    <w:rsid w:val="6282046B"/>
    <w:rsid w:val="628539DD"/>
    <w:rsid w:val="6289239B"/>
    <w:rsid w:val="62960764"/>
    <w:rsid w:val="62971645"/>
    <w:rsid w:val="629D3C20"/>
    <w:rsid w:val="629F72A5"/>
    <w:rsid w:val="62A0014E"/>
    <w:rsid w:val="62A45CF6"/>
    <w:rsid w:val="62B63B28"/>
    <w:rsid w:val="62B75BF3"/>
    <w:rsid w:val="62B86118"/>
    <w:rsid w:val="62BB2736"/>
    <w:rsid w:val="62C014B3"/>
    <w:rsid w:val="62C81513"/>
    <w:rsid w:val="62C8554D"/>
    <w:rsid w:val="62D0345F"/>
    <w:rsid w:val="62E4057A"/>
    <w:rsid w:val="62FC6FD5"/>
    <w:rsid w:val="630F41A3"/>
    <w:rsid w:val="63170721"/>
    <w:rsid w:val="63195368"/>
    <w:rsid w:val="631E4683"/>
    <w:rsid w:val="632A5294"/>
    <w:rsid w:val="6332364B"/>
    <w:rsid w:val="63331639"/>
    <w:rsid w:val="63443608"/>
    <w:rsid w:val="634F1331"/>
    <w:rsid w:val="635057AE"/>
    <w:rsid w:val="635A071D"/>
    <w:rsid w:val="635B39F8"/>
    <w:rsid w:val="635C4EA9"/>
    <w:rsid w:val="63667CA7"/>
    <w:rsid w:val="63701AE4"/>
    <w:rsid w:val="63791255"/>
    <w:rsid w:val="63891F0D"/>
    <w:rsid w:val="638F2201"/>
    <w:rsid w:val="639240A4"/>
    <w:rsid w:val="6398212C"/>
    <w:rsid w:val="63991E44"/>
    <w:rsid w:val="639C3A9E"/>
    <w:rsid w:val="639F56A1"/>
    <w:rsid w:val="63B6494B"/>
    <w:rsid w:val="63B71735"/>
    <w:rsid w:val="63B86A47"/>
    <w:rsid w:val="63BA737C"/>
    <w:rsid w:val="63C55F12"/>
    <w:rsid w:val="63D71394"/>
    <w:rsid w:val="63DA08AB"/>
    <w:rsid w:val="63E308FF"/>
    <w:rsid w:val="63E46D37"/>
    <w:rsid w:val="63E547EE"/>
    <w:rsid w:val="63ED00C3"/>
    <w:rsid w:val="63EF367B"/>
    <w:rsid w:val="64055160"/>
    <w:rsid w:val="6408099E"/>
    <w:rsid w:val="64094CA5"/>
    <w:rsid w:val="640D2E2E"/>
    <w:rsid w:val="64237518"/>
    <w:rsid w:val="64254E67"/>
    <w:rsid w:val="64262CB3"/>
    <w:rsid w:val="642B31BE"/>
    <w:rsid w:val="642B473A"/>
    <w:rsid w:val="643C07CB"/>
    <w:rsid w:val="64436184"/>
    <w:rsid w:val="644775D1"/>
    <w:rsid w:val="64572B69"/>
    <w:rsid w:val="6457491D"/>
    <w:rsid w:val="64597A63"/>
    <w:rsid w:val="645A1458"/>
    <w:rsid w:val="645D27DD"/>
    <w:rsid w:val="645F3F73"/>
    <w:rsid w:val="64675A2E"/>
    <w:rsid w:val="646B3D54"/>
    <w:rsid w:val="64711567"/>
    <w:rsid w:val="647429CB"/>
    <w:rsid w:val="64743AE6"/>
    <w:rsid w:val="647B6AC1"/>
    <w:rsid w:val="647C1B08"/>
    <w:rsid w:val="648265D6"/>
    <w:rsid w:val="64874278"/>
    <w:rsid w:val="648F2C02"/>
    <w:rsid w:val="64940B19"/>
    <w:rsid w:val="649D7EEB"/>
    <w:rsid w:val="649E1558"/>
    <w:rsid w:val="64A578DB"/>
    <w:rsid w:val="64AA4BB2"/>
    <w:rsid w:val="64C03E93"/>
    <w:rsid w:val="64C80CCD"/>
    <w:rsid w:val="64CB5C3A"/>
    <w:rsid w:val="64D44EF1"/>
    <w:rsid w:val="64DD3E19"/>
    <w:rsid w:val="64E0389C"/>
    <w:rsid w:val="64EC7A70"/>
    <w:rsid w:val="64EF70CD"/>
    <w:rsid w:val="64F330FF"/>
    <w:rsid w:val="64F61375"/>
    <w:rsid w:val="64F72CEF"/>
    <w:rsid w:val="64F73F05"/>
    <w:rsid w:val="650602BF"/>
    <w:rsid w:val="650B43EB"/>
    <w:rsid w:val="65154FE2"/>
    <w:rsid w:val="6518564C"/>
    <w:rsid w:val="651E602E"/>
    <w:rsid w:val="651F5B5A"/>
    <w:rsid w:val="651F5F2D"/>
    <w:rsid w:val="652D6AE0"/>
    <w:rsid w:val="653801C7"/>
    <w:rsid w:val="653A3B59"/>
    <w:rsid w:val="65413D42"/>
    <w:rsid w:val="65417BCD"/>
    <w:rsid w:val="65417DE0"/>
    <w:rsid w:val="654A7B31"/>
    <w:rsid w:val="654B5CE5"/>
    <w:rsid w:val="65501C23"/>
    <w:rsid w:val="65561782"/>
    <w:rsid w:val="656053F1"/>
    <w:rsid w:val="6560737E"/>
    <w:rsid w:val="6562731A"/>
    <w:rsid w:val="656E7312"/>
    <w:rsid w:val="658767EB"/>
    <w:rsid w:val="658E384B"/>
    <w:rsid w:val="659148BB"/>
    <w:rsid w:val="659A1BE7"/>
    <w:rsid w:val="659B0B40"/>
    <w:rsid w:val="659C0A99"/>
    <w:rsid w:val="65A01A09"/>
    <w:rsid w:val="65B240BA"/>
    <w:rsid w:val="65B43820"/>
    <w:rsid w:val="65B54971"/>
    <w:rsid w:val="65C25325"/>
    <w:rsid w:val="65C33ED9"/>
    <w:rsid w:val="65C40364"/>
    <w:rsid w:val="65C6095E"/>
    <w:rsid w:val="65CA6BC8"/>
    <w:rsid w:val="65CC1790"/>
    <w:rsid w:val="65D17F3E"/>
    <w:rsid w:val="65DA081F"/>
    <w:rsid w:val="65ED7E93"/>
    <w:rsid w:val="65EF1E6A"/>
    <w:rsid w:val="65F11122"/>
    <w:rsid w:val="65F32A4D"/>
    <w:rsid w:val="65F55BD2"/>
    <w:rsid w:val="65FA338D"/>
    <w:rsid w:val="65FF4E84"/>
    <w:rsid w:val="66120500"/>
    <w:rsid w:val="661E0E11"/>
    <w:rsid w:val="661E247E"/>
    <w:rsid w:val="66355CAD"/>
    <w:rsid w:val="663921C2"/>
    <w:rsid w:val="663B4259"/>
    <w:rsid w:val="66546144"/>
    <w:rsid w:val="665A4C95"/>
    <w:rsid w:val="665B5BF0"/>
    <w:rsid w:val="666F14A7"/>
    <w:rsid w:val="66842DB8"/>
    <w:rsid w:val="66866555"/>
    <w:rsid w:val="66872BD2"/>
    <w:rsid w:val="668E389F"/>
    <w:rsid w:val="66995564"/>
    <w:rsid w:val="66A002B9"/>
    <w:rsid w:val="66A70FDF"/>
    <w:rsid w:val="66A86609"/>
    <w:rsid w:val="66B15E4C"/>
    <w:rsid w:val="66BD2317"/>
    <w:rsid w:val="66C8211F"/>
    <w:rsid w:val="66CD1ED3"/>
    <w:rsid w:val="66DA356A"/>
    <w:rsid w:val="66DF402C"/>
    <w:rsid w:val="66EE7E3A"/>
    <w:rsid w:val="66F43BE4"/>
    <w:rsid w:val="66F81ADF"/>
    <w:rsid w:val="66FD6343"/>
    <w:rsid w:val="6707763D"/>
    <w:rsid w:val="67301593"/>
    <w:rsid w:val="673C5419"/>
    <w:rsid w:val="673C624E"/>
    <w:rsid w:val="67434EBF"/>
    <w:rsid w:val="6744475B"/>
    <w:rsid w:val="674A53A1"/>
    <w:rsid w:val="674E0EF4"/>
    <w:rsid w:val="675317B0"/>
    <w:rsid w:val="676207A9"/>
    <w:rsid w:val="677D78BE"/>
    <w:rsid w:val="67800F19"/>
    <w:rsid w:val="678365F6"/>
    <w:rsid w:val="67856B76"/>
    <w:rsid w:val="67874CB6"/>
    <w:rsid w:val="678E55BA"/>
    <w:rsid w:val="679F2489"/>
    <w:rsid w:val="67A32A0D"/>
    <w:rsid w:val="67A36C57"/>
    <w:rsid w:val="67AB66D1"/>
    <w:rsid w:val="67AC76F2"/>
    <w:rsid w:val="67B07D43"/>
    <w:rsid w:val="67B4432C"/>
    <w:rsid w:val="67B53801"/>
    <w:rsid w:val="67B57EF5"/>
    <w:rsid w:val="67B867FC"/>
    <w:rsid w:val="67BB471E"/>
    <w:rsid w:val="67BB7ECB"/>
    <w:rsid w:val="67CD11CA"/>
    <w:rsid w:val="67D82ECB"/>
    <w:rsid w:val="67E12E09"/>
    <w:rsid w:val="67EE17FB"/>
    <w:rsid w:val="67EF159D"/>
    <w:rsid w:val="67F453FE"/>
    <w:rsid w:val="67F51A16"/>
    <w:rsid w:val="67F9658A"/>
    <w:rsid w:val="680E437C"/>
    <w:rsid w:val="68154B7F"/>
    <w:rsid w:val="681B63E7"/>
    <w:rsid w:val="683A615D"/>
    <w:rsid w:val="683F6487"/>
    <w:rsid w:val="68527392"/>
    <w:rsid w:val="6859460A"/>
    <w:rsid w:val="68731F99"/>
    <w:rsid w:val="68752CF0"/>
    <w:rsid w:val="68770BAF"/>
    <w:rsid w:val="687B7CBA"/>
    <w:rsid w:val="68805629"/>
    <w:rsid w:val="68963AE2"/>
    <w:rsid w:val="689A36DE"/>
    <w:rsid w:val="689D7972"/>
    <w:rsid w:val="689F6FA0"/>
    <w:rsid w:val="68AF230C"/>
    <w:rsid w:val="68BA103A"/>
    <w:rsid w:val="68C149FF"/>
    <w:rsid w:val="68CD2BE2"/>
    <w:rsid w:val="68D52BCB"/>
    <w:rsid w:val="68DA3E99"/>
    <w:rsid w:val="68DC2EA4"/>
    <w:rsid w:val="68DD4062"/>
    <w:rsid w:val="68E1051C"/>
    <w:rsid w:val="68E730F7"/>
    <w:rsid w:val="68F22EBC"/>
    <w:rsid w:val="68F33E74"/>
    <w:rsid w:val="69023694"/>
    <w:rsid w:val="69025A67"/>
    <w:rsid w:val="69100FD1"/>
    <w:rsid w:val="69190524"/>
    <w:rsid w:val="691D51D1"/>
    <w:rsid w:val="691E5E18"/>
    <w:rsid w:val="694F730E"/>
    <w:rsid w:val="695317F6"/>
    <w:rsid w:val="69555973"/>
    <w:rsid w:val="695B1E42"/>
    <w:rsid w:val="695B5D6F"/>
    <w:rsid w:val="69692C29"/>
    <w:rsid w:val="69697E79"/>
    <w:rsid w:val="69760E9A"/>
    <w:rsid w:val="69841735"/>
    <w:rsid w:val="698534E2"/>
    <w:rsid w:val="69853FB1"/>
    <w:rsid w:val="698578C3"/>
    <w:rsid w:val="69877FE8"/>
    <w:rsid w:val="69934604"/>
    <w:rsid w:val="69935006"/>
    <w:rsid w:val="69986B9C"/>
    <w:rsid w:val="69995885"/>
    <w:rsid w:val="699B2D77"/>
    <w:rsid w:val="69AC6BFD"/>
    <w:rsid w:val="69AC7C29"/>
    <w:rsid w:val="69B3027D"/>
    <w:rsid w:val="69B652B1"/>
    <w:rsid w:val="69B850DF"/>
    <w:rsid w:val="69CF25FD"/>
    <w:rsid w:val="69D05F74"/>
    <w:rsid w:val="69DD501C"/>
    <w:rsid w:val="69DF2770"/>
    <w:rsid w:val="69EA233D"/>
    <w:rsid w:val="6A0C3536"/>
    <w:rsid w:val="6A0D365F"/>
    <w:rsid w:val="6A1205F4"/>
    <w:rsid w:val="6A172783"/>
    <w:rsid w:val="6A195EEA"/>
    <w:rsid w:val="6A2342F6"/>
    <w:rsid w:val="6A2B01FE"/>
    <w:rsid w:val="6A2D53DE"/>
    <w:rsid w:val="6A3B1264"/>
    <w:rsid w:val="6A405BCA"/>
    <w:rsid w:val="6A420324"/>
    <w:rsid w:val="6A466A71"/>
    <w:rsid w:val="6A5635C7"/>
    <w:rsid w:val="6A5D49F4"/>
    <w:rsid w:val="6A62360C"/>
    <w:rsid w:val="6A6322B0"/>
    <w:rsid w:val="6A675D63"/>
    <w:rsid w:val="6A6952FA"/>
    <w:rsid w:val="6A733117"/>
    <w:rsid w:val="6A755EE0"/>
    <w:rsid w:val="6A771A6B"/>
    <w:rsid w:val="6A8059D8"/>
    <w:rsid w:val="6A84017F"/>
    <w:rsid w:val="6A8527D2"/>
    <w:rsid w:val="6A8B556D"/>
    <w:rsid w:val="6A8C5C3E"/>
    <w:rsid w:val="6A953E6E"/>
    <w:rsid w:val="6A964CB5"/>
    <w:rsid w:val="6A993F7F"/>
    <w:rsid w:val="6A9E3E91"/>
    <w:rsid w:val="6AA51B7A"/>
    <w:rsid w:val="6AAB4411"/>
    <w:rsid w:val="6AB416C6"/>
    <w:rsid w:val="6AC04920"/>
    <w:rsid w:val="6ACD2100"/>
    <w:rsid w:val="6ACD356F"/>
    <w:rsid w:val="6AD0724A"/>
    <w:rsid w:val="6AD553E0"/>
    <w:rsid w:val="6AF113CF"/>
    <w:rsid w:val="6AF21921"/>
    <w:rsid w:val="6AF3594C"/>
    <w:rsid w:val="6AF369B4"/>
    <w:rsid w:val="6AFA5E41"/>
    <w:rsid w:val="6AFD4BEC"/>
    <w:rsid w:val="6B08548B"/>
    <w:rsid w:val="6B09086D"/>
    <w:rsid w:val="6B0C4FAB"/>
    <w:rsid w:val="6B0D49C2"/>
    <w:rsid w:val="6B145CAA"/>
    <w:rsid w:val="6B193204"/>
    <w:rsid w:val="6B266127"/>
    <w:rsid w:val="6B2C135C"/>
    <w:rsid w:val="6B391ECD"/>
    <w:rsid w:val="6B3E7E69"/>
    <w:rsid w:val="6B4052B9"/>
    <w:rsid w:val="6B4A13AC"/>
    <w:rsid w:val="6B4D7DBF"/>
    <w:rsid w:val="6B512DDD"/>
    <w:rsid w:val="6B573E92"/>
    <w:rsid w:val="6B5B2130"/>
    <w:rsid w:val="6B6C3D4F"/>
    <w:rsid w:val="6B79206E"/>
    <w:rsid w:val="6B8B2299"/>
    <w:rsid w:val="6B8B6CE1"/>
    <w:rsid w:val="6B8C3C7C"/>
    <w:rsid w:val="6B8D0120"/>
    <w:rsid w:val="6B9C3120"/>
    <w:rsid w:val="6BAA5378"/>
    <w:rsid w:val="6BAB5E14"/>
    <w:rsid w:val="6BAD25B2"/>
    <w:rsid w:val="6BAD44A8"/>
    <w:rsid w:val="6BCA0EBD"/>
    <w:rsid w:val="6BD07595"/>
    <w:rsid w:val="6BDB5B3E"/>
    <w:rsid w:val="6BDC158B"/>
    <w:rsid w:val="6BE01A01"/>
    <w:rsid w:val="6BE31A21"/>
    <w:rsid w:val="6BED1497"/>
    <w:rsid w:val="6BED2B65"/>
    <w:rsid w:val="6BF211A4"/>
    <w:rsid w:val="6BF53844"/>
    <w:rsid w:val="6BF8193D"/>
    <w:rsid w:val="6BF86EE9"/>
    <w:rsid w:val="6C05299A"/>
    <w:rsid w:val="6C170C69"/>
    <w:rsid w:val="6C1E0875"/>
    <w:rsid w:val="6C282096"/>
    <w:rsid w:val="6C36166E"/>
    <w:rsid w:val="6C3B5C60"/>
    <w:rsid w:val="6C453D7B"/>
    <w:rsid w:val="6C477E21"/>
    <w:rsid w:val="6C5451B4"/>
    <w:rsid w:val="6C573759"/>
    <w:rsid w:val="6C5D6B4E"/>
    <w:rsid w:val="6C5F5CD0"/>
    <w:rsid w:val="6C6076E3"/>
    <w:rsid w:val="6C611EDD"/>
    <w:rsid w:val="6C646455"/>
    <w:rsid w:val="6C683BF9"/>
    <w:rsid w:val="6C6D69FF"/>
    <w:rsid w:val="6C711ADC"/>
    <w:rsid w:val="6C7478DB"/>
    <w:rsid w:val="6C771E2B"/>
    <w:rsid w:val="6C780136"/>
    <w:rsid w:val="6C8E0FFA"/>
    <w:rsid w:val="6C9552B3"/>
    <w:rsid w:val="6C962F20"/>
    <w:rsid w:val="6C9E22BE"/>
    <w:rsid w:val="6CA00A3A"/>
    <w:rsid w:val="6CD65955"/>
    <w:rsid w:val="6CD71E36"/>
    <w:rsid w:val="6CDC74BB"/>
    <w:rsid w:val="6CDF5E4C"/>
    <w:rsid w:val="6CEC2BB0"/>
    <w:rsid w:val="6CEF67FA"/>
    <w:rsid w:val="6CF64EF0"/>
    <w:rsid w:val="6CF9204B"/>
    <w:rsid w:val="6D0377CF"/>
    <w:rsid w:val="6D040C67"/>
    <w:rsid w:val="6D1141F1"/>
    <w:rsid w:val="6D1D732C"/>
    <w:rsid w:val="6D1E109C"/>
    <w:rsid w:val="6D2047CC"/>
    <w:rsid w:val="6D204993"/>
    <w:rsid w:val="6D2710D8"/>
    <w:rsid w:val="6D31216F"/>
    <w:rsid w:val="6D366587"/>
    <w:rsid w:val="6D3F2E03"/>
    <w:rsid w:val="6D4B484E"/>
    <w:rsid w:val="6D5865DB"/>
    <w:rsid w:val="6D5B6D7D"/>
    <w:rsid w:val="6D5F3CB3"/>
    <w:rsid w:val="6D654BCF"/>
    <w:rsid w:val="6D685E09"/>
    <w:rsid w:val="6D896D6B"/>
    <w:rsid w:val="6D8A27EA"/>
    <w:rsid w:val="6D8B5D4C"/>
    <w:rsid w:val="6D8D3473"/>
    <w:rsid w:val="6D962DC5"/>
    <w:rsid w:val="6D9813EC"/>
    <w:rsid w:val="6D9B53B6"/>
    <w:rsid w:val="6D9D6131"/>
    <w:rsid w:val="6DBF75AB"/>
    <w:rsid w:val="6DC17A5C"/>
    <w:rsid w:val="6DE1416E"/>
    <w:rsid w:val="6DE6678E"/>
    <w:rsid w:val="6DEE400E"/>
    <w:rsid w:val="6DF228B3"/>
    <w:rsid w:val="6DF23F84"/>
    <w:rsid w:val="6DF3415B"/>
    <w:rsid w:val="6DF737BF"/>
    <w:rsid w:val="6E007267"/>
    <w:rsid w:val="6E171B19"/>
    <w:rsid w:val="6E2223D4"/>
    <w:rsid w:val="6E241BB5"/>
    <w:rsid w:val="6E246FDD"/>
    <w:rsid w:val="6E2C6F33"/>
    <w:rsid w:val="6E300150"/>
    <w:rsid w:val="6E3258C2"/>
    <w:rsid w:val="6E40122D"/>
    <w:rsid w:val="6E464B5F"/>
    <w:rsid w:val="6E4C0AB8"/>
    <w:rsid w:val="6E4C18B7"/>
    <w:rsid w:val="6E5E25FE"/>
    <w:rsid w:val="6E662785"/>
    <w:rsid w:val="6E685299"/>
    <w:rsid w:val="6E6A73E1"/>
    <w:rsid w:val="6E6B3653"/>
    <w:rsid w:val="6E6E0FFF"/>
    <w:rsid w:val="6E7E5D05"/>
    <w:rsid w:val="6E812A44"/>
    <w:rsid w:val="6E815762"/>
    <w:rsid w:val="6E851697"/>
    <w:rsid w:val="6E8629DF"/>
    <w:rsid w:val="6E9D5B01"/>
    <w:rsid w:val="6EA10ECB"/>
    <w:rsid w:val="6EA86FB9"/>
    <w:rsid w:val="6EC11446"/>
    <w:rsid w:val="6EC42838"/>
    <w:rsid w:val="6ED107C8"/>
    <w:rsid w:val="6ED168FF"/>
    <w:rsid w:val="6ED7162D"/>
    <w:rsid w:val="6EDB7784"/>
    <w:rsid w:val="6EDF4B1D"/>
    <w:rsid w:val="6EEC6C4F"/>
    <w:rsid w:val="6EF65FAD"/>
    <w:rsid w:val="6EFE2B52"/>
    <w:rsid w:val="6EFE7AD1"/>
    <w:rsid w:val="6F037409"/>
    <w:rsid w:val="6F0729E5"/>
    <w:rsid w:val="6F0961EC"/>
    <w:rsid w:val="6F0E0EF4"/>
    <w:rsid w:val="6F0F495C"/>
    <w:rsid w:val="6F202220"/>
    <w:rsid w:val="6F2B0C7A"/>
    <w:rsid w:val="6F341CBE"/>
    <w:rsid w:val="6F3933FC"/>
    <w:rsid w:val="6F4102CF"/>
    <w:rsid w:val="6F520EB6"/>
    <w:rsid w:val="6F6974F0"/>
    <w:rsid w:val="6F722478"/>
    <w:rsid w:val="6F7B05C0"/>
    <w:rsid w:val="6F7E1C30"/>
    <w:rsid w:val="6F87660F"/>
    <w:rsid w:val="6F907558"/>
    <w:rsid w:val="6F9D668D"/>
    <w:rsid w:val="6FA34967"/>
    <w:rsid w:val="6FA3519E"/>
    <w:rsid w:val="6FA72053"/>
    <w:rsid w:val="6FA91104"/>
    <w:rsid w:val="6FAB7060"/>
    <w:rsid w:val="6FAD0EC6"/>
    <w:rsid w:val="6FBB418E"/>
    <w:rsid w:val="6FCA0284"/>
    <w:rsid w:val="6FCC4D0E"/>
    <w:rsid w:val="6FDA1493"/>
    <w:rsid w:val="6FDC1316"/>
    <w:rsid w:val="6FE0744B"/>
    <w:rsid w:val="6FE77D71"/>
    <w:rsid w:val="700A279C"/>
    <w:rsid w:val="700A289A"/>
    <w:rsid w:val="70114A5F"/>
    <w:rsid w:val="70186C7B"/>
    <w:rsid w:val="702A4E22"/>
    <w:rsid w:val="702E338D"/>
    <w:rsid w:val="703B0E8A"/>
    <w:rsid w:val="703B7C50"/>
    <w:rsid w:val="70472125"/>
    <w:rsid w:val="7049749B"/>
    <w:rsid w:val="704B7905"/>
    <w:rsid w:val="70555E14"/>
    <w:rsid w:val="705B2D30"/>
    <w:rsid w:val="705F307E"/>
    <w:rsid w:val="705F333A"/>
    <w:rsid w:val="706B2486"/>
    <w:rsid w:val="70783E84"/>
    <w:rsid w:val="70795DF6"/>
    <w:rsid w:val="707A5D2F"/>
    <w:rsid w:val="70964422"/>
    <w:rsid w:val="70A14A64"/>
    <w:rsid w:val="70AF6CE9"/>
    <w:rsid w:val="70C06B9F"/>
    <w:rsid w:val="70CC7348"/>
    <w:rsid w:val="70CD1E47"/>
    <w:rsid w:val="70D13BA0"/>
    <w:rsid w:val="70D44648"/>
    <w:rsid w:val="70DF3DEB"/>
    <w:rsid w:val="70F02FDD"/>
    <w:rsid w:val="70F72510"/>
    <w:rsid w:val="71041721"/>
    <w:rsid w:val="711C1F43"/>
    <w:rsid w:val="71205B58"/>
    <w:rsid w:val="712B05F9"/>
    <w:rsid w:val="712F5856"/>
    <w:rsid w:val="713033D0"/>
    <w:rsid w:val="71310096"/>
    <w:rsid w:val="71367E84"/>
    <w:rsid w:val="7137184D"/>
    <w:rsid w:val="713A67B3"/>
    <w:rsid w:val="713A7C77"/>
    <w:rsid w:val="7141659B"/>
    <w:rsid w:val="714474DF"/>
    <w:rsid w:val="71461837"/>
    <w:rsid w:val="7147509B"/>
    <w:rsid w:val="714A356A"/>
    <w:rsid w:val="714C4666"/>
    <w:rsid w:val="715F1515"/>
    <w:rsid w:val="716D4D24"/>
    <w:rsid w:val="717031CE"/>
    <w:rsid w:val="71766546"/>
    <w:rsid w:val="717943F5"/>
    <w:rsid w:val="717A2BA1"/>
    <w:rsid w:val="718E70D3"/>
    <w:rsid w:val="719D7468"/>
    <w:rsid w:val="71AA1A3E"/>
    <w:rsid w:val="71AA6403"/>
    <w:rsid w:val="71B16C44"/>
    <w:rsid w:val="71BD4685"/>
    <w:rsid w:val="71C47B9F"/>
    <w:rsid w:val="71C534D2"/>
    <w:rsid w:val="71C64D4D"/>
    <w:rsid w:val="71D72F17"/>
    <w:rsid w:val="71DC1718"/>
    <w:rsid w:val="71DF5B7E"/>
    <w:rsid w:val="71F54AE0"/>
    <w:rsid w:val="720158A7"/>
    <w:rsid w:val="720431A7"/>
    <w:rsid w:val="72084942"/>
    <w:rsid w:val="720B4718"/>
    <w:rsid w:val="722A4225"/>
    <w:rsid w:val="722A7D71"/>
    <w:rsid w:val="723100EB"/>
    <w:rsid w:val="72364C69"/>
    <w:rsid w:val="723B2B91"/>
    <w:rsid w:val="72402A39"/>
    <w:rsid w:val="7243143C"/>
    <w:rsid w:val="72517987"/>
    <w:rsid w:val="7254791B"/>
    <w:rsid w:val="72551613"/>
    <w:rsid w:val="725D5B96"/>
    <w:rsid w:val="726325AF"/>
    <w:rsid w:val="7269458C"/>
    <w:rsid w:val="726B76F8"/>
    <w:rsid w:val="7272039C"/>
    <w:rsid w:val="72746945"/>
    <w:rsid w:val="72771182"/>
    <w:rsid w:val="72897A74"/>
    <w:rsid w:val="728D5535"/>
    <w:rsid w:val="7298444E"/>
    <w:rsid w:val="729A0EDE"/>
    <w:rsid w:val="729F1F2D"/>
    <w:rsid w:val="72C00C08"/>
    <w:rsid w:val="72C32F1F"/>
    <w:rsid w:val="72C55A19"/>
    <w:rsid w:val="72CB4C94"/>
    <w:rsid w:val="72CF130A"/>
    <w:rsid w:val="72DA39DB"/>
    <w:rsid w:val="72E97BD6"/>
    <w:rsid w:val="72EF358D"/>
    <w:rsid w:val="72F00080"/>
    <w:rsid w:val="72F40BED"/>
    <w:rsid w:val="72FA777C"/>
    <w:rsid w:val="72FC3995"/>
    <w:rsid w:val="730819AE"/>
    <w:rsid w:val="731267CC"/>
    <w:rsid w:val="7317564C"/>
    <w:rsid w:val="731B1CFE"/>
    <w:rsid w:val="733417FE"/>
    <w:rsid w:val="733535A0"/>
    <w:rsid w:val="73396C18"/>
    <w:rsid w:val="734049AA"/>
    <w:rsid w:val="734B2DDD"/>
    <w:rsid w:val="73582F7A"/>
    <w:rsid w:val="735F142D"/>
    <w:rsid w:val="73614A6B"/>
    <w:rsid w:val="737140B0"/>
    <w:rsid w:val="73773E99"/>
    <w:rsid w:val="73790128"/>
    <w:rsid w:val="737B0312"/>
    <w:rsid w:val="737E4127"/>
    <w:rsid w:val="73854C6C"/>
    <w:rsid w:val="738C6771"/>
    <w:rsid w:val="73994803"/>
    <w:rsid w:val="73A34880"/>
    <w:rsid w:val="73B05172"/>
    <w:rsid w:val="73B2046C"/>
    <w:rsid w:val="73C509BC"/>
    <w:rsid w:val="73CD6575"/>
    <w:rsid w:val="73CF44A5"/>
    <w:rsid w:val="73D0280C"/>
    <w:rsid w:val="73D26442"/>
    <w:rsid w:val="73D82C3C"/>
    <w:rsid w:val="73DE2643"/>
    <w:rsid w:val="73E65D61"/>
    <w:rsid w:val="73EC11A2"/>
    <w:rsid w:val="73ED5BE9"/>
    <w:rsid w:val="73F809EA"/>
    <w:rsid w:val="73FD1AFC"/>
    <w:rsid w:val="73FD7489"/>
    <w:rsid w:val="74054BEE"/>
    <w:rsid w:val="740560EA"/>
    <w:rsid w:val="74056B42"/>
    <w:rsid w:val="740630C3"/>
    <w:rsid w:val="7409473C"/>
    <w:rsid w:val="741661E7"/>
    <w:rsid w:val="741825DF"/>
    <w:rsid w:val="741B7290"/>
    <w:rsid w:val="74256453"/>
    <w:rsid w:val="74410FE0"/>
    <w:rsid w:val="74415F16"/>
    <w:rsid w:val="74482FCD"/>
    <w:rsid w:val="744A091C"/>
    <w:rsid w:val="744B1E8E"/>
    <w:rsid w:val="74624E03"/>
    <w:rsid w:val="74657BF7"/>
    <w:rsid w:val="74781B09"/>
    <w:rsid w:val="74836B36"/>
    <w:rsid w:val="7485045B"/>
    <w:rsid w:val="74853218"/>
    <w:rsid w:val="7489688F"/>
    <w:rsid w:val="74A14393"/>
    <w:rsid w:val="74A63B78"/>
    <w:rsid w:val="74AE320C"/>
    <w:rsid w:val="74C93C97"/>
    <w:rsid w:val="74CA18A2"/>
    <w:rsid w:val="74E07425"/>
    <w:rsid w:val="74E3569C"/>
    <w:rsid w:val="74E863D4"/>
    <w:rsid w:val="74ED32DA"/>
    <w:rsid w:val="74EF4D46"/>
    <w:rsid w:val="74F63296"/>
    <w:rsid w:val="74FC3839"/>
    <w:rsid w:val="750B59B7"/>
    <w:rsid w:val="75157675"/>
    <w:rsid w:val="751732C5"/>
    <w:rsid w:val="7522661E"/>
    <w:rsid w:val="75233611"/>
    <w:rsid w:val="7526215A"/>
    <w:rsid w:val="754B473A"/>
    <w:rsid w:val="754C18DC"/>
    <w:rsid w:val="754C318B"/>
    <w:rsid w:val="754C551C"/>
    <w:rsid w:val="755315C9"/>
    <w:rsid w:val="75557790"/>
    <w:rsid w:val="755F298F"/>
    <w:rsid w:val="7563558E"/>
    <w:rsid w:val="756B7591"/>
    <w:rsid w:val="75786C0F"/>
    <w:rsid w:val="7587062F"/>
    <w:rsid w:val="758C7F0A"/>
    <w:rsid w:val="75951408"/>
    <w:rsid w:val="759931D9"/>
    <w:rsid w:val="759D251D"/>
    <w:rsid w:val="75A10102"/>
    <w:rsid w:val="75A46BE9"/>
    <w:rsid w:val="75AC62F8"/>
    <w:rsid w:val="75B05F53"/>
    <w:rsid w:val="75C77160"/>
    <w:rsid w:val="75CD2CE4"/>
    <w:rsid w:val="75CF5A6D"/>
    <w:rsid w:val="75D55086"/>
    <w:rsid w:val="75DE5D07"/>
    <w:rsid w:val="75F1030D"/>
    <w:rsid w:val="75FA688C"/>
    <w:rsid w:val="75FC2A02"/>
    <w:rsid w:val="76107D1F"/>
    <w:rsid w:val="761B1B02"/>
    <w:rsid w:val="7621586B"/>
    <w:rsid w:val="76275680"/>
    <w:rsid w:val="7638550A"/>
    <w:rsid w:val="76407584"/>
    <w:rsid w:val="76420A9F"/>
    <w:rsid w:val="76460752"/>
    <w:rsid w:val="76497B53"/>
    <w:rsid w:val="76566161"/>
    <w:rsid w:val="7657634B"/>
    <w:rsid w:val="765E3D2D"/>
    <w:rsid w:val="765F4EDC"/>
    <w:rsid w:val="76624EAE"/>
    <w:rsid w:val="76630162"/>
    <w:rsid w:val="76781F73"/>
    <w:rsid w:val="767C6AAC"/>
    <w:rsid w:val="768E66A6"/>
    <w:rsid w:val="7690234D"/>
    <w:rsid w:val="769770A0"/>
    <w:rsid w:val="76AD4693"/>
    <w:rsid w:val="76B161B7"/>
    <w:rsid w:val="76B32D2C"/>
    <w:rsid w:val="76B37636"/>
    <w:rsid w:val="76B5093C"/>
    <w:rsid w:val="76B525F5"/>
    <w:rsid w:val="76BE1E79"/>
    <w:rsid w:val="76C47E08"/>
    <w:rsid w:val="76CC5988"/>
    <w:rsid w:val="76CE039A"/>
    <w:rsid w:val="76D81A08"/>
    <w:rsid w:val="76DD351E"/>
    <w:rsid w:val="76DE0141"/>
    <w:rsid w:val="76E11D78"/>
    <w:rsid w:val="76E15D37"/>
    <w:rsid w:val="76E17E2E"/>
    <w:rsid w:val="76E843CB"/>
    <w:rsid w:val="76E92569"/>
    <w:rsid w:val="76EC47B0"/>
    <w:rsid w:val="76F261D8"/>
    <w:rsid w:val="76F355A0"/>
    <w:rsid w:val="77086025"/>
    <w:rsid w:val="770B759D"/>
    <w:rsid w:val="77183B98"/>
    <w:rsid w:val="771A2F81"/>
    <w:rsid w:val="77200EDF"/>
    <w:rsid w:val="77234096"/>
    <w:rsid w:val="772B210D"/>
    <w:rsid w:val="77371ACB"/>
    <w:rsid w:val="77385348"/>
    <w:rsid w:val="77395E4B"/>
    <w:rsid w:val="774A64C4"/>
    <w:rsid w:val="774E24D6"/>
    <w:rsid w:val="77500471"/>
    <w:rsid w:val="77510092"/>
    <w:rsid w:val="77563F8A"/>
    <w:rsid w:val="775F37F5"/>
    <w:rsid w:val="776D4A30"/>
    <w:rsid w:val="777005A8"/>
    <w:rsid w:val="77726B37"/>
    <w:rsid w:val="77743BE2"/>
    <w:rsid w:val="778B5FAD"/>
    <w:rsid w:val="779C0093"/>
    <w:rsid w:val="779C6E17"/>
    <w:rsid w:val="779C7BF8"/>
    <w:rsid w:val="779E3B4F"/>
    <w:rsid w:val="77A33CC4"/>
    <w:rsid w:val="77A47D6F"/>
    <w:rsid w:val="77AA0E39"/>
    <w:rsid w:val="77B12D2C"/>
    <w:rsid w:val="77B42380"/>
    <w:rsid w:val="77B65BA5"/>
    <w:rsid w:val="77BB08F1"/>
    <w:rsid w:val="77C037EA"/>
    <w:rsid w:val="77C87CA3"/>
    <w:rsid w:val="77CE53B2"/>
    <w:rsid w:val="77D52F39"/>
    <w:rsid w:val="77D70418"/>
    <w:rsid w:val="77E42137"/>
    <w:rsid w:val="77EA4458"/>
    <w:rsid w:val="77F73C96"/>
    <w:rsid w:val="77FF6F5A"/>
    <w:rsid w:val="780156DA"/>
    <w:rsid w:val="78034528"/>
    <w:rsid w:val="78135070"/>
    <w:rsid w:val="78136816"/>
    <w:rsid w:val="781655C9"/>
    <w:rsid w:val="7821767D"/>
    <w:rsid w:val="782F2090"/>
    <w:rsid w:val="78360FF5"/>
    <w:rsid w:val="78400592"/>
    <w:rsid w:val="784A396E"/>
    <w:rsid w:val="784C3862"/>
    <w:rsid w:val="785241E4"/>
    <w:rsid w:val="785A4719"/>
    <w:rsid w:val="785C18C1"/>
    <w:rsid w:val="78734995"/>
    <w:rsid w:val="78815DDC"/>
    <w:rsid w:val="788C29D5"/>
    <w:rsid w:val="788E06EC"/>
    <w:rsid w:val="78907379"/>
    <w:rsid w:val="789363CB"/>
    <w:rsid w:val="7897689C"/>
    <w:rsid w:val="789E6904"/>
    <w:rsid w:val="78A212A6"/>
    <w:rsid w:val="78A3686E"/>
    <w:rsid w:val="78AB5247"/>
    <w:rsid w:val="78B070B9"/>
    <w:rsid w:val="78B334D3"/>
    <w:rsid w:val="78B566FD"/>
    <w:rsid w:val="78B70DC3"/>
    <w:rsid w:val="78B76651"/>
    <w:rsid w:val="78BB69BF"/>
    <w:rsid w:val="78C11EFA"/>
    <w:rsid w:val="78C22CAC"/>
    <w:rsid w:val="78C6157A"/>
    <w:rsid w:val="78C728CE"/>
    <w:rsid w:val="78CB43BF"/>
    <w:rsid w:val="78CF5838"/>
    <w:rsid w:val="78DF6FDB"/>
    <w:rsid w:val="78ED0AB4"/>
    <w:rsid w:val="79031042"/>
    <w:rsid w:val="79071330"/>
    <w:rsid w:val="790F0960"/>
    <w:rsid w:val="79217F17"/>
    <w:rsid w:val="79237617"/>
    <w:rsid w:val="793356DB"/>
    <w:rsid w:val="793772CE"/>
    <w:rsid w:val="794371D6"/>
    <w:rsid w:val="79441DF1"/>
    <w:rsid w:val="79494A81"/>
    <w:rsid w:val="7953502B"/>
    <w:rsid w:val="79596609"/>
    <w:rsid w:val="795A26F3"/>
    <w:rsid w:val="795C4D8E"/>
    <w:rsid w:val="795C6E90"/>
    <w:rsid w:val="79661248"/>
    <w:rsid w:val="796C66A3"/>
    <w:rsid w:val="797217F7"/>
    <w:rsid w:val="797F5296"/>
    <w:rsid w:val="79817CB5"/>
    <w:rsid w:val="79872AEB"/>
    <w:rsid w:val="798746C4"/>
    <w:rsid w:val="798B3305"/>
    <w:rsid w:val="799F407B"/>
    <w:rsid w:val="79A344D3"/>
    <w:rsid w:val="79C048B2"/>
    <w:rsid w:val="79C606D3"/>
    <w:rsid w:val="79C722DE"/>
    <w:rsid w:val="79C7606B"/>
    <w:rsid w:val="79C7747A"/>
    <w:rsid w:val="79D26717"/>
    <w:rsid w:val="79E10FDE"/>
    <w:rsid w:val="79E2299F"/>
    <w:rsid w:val="79E22E0B"/>
    <w:rsid w:val="79F07130"/>
    <w:rsid w:val="7A011425"/>
    <w:rsid w:val="7A0848F5"/>
    <w:rsid w:val="7A090472"/>
    <w:rsid w:val="7A0F459A"/>
    <w:rsid w:val="7A11399D"/>
    <w:rsid w:val="7A17279A"/>
    <w:rsid w:val="7A1D51AA"/>
    <w:rsid w:val="7A1F07D9"/>
    <w:rsid w:val="7A307348"/>
    <w:rsid w:val="7A337E4D"/>
    <w:rsid w:val="7A3408ED"/>
    <w:rsid w:val="7A356238"/>
    <w:rsid w:val="7A48224C"/>
    <w:rsid w:val="7A4857AA"/>
    <w:rsid w:val="7A4A6379"/>
    <w:rsid w:val="7A5E4C0C"/>
    <w:rsid w:val="7A615863"/>
    <w:rsid w:val="7A6A4E88"/>
    <w:rsid w:val="7A736997"/>
    <w:rsid w:val="7A795439"/>
    <w:rsid w:val="7A796410"/>
    <w:rsid w:val="7A7B0FDA"/>
    <w:rsid w:val="7A854531"/>
    <w:rsid w:val="7A8F5A40"/>
    <w:rsid w:val="7A911233"/>
    <w:rsid w:val="7A922050"/>
    <w:rsid w:val="7A933E82"/>
    <w:rsid w:val="7AA26CFF"/>
    <w:rsid w:val="7AAC67D4"/>
    <w:rsid w:val="7AB53CBE"/>
    <w:rsid w:val="7AB801CE"/>
    <w:rsid w:val="7AB90F3A"/>
    <w:rsid w:val="7AB96430"/>
    <w:rsid w:val="7ABF4635"/>
    <w:rsid w:val="7AC649C5"/>
    <w:rsid w:val="7ACD101D"/>
    <w:rsid w:val="7AD7381C"/>
    <w:rsid w:val="7AE0624E"/>
    <w:rsid w:val="7AE44B5A"/>
    <w:rsid w:val="7AEB6171"/>
    <w:rsid w:val="7AED21FE"/>
    <w:rsid w:val="7AEE562E"/>
    <w:rsid w:val="7B075C4A"/>
    <w:rsid w:val="7B122091"/>
    <w:rsid w:val="7B205640"/>
    <w:rsid w:val="7B271ACC"/>
    <w:rsid w:val="7B28186A"/>
    <w:rsid w:val="7B327420"/>
    <w:rsid w:val="7B350A7D"/>
    <w:rsid w:val="7B4C428A"/>
    <w:rsid w:val="7B546E75"/>
    <w:rsid w:val="7B5D42B5"/>
    <w:rsid w:val="7B5E060E"/>
    <w:rsid w:val="7B6321FB"/>
    <w:rsid w:val="7B705A2F"/>
    <w:rsid w:val="7B8227A2"/>
    <w:rsid w:val="7B862503"/>
    <w:rsid w:val="7B9506C6"/>
    <w:rsid w:val="7B9A6F06"/>
    <w:rsid w:val="7B9B4BA1"/>
    <w:rsid w:val="7BA97827"/>
    <w:rsid w:val="7BCE62FC"/>
    <w:rsid w:val="7BD4745A"/>
    <w:rsid w:val="7BD85E62"/>
    <w:rsid w:val="7BEA4BE1"/>
    <w:rsid w:val="7BEB23B5"/>
    <w:rsid w:val="7BED2A59"/>
    <w:rsid w:val="7BEF13BC"/>
    <w:rsid w:val="7BF77925"/>
    <w:rsid w:val="7BFE1C9A"/>
    <w:rsid w:val="7C0154A7"/>
    <w:rsid w:val="7C041FC7"/>
    <w:rsid w:val="7C05330D"/>
    <w:rsid w:val="7C074CF6"/>
    <w:rsid w:val="7C096E18"/>
    <w:rsid w:val="7C0C2E06"/>
    <w:rsid w:val="7C131553"/>
    <w:rsid w:val="7C167366"/>
    <w:rsid w:val="7C171CF9"/>
    <w:rsid w:val="7C1D34C6"/>
    <w:rsid w:val="7C230886"/>
    <w:rsid w:val="7C2369D2"/>
    <w:rsid w:val="7C303202"/>
    <w:rsid w:val="7C4C5980"/>
    <w:rsid w:val="7C4F65DF"/>
    <w:rsid w:val="7C515172"/>
    <w:rsid w:val="7C545AC7"/>
    <w:rsid w:val="7C582BBE"/>
    <w:rsid w:val="7C5A0236"/>
    <w:rsid w:val="7C5F613E"/>
    <w:rsid w:val="7C601B7A"/>
    <w:rsid w:val="7C6327C1"/>
    <w:rsid w:val="7C637369"/>
    <w:rsid w:val="7C700C54"/>
    <w:rsid w:val="7C807077"/>
    <w:rsid w:val="7C8377FC"/>
    <w:rsid w:val="7C8633F3"/>
    <w:rsid w:val="7C8809A1"/>
    <w:rsid w:val="7C8D35F1"/>
    <w:rsid w:val="7C932D68"/>
    <w:rsid w:val="7CA15712"/>
    <w:rsid w:val="7CA725DE"/>
    <w:rsid w:val="7CA836B5"/>
    <w:rsid w:val="7CAA29BE"/>
    <w:rsid w:val="7CAC0BC6"/>
    <w:rsid w:val="7CB0749C"/>
    <w:rsid w:val="7CB74726"/>
    <w:rsid w:val="7CB97A94"/>
    <w:rsid w:val="7CC46FB9"/>
    <w:rsid w:val="7CC65AB8"/>
    <w:rsid w:val="7CC70A9C"/>
    <w:rsid w:val="7CCF4F2A"/>
    <w:rsid w:val="7CD555B1"/>
    <w:rsid w:val="7CDE29FF"/>
    <w:rsid w:val="7CEC40AE"/>
    <w:rsid w:val="7CF61804"/>
    <w:rsid w:val="7D004073"/>
    <w:rsid w:val="7D023DA3"/>
    <w:rsid w:val="7D0D3531"/>
    <w:rsid w:val="7D0E138E"/>
    <w:rsid w:val="7D282FC3"/>
    <w:rsid w:val="7D306185"/>
    <w:rsid w:val="7D3301EF"/>
    <w:rsid w:val="7D402701"/>
    <w:rsid w:val="7D407FDC"/>
    <w:rsid w:val="7D4B4DFE"/>
    <w:rsid w:val="7D4E4256"/>
    <w:rsid w:val="7D4E7E5C"/>
    <w:rsid w:val="7D563B00"/>
    <w:rsid w:val="7D575335"/>
    <w:rsid w:val="7D58272B"/>
    <w:rsid w:val="7D644BB9"/>
    <w:rsid w:val="7D65427D"/>
    <w:rsid w:val="7D681A57"/>
    <w:rsid w:val="7D6E1078"/>
    <w:rsid w:val="7D767753"/>
    <w:rsid w:val="7D7A77F2"/>
    <w:rsid w:val="7D7B4CE3"/>
    <w:rsid w:val="7D8052F4"/>
    <w:rsid w:val="7D882D6F"/>
    <w:rsid w:val="7D8F27FA"/>
    <w:rsid w:val="7D9876CB"/>
    <w:rsid w:val="7D9905A4"/>
    <w:rsid w:val="7DA62108"/>
    <w:rsid w:val="7DA77870"/>
    <w:rsid w:val="7DA862C6"/>
    <w:rsid w:val="7DAD2009"/>
    <w:rsid w:val="7DAE0334"/>
    <w:rsid w:val="7DB76331"/>
    <w:rsid w:val="7DB937A1"/>
    <w:rsid w:val="7DBC51AE"/>
    <w:rsid w:val="7DCC70D5"/>
    <w:rsid w:val="7DDF103D"/>
    <w:rsid w:val="7DE05644"/>
    <w:rsid w:val="7DEE4F29"/>
    <w:rsid w:val="7DEF62A0"/>
    <w:rsid w:val="7DF02678"/>
    <w:rsid w:val="7DF20C97"/>
    <w:rsid w:val="7E023AD6"/>
    <w:rsid w:val="7E0879FD"/>
    <w:rsid w:val="7E0D7696"/>
    <w:rsid w:val="7E0E456C"/>
    <w:rsid w:val="7E0E6DCD"/>
    <w:rsid w:val="7E0F48BB"/>
    <w:rsid w:val="7E1033DC"/>
    <w:rsid w:val="7E1E3B97"/>
    <w:rsid w:val="7E2353BC"/>
    <w:rsid w:val="7E2424ED"/>
    <w:rsid w:val="7E323687"/>
    <w:rsid w:val="7E352B6C"/>
    <w:rsid w:val="7E4107B0"/>
    <w:rsid w:val="7E430F47"/>
    <w:rsid w:val="7E444E2C"/>
    <w:rsid w:val="7E45635D"/>
    <w:rsid w:val="7E517C52"/>
    <w:rsid w:val="7E5F2743"/>
    <w:rsid w:val="7E606711"/>
    <w:rsid w:val="7E6947CD"/>
    <w:rsid w:val="7E7178F7"/>
    <w:rsid w:val="7E821A0C"/>
    <w:rsid w:val="7E836EA8"/>
    <w:rsid w:val="7E980AF4"/>
    <w:rsid w:val="7E9A12EA"/>
    <w:rsid w:val="7E9F0584"/>
    <w:rsid w:val="7EA17D25"/>
    <w:rsid w:val="7EB61631"/>
    <w:rsid w:val="7EC42501"/>
    <w:rsid w:val="7EC539A1"/>
    <w:rsid w:val="7ECA6995"/>
    <w:rsid w:val="7ED148EC"/>
    <w:rsid w:val="7EDA6062"/>
    <w:rsid w:val="7EDC75D2"/>
    <w:rsid w:val="7EE36BEA"/>
    <w:rsid w:val="7EEA1CAF"/>
    <w:rsid w:val="7EF439EE"/>
    <w:rsid w:val="7EF60904"/>
    <w:rsid w:val="7EFA2E85"/>
    <w:rsid w:val="7F045542"/>
    <w:rsid w:val="7F1511C1"/>
    <w:rsid w:val="7F1D027F"/>
    <w:rsid w:val="7F1D72CA"/>
    <w:rsid w:val="7F1D76A1"/>
    <w:rsid w:val="7F206C9C"/>
    <w:rsid w:val="7F23099D"/>
    <w:rsid w:val="7F2D6A17"/>
    <w:rsid w:val="7F325AED"/>
    <w:rsid w:val="7F48617D"/>
    <w:rsid w:val="7F541897"/>
    <w:rsid w:val="7F5670C5"/>
    <w:rsid w:val="7F612CF9"/>
    <w:rsid w:val="7F673D47"/>
    <w:rsid w:val="7F674DB2"/>
    <w:rsid w:val="7F793D65"/>
    <w:rsid w:val="7F7C62BC"/>
    <w:rsid w:val="7F8D696F"/>
    <w:rsid w:val="7F9977A8"/>
    <w:rsid w:val="7F9C55A2"/>
    <w:rsid w:val="7F9E7758"/>
    <w:rsid w:val="7FA22DEB"/>
    <w:rsid w:val="7FA60A82"/>
    <w:rsid w:val="7FB30445"/>
    <w:rsid w:val="7FB75E1A"/>
    <w:rsid w:val="7FB81199"/>
    <w:rsid w:val="7FB92698"/>
    <w:rsid w:val="7FBA1360"/>
    <w:rsid w:val="7FC6640B"/>
    <w:rsid w:val="7FCC33D5"/>
    <w:rsid w:val="7FCC73DB"/>
    <w:rsid w:val="7FCE0DDA"/>
    <w:rsid w:val="7FCE527B"/>
    <w:rsid w:val="7FD94BDD"/>
    <w:rsid w:val="7FDB410B"/>
    <w:rsid w:val="7FE05BAC"/>
    <w:rsid w:val="7FEA3651"/>
    <w:rsid w:val="7FF40ECB"/>
    <w:rsid w:val="7FF414BC"/>
    <w:rsid w:val="7FF53E7F"/>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leftChars="0" w:firstLine="200"/>
    </w:pPr>
    <w:rPr>
      <w:rFonts w:ascii="宋体" w:hAnsi="宋体"/>
    </w:rPr>
  </w:style>
  <w:style w:type="paragraph" w:styleId="3">
    <w:name w:val="Body Text Indent"/>
    <w:basedOn w:val="1"/>
    <w:next w:val="4"/>
    <w:qFormat/>
    <w:uiPriority w:val="0"/>
    <w:pPr>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qFormat/>
    <w:uiPriority w:val="0"/>
    <w:pPr>
      <w:spacing w:line="360" w:lineRule="auto"/>
      <w:ind w:firstLine="420"/>
    </w:pPr>
    <w:rPr>
      <w:rFonts w:ascii="宋体"/>
    </w:rPr>
  </w:style>
  <w:style w:type="paragraph" w:styleId="7">
    <w:name w:val="annotation text"/>
    <w:basedOn w:val="1"/>
    <w:qFormat/>
    <w:uiPriority w:val="0"/>
  </w:style>
  <w:style w:type="paragraph" w:styleId="8">
    <w:name w:val="Body Text"/>
    <w:basedOn w:val="1"/>
    <w:next w:val="9"/>
    <w:qFormat/>
    <w:uiPriority w:val="0"/>
    <w:pPr>
      <w:spacing w:after="120"/>
    </w:pPr>
    <w:rPr>
      <w:kern w:val="0"/>
      <w:sz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Plain Text"/>
    <w:basedOn w:val="1"/>
    <w:qFormat/>
    <w:uiPriority w:val="0"/>
    <w:rPr>
      <w:rFonts w:ascii="宋体" w:hAnsi="Courier New"/>
      <w:kern w:val="0"/>
      <w:sz w:val="20"/>
      <w:szCs w:val="21"/>
    </w:r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5">
    <w:name w:val="Body Text Indent 3"/>
    <w:basedOn w:val="1"/>
    <w:qFormat/>
    <w:uiPriority w:val="0"/>
    <w:pPr>
      <w:ind w:firstLine="426"/>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样式4"/>
    <w:basedOn w:val="1"/>
    <w:qFormat/>
    <w:uiPriority w:val="0"/>
    <w:pPr>
      <w:numPr>
        <w:ilvl w:val="3"/>
        <w:numId w:val="1"/>
      </w:numPr>
    </w:pPr>
  </w:style>
  <w:style w:type="paragraph" w:customStyle="1" w:styleId="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列出段落11"/>
    <w:basedOn w:val="1"/>
    <w:qFormat/>
    <w:uiPriority w:val="99"/>
    <w:pPr>
      <w:ind w:firstLine="420" w:firstLineChars="200"/>
    </w:pPr>
  </w:style>
  <w:style w:type="paragraph" w:customStyle="1" w:styleId="30">
    <w:name w:val="样式 小四 段前: 5 磅 段后: 5 磅 首行缩进:  2 字符"/>
    <w:basedOn w:val="1"/>
    <w:qFormat/>
    <w:uiPriority w:val="0"/>
    <w:pPr>
      <w:spacing w:line="400" w:lineRule="exact"/>
    </w:pPr>
    <w:rPr>
      <w:rFonts w:ascii="宋体" w:hAnsi="宋体"/>
      <w:sz w:val="24"/>
    </w:rPr>
  </w:style>
  <w:style w:type="character" w:customStyle="1" w:styleId="31">
    <w:name w:val="font21"/>
    <w:basedOn w:val="17"/>
    <w:qFormat/>
    <w:uiPriority w:val="0"/>
    <w:rPr>
      <w:rFonts w:hint="default" w:ascii="Times New Roman" w:hAnsi="Times New Roman" w:cs="Times New Roman"/>
      <w:color w:val="000000"/>
      <w:sz w:val="24"/>
      <w:szCs w:val="24"/>
      <w:u w:val="none"/>
    </w:rPr>
  </w:style>
  <w:style w:type="character" w:customStyle="1" w:styleId="32">
    <w:name w:val="font11"/>
    <w:basedOn w:val="17"/>
    <w:qFormat/>
    <w:uiPriority w:val="0"/>
    <w:rPr>
      <w:rFonts w:hint="eastAsia" w:ascii="宋体" w:hAnsi="宋体" w:eastAsia="宋体" w:cs="宋体"/>
      <w:color w:val="000000"/>
      <w:sz w:val="24"/>
      <w:szCs w:val="24"/>
      <w:u w:val="none"/>
    </w:rPr>
  </w:style>
  <w:style w:type="character" w:customStyle="1" w:styleId="33">
    <w:name w:val="font01"/>
    <w:basedOn w:val="17"/>
    <w:qFormat/>
    <w:uiPriority w:val="0"/>
    <w:rPr>
      <w:rFonts w:ascii="Arial" w:hAnsi="Arial" w:cs="Arial"/>
      <w:color w:val="000000"/>
      <w:sz w:val="24"/>
      <w:szCs w:val="24"/>
      <w:u w:val="none"/>
    </w:rPr>
  </w:style>
  <w:style w:type="paragraph" w:styleId="34">
    <w:name w:val="List Paragraph"/>
    <w:basedOn w:val="1"/>
    <w:qFormat/>
    <w:uiPriority w:val="1"/>
    <w:pPr>
      <w:ind w:left="673" w:firstLine="420"/>
    </w:p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17"/>
    <w:link w:val="11"/>
    <w:qFormat/>
    <w:uiPriority w:val="0"/>
    <w:rPr>
      <w:kern w:val="2"/>
      <w:sz w:val="18"/>
      <w:szCs w:val="18"/>
    </w:rPr>
  </w:style>
  <w:style w:type="paragraph" w:customStyle="1" w:styleId="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43856</Words>
  <Characters>48540</Characters>
  <Lines>441</Lines>
  <Paragraphs>124</Paragraphs>
  <TotalTime>10</TotalTime>
  <ScaleCrop>false</ScaleCrop>
  <LinksUpToDate>false</LinksUpToDate>
  <CharactersWithSpaces>51560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2019-10-16T03:40:00Z</cp:lastPrinted>
  <dcterms:modified xsi:type="dcterms:W3CDTF">2020-12-31T04:26:19Z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