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uto"/>
        <w:jc w:val="both"/>
        <w:rPr>
          <w:sz w:val="24"/>
          <w:szCs w:val="24"/>
        </w:rPr>
      </w:pPr>
      <w:r>
        <w:drawing>
          <wp:anchor distT="0" distB="0" distL="114300" distR="114300" simplePos="0" relativeHeight="251659264" behindDoc="0" locked="0" layoutInCell="1" allowOverlap="1">
            <wp:simplePos x="0" y="0"/>
            <wp:positionH relativeFrom="column">
              <wp:posOffset>40005</wp:posOffset>
            </wp:positionH>
            <wp:positionV relativeFrom="paragraph">
              <wp:posOffset>65405</wp:posOffset>
            </wp:positionV>
            <wp:extent cx="687070" cy="687070"/>
            <wp:effectExtent l="0" t="0" r="17780" b="17780"/>
            <wp:wrapNone/>
            <wp:docPr id="3"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G)UZM~ZR38RTGTRZ6@0(3"/>
                    <pic:cNvPicPr>
                      <a:picLocks noChangeAspect="1"/>
                    </pic:cNvPicPr>
                  </pic:nvPicPr>
                  <pic:blipFill>
                    <a:blip r:embed="rId12"/>
                    <a:stretch>
                      <a:fillRect/>
                    </a:stretch>
                  </pic:blipFill>
                  <pic:spPr>
                    <a:xfrm>
                      <a:off x="0" y="0"/>
                      <a:ext cx="687070" cy="687070"/>
                    </a:xfrm>
                    <a:prstGeom prst="rect">
                      <a:avLst/>
                    </a:prstGeom>
                    <a:noFill/>
                    <a:ln>
                      <a:noFill/>
                    </a:ln>
                  </pic:spPr>
                </pic:pic>
              </a:graphicData>
            </a:graphic>
          </wp:anchor>
        </w:drawing>
      </w:r>
    </w:p>
    <w:p>
      <w:pPr>
        <w:spacing w:line="420" w:lineRule="auto"/>
        <w:jc w:val="center"/>
        <w:rPr>
          <w:sz w:val="24"/>
          <w:szCs w:val="24"/>
        </w:rPr>
      </w:pPr>
    </w:p>
    <w:p>
      <w:pPr>
        <w:spacing w:beforeLines="50"/>
        <w:jc w:val="center"/>
        <w:rPr>
          <w:rFonts w:ascii="微软雅黑" w:hAnsi="微软雅黑" w:cs="微软雅黑"/>
          <w:b/>
          <w:bCs/>
          <w:sz w:val="84"/>
          <w:szCs w:val="84"/>
        </w:rPr>
      </w:pPr>
    </w:p>
    <w:p>
      <w:pPr>
        <w:spacing w:beforeLines="50"/>
        <w:jc w:val="center"/>
        <w:rPr>
          <w:rFonts w:ascii="微软雅黑" w:hAnsi="微软雅黑" w:cs="微软雅黑"/>
          <w:b/>
          <w:bCs/>
          <w:sz w:val="52"/>
          <w:szCs w:val="52"/>
        </w:rPr>
      </w:pPr>
      <w:r>
        <w:rPr>
          <w:rFonts w:hint="eastAsia" w:ascii="微软雅黑" w:hAnsi="微软雅黑" w:cs="微软雅黑"/>
          <w:b/>
          <w:bCs/>
          <w:sz w:val="84"/>
          <w:szCs w:val="84"/>
        </w:rPr>
        <w:t>招  标  文  件</w:t>
      </w:r>
    </w:p>
    <w:p>
      <w:pPr>
        <w:spacing w:line="420" w:lineRule="auto"/>
        <w:rPr>
          <w:sz w:val="24"/>
          <w:szCs w:val="24"/>
        </w:rPr>
      </w:pPr>
    </w:p>
    <w:p>
      <w:pPr>
        <w:spacing w:line="360" w:lineRule="auto"/>
        <w:rPr>
          <w:rFonts w:ascii="黑体" w:hAnsi="华文中宋" w:eastAsia="黑体" w:cs="华文中宋"/>
          <w:b/>
          <w:sz w:val="30"/>
          <w:szCs w:val="30"/>
        </w:rPr>
      </w:pPr>
    </w:p>
    <w:p>
      <w:pPr>
        <w:spacing w:line="360" w:lineRule="auto"/>
        <w:rPr>
          <w:rFonts w:ascii="黑体" w:hAnsi="华文中宋" w:eastAsia="黑体" w:cs="华文中宋"/>
          <w:b/>
          <w:sz w:val="30"/>
          <w:szCs w:val="30"/>
        </w:rPr>
      </w:pP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采购方式：公开招标</w:t>
      </w: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采购类型：货物类</w:t>
      </w: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项目编号：GZBC21HG11004</w:t>
      </w:r>
    </w:p>
    <w:p>
      <w:pPr>
        <w:spacing w:line="360" w:lineRule="auto"/>
        <w:rPr>
          <w:rFonts w:ascii="黑体" w:hAnsi="黑体" w:eastAsia="黑体" w:cs="黑体"/>
          <w:b/>
          <w:sz w:val="30"/>
          <w:szCs w:val="30"/>
        </w:rPr>
      </w:pPr>
      <w:r>
        <w:rPr>
          <w:rFonts w:hint="eastAsia" w:ascii="黑体" w:hAnsi="华文中宋" w:eastAsia="黑体" w:cs="华文中宋"/>
          <w:b/>
          <w:sz w:val="30"/>
          <w:szCs w:val="30"/>
        </w:rPr>
        <w:t>项目名称</w:t>
      </w:r>
      <w:r>
        <w:rPr>
          <w:rFonts w:hint="eastAsia" w:ascii="黑体" w:hAnsi="黑体" w:eastAsia="黑体" w:cs="黑体"/>
          <w:b/>
          <w:sz w:val="30"/>
          <w:szCs w:val="30"/>
        </w:rPr>
        <w:t>：</w:t>
      </w:r>
      <w:r>
        <w:rPr>
          <w:rFonts w:hint="default" w:ascii="黑体" w:hAnsi="黑体" w:eastAsia="黑体" w:cs="黑体"/>
          <w:b/>
          <w:sz w:val="30"/>
          <w:szCs w:val="30"/>
        </w:rPr>
        <w:t>广州市增城自来水安装工程有限公司2021~2022年度远传水表采购项目</w:t>
      </w:r>
    </w:p>
    <w:p/>
    <w:p>
      <w:pPr>
        <w:spacing w:line="420" w:lineRule="auto"/>
        <w:rPr>
          <w:color w:val="3366FF"/>
          <w:sz w:val="24"/>
          <w:szCs w:val="24"/>
        </w:rPr>
      </w:pPr>
    </w:p>
    <w:p>
      <w:pPr>
        <w:spacing w:line="360" w:lineRule="auto"/>
        <w:jc w:val="center"/>
        <w:rPr>
          <w:rFonts w:ascii="黑体" w:eastAsia="黑体"/>
          <w:b/>
          <w:sz w:val="30"/>
          <w:szCs w:val="30"/>
        </w:rPr>
      </w:pPr>
      <w:r>
        <w:rPr>
          <w:rFonts w:hint="eastAsia" w:ascii="黑体" w:hAnsi="华文中宋" w:eastAsia="黑体" w:cs="华文中宋"/>
          <w:b/>
          <w:sz w:val="30"/>
          <w:szCs w:val="30"/>
        </w:rPr>
        <w:t>广州宝诚招标代理咨询有限公司</w:t>
      </w:r>
    </w:p>
    <w:p>
      <w:pPr>
        <w:spacing w:line="360" w:lineRule="auto"/>
        <w:jc w:val="center"/>
        <w:rPr>
          <w:rFonts w:ascii="黑体" w:eastAsia="黑体"/>
          <w:sz w:val="24"/>
          <w:szCs w:val="24"/>
        </w:rPr>
        <w:sectPr>
          <w:footerReference r:id="rId4" w:type="default"/>
          <w:pgSz w:w="11907" w:h="16840"/>
          <w:pgMar w:top="1247" w:right="1247" w:bottom="1247" w:left="1247" w:header="709" w:footer="728" w:gutter="0"/>
          <w:cols w:space="720" w:num="1"/>
        </w:sectPr>
      </w:pPr>
      <w:r>
        <w:rPr>
          <w:rFonts w:hint="eastAsia" w:ascii="黑体" w:hAnsi="华文中宋" w:eastAsia="黑体" w:cs="华文中宋"/>
          <w:b/>
          <w:sz w:val="30"/>
          <w:szCs w:val="30"/>
        </w:rPr>
        <w:t>2021年11月10日 编制</w:t>
      </w:r>
    </w:p>
    <w:p>
      <w:pPr>
        <w:spacing w:line="480" w:lineRule="auto"/>
        <w:jc w:val="center"/>
        <w:rPr>
          <w:rFonts w:eastAsia="黑体" w:cs="黑体"/>
          <w:b/>
          <w:bCs/>
          <w:sz w:val="32"/>
          <w:szCs w:val="32"/>
          <w:lang w:eastAsia="zh-TW"/>
        </w:rPr>
      </w:pPr>
      <w:r>
        <w:rPr>
          <w:rFonts w:hint="eastAsia" w:eastAsia="黑体" w:cs="黑体"/>
          <w:b/>
          <w:bCs/>
          <w:sz w:val="32"/>
          <w:szCs w:val="32"/>
          <w:lang w:eastAsia="zh-TW"/>
        </w:rPr>
        <w:t>目录</w:t>
      </w:r>
    </w:p>
    <w:p>
      <w:pPr>
        <w:pStyle w:val="15"/>
        <w:ind w:left="0" w:leftChars="0"/>
        <w:rPr>
          <w:rFonts w:ascii="Calibri" w:hAnsi="Calibri"/>
          <w:szCs w:val="22"/>
        </w:rPr>
      </w:pPr>
      <w:r>
        <w:rPr>
          <w:rFonts w:hint="eastAsia" w:ascii="宋体" w:hAnsi="宋体"/>
          <w:b/>
        </w:rPr>
        <w:fldChar w:fldCharType="begin"/>
      </w:r>
      <w:r>
        <w:rPr>
          <w:rStyle w:val="22"/>
          <w:rFonts w:hint="eastAsia" w:hAnsi="宋体"/>
          <w:b/>
        </w:rPr>
        <w:instrText xml:space="preserve"> TOC \o "1-1" \h \z \u </w:instrText>
      </w:r>
      <w:r>
        <w:rPr>
          <w:rFonts w:hint="eastAsia" w:ascii="宋体" w:hAnsi="宋体"/>
          <w:b/>
        </w:rPr>
        <w:fldChar w:fldCharType="separate"/>
      </w:r>
    </w:p>
    <w:p>
      <w:pPr>
        <w:pStyle w:val="15"/>
        <w:spacing w:line="480" w:lineRule="auto"/>
        <w:ind w:left="0" w:leftChars="0"/>
        <w:rPr>
          <w:rStyle w:val="22"/>
          <w:rFonts w:hAnsi="宋体"/>
        </w:rPr>
      </w:pPr>
      <w:r>
        <w:fldChar w:fldCharType="begin"/>
      </w:r>
      <w:r>
        <w:instrText xml:space="preserve"> HYPERLINK "file:///E:\\周澔阳\\宝诚招标项目\\番禺水务集团股份有限公司\\卧式中开离心泵设备采购项目\\（20170607）招标文件.doc" \l "_Toc453956662" </w:instrText>
      </w:r>
      <w:r>
        <w:fldChar w:fldCharType="separate"/>
      </w:r>
      <w:r>
        <w:rPr>
          <w:rStyle w:val="22"/>
          <w:rFonts w:hint="eastAsia" w:hAnsi="宋体" w:cs="华文中宋"/>
          <w:b/>
          <w:bCs/>
        </w:rPr>
        <w:t>第一章  投标邀请</w:t>
      </w:r>
      <w:r>
        <w:rPr>
          <w:rStyle w:val="22"/>
          <w:rFonts w:hint="eastAsia" w:hAnsi="宋体"/>
        </w:rPr>
        <w:tab/>
      </w:r>
      <w:r>
        <w:rPr>
          <w:rStyle w:val="22"/>
          <w:rFonts w:hint="eastAsia" w:hAnsi="宋体"/>
        </w:rPr>
        <w:t>3</w:t>
      </w:r>
      <w:r>
        <w:rPr>
          <w:rStyle w:val="22"/>
          <w:rFonts w:hint="eastAsia" w:hAnsi="宋体"/>
        </w:rPr>
        <w:fldChar w:fldCharType="end"/>
      </w:r>
    </w:p>
    <w:p>
      <w:pPr>
        <w:pStyle w:val="15"/>
        <w:spacing w:line="480" w:lineRule="auto"/>
        <w:ind w:left="0" w:leftChars="0"/>
        <w:rPr>
          <w:rStyle w:val="22"/>
          <w:rFonts w:hAnsi="宋体"/>
        </w:rPr>
      </w:pPr>
      <w:r>
        <w:rPr>
          <w:rStyle w:val="22"/>
          <w:rFonts w:hint="eastAsia" w:hAnsi="宋体"/>
          <w:b/>
        </w:rPr>
        <w:t>第二章  投标资料表</w:t>
      </w:r>
      <w:r>
        <w:rPr>
          <w:rStyle w:val="22"/>
          <w:rFonts w:hint="eastAsia" w:hAnsi="宋体"/>
        </w:rPr>
        <w:tab/>
      </w:r>
      <w:r>
        <w:rPr>
          <w:rStyle w:val="22"/>
          <w:rFonts w:hint="eastAsia" w:hAnsi="宋体"/>
        </w:rPr>
        <w:t>7</w:t>
      </w:r>
    </w:p>
    <w:p>
      <w:pPr>
        <w:pStyle w:val="15"/>
        <w:spacing w:line="480" w:lineRule="auto"/>
        <w:ind w:left="0" w:leftChars="0"/>
        <w:rPr>
          <w:szCs w:val="22"/>
        </w:rPr>
      </w:pPr>
      <w:r>
        <w:fldChar w:fldCharType="begin"/>
      </w:r>
      <w:r>
        <w:instrText xml:space="preserve"> HYPERLINK "file:///E:\\周澔阳\\宝诚招标项目\\番禺水务集团股份有限公司\\卧式中开离心泵设备采购项目\\（20170607）招标文件.doc" \l "_Toc453956663" </w:instrText>
      </w:r>
      <w:r>
        <w:fldChar w:fldCharType="separate"/>
      </w:r>
      <w:r>
        <w:rPr>
          <w:rStyle w:val="22"/>
          <w:rFonts w:hint="eastAsia" w:hAnsi="宋体" w:cs="华文中宋"/>
          <w:b/>
          <w:bCs/>
        </w:rPr>
        <w:t>第三章  用户需求书</w:t>
      </w:r>
      <w:r>
        <w:rPr>
          <w:rStyle w:val="22"/>
          <w:rFonts w:hint="eastAsia" w:hAnsi="宋体"/>
        </w:rPr>
        <w:tab/>
      </w:r>
      <w:r>
        <w:rPr>
          <w:rStyle w:val="22"/>
          <w:rFonts w:hint="eastAsia" w:hAnsi="宋体"/>
        </w:rPr>
        <w:t>1</w:t>
      </w:r>
      <w:r>
        <w:rPr>
          <w:rStyle w:val="22"/>
          <w:rFonts w:hint="eastAsia" w:hAnsi="宋体"/>
        </w:rPr>
        <w:fldChar w:fldCharType="end"/>
      </w:r>
      <w:r>
        <w:rPr>
          <w:rStyle w:val="22"/>
          <w:rFonts w:hint="eastAsia" w:hAnsi="宋体"/>
        </w:rPr>
        <w:t>0</w:t>
      </w:r>
    </w:p>
    <w:p>
      <w:pPr>
        <w:pStyle w:val="15"/>
        <w:spacing w:line="480" w:lineRule="auto"/>
        <w:ind w:left="0" w:leftChars="0"/>
        <w:rPr>
          <w:rFonts w:ascii="宋体" w:hAnsi="宋体"/>
          <w:szCs w:val="22"/>
        </w:rPr>
      </w:pPr>
      <w:r>
        <w:fldChar w:fldCharType="begin"/>
      </w:r>
      <w:r>
        <w:instrText xml:space="preserve"> HYPERLINK "file:///E:\\周澔阳\\宝诚招标项目\\番禺水务集团股份有限公司\\卧式中开离心泵设备采购项目\\（20170607）招标文件.doc" \l "_Toc453956664" </w:instrText>
      </w:r>
      <w:r>
        <w:fldChar w:fldCharType="separate"/>
      </w:r>
      <w:r>
        <w:rPr>
          <w:rStyle w:val="22"/>
          <w:rFonts w:hint="eastAsia" w:hAnsi="宋体" w:cs="华文中宋"/>
          <w:b/>
          <w:bCs/>
        </w:rPr>
        <w:t>第四章  评分体系与标准</w:t>
      </w:r>
      <w:r>
        <w:rPr>
          <w:rStyle w:val="22"/>
          <w:rFonts w:hint="eastAsia" w:hAnsi="宋体"/>
        </w:rPr>
        <w:tab/>
      </w:r>
      <w:r>
        <w:rPr>
          <w:rStyle w:val="22"/>
          <w:rFonts w:hint="eastAsia" w:hAnsi="宋体"/>
          <w:lang w:val="en-US" w:eastAsia="zh-CN"/>
        </w:rPr>
        <w:t>1</w:t>
      </w:r>
      <w:r>
        <w:rPr>
          <w:rStyle w:val="22"/>
          <w:rFonts w:hint="eastAsia" w:hAnsi="宋体"/>
        </w:rPr>
        <w:fldChar w:fldCharType="end"/>
      </w:r>
      <w:r>
        <w:rPr>
          <w:rStyle w:val="22"/>
          <w:rFonts w:hint="eastAsia" w:hAnsi="宋体"/>
        </w:rPr>
        <w:t>9</w:t>
      </w:r>
    </w:p>
    <w:p>
      <w:pPr>
        <w:pStyle w:val="15"/>
        <w:spacing w:line="480" w:lineRule="auto"/>
        <w:ind w:left="0" w:leftChars="0"/>
        <w:rPr>
          <w:rStyle w:val="22"/>
          <w:rFonts w:hint="eastAsia" w:hAnsi="宋体" w:eastAsia="宋体"/>
          <w:lang w:eastAsia="zh-CN"/>
        </w:rPr>
      </w:pPr>
      <w:r>
        <w:fldChar w:fldCharType="begin"/>
      </w:r>
      <w:r>
        <w:instrText xml:space="preserve"> HYPERLINK "file:///E:\\周澔阳\\宝诚招标项目\\番禺水务集团股份有限公司\\卧式中开离心泵设备采购项目\\（20170607）招标文件.doc" \l "_Toc453956666" </w:instrText>
      </w:r>
      <w:r>
        <w:fldChar w:fldCharType="separate"/>
      </w:r>
      <w:r>
        <w:rPr>
          <w:rStyle w:val="22"/>
          <w:rFonts w:hint="eastAsia" w:hAnsi="宋体" w:cs="华文中宋"/>
          <w:b/>
          <w:bCs/>
        </w:rPr>
        <w:t>第五章  投标文件格式</w:t>
      </w:r>
      <w:r>
        <w:rPr>
          <w:rStyle w:val="22"/>
          <w:rFonts w:hint="eastAsia" w:hAnsi="宋体"/>
        </w:rPr>
        <w:tab/>
      </w:r>
      <w:r>
        <w:rPr>
          <w:rStyle w:val="22"/>
          <w:rFonts w:hint="eastAsia" w:hAnsi="宋体"/>
        </w:rPr>
        <w:fldChar w:fldCharType="end"/>
      </w:r>
      <w:r>
        <w:rPr>
          <w:rStyle w:val="22"/>
          <w:rFonts w:hint="eastAsia" w:hAnsi="宋体"/>
          <w:lang w:val="en-US" w:eastAsia="zh-CN"/>
        </w:rPr>
        <w:t>24</w:t>
      </w:r>
    </w:p>
    <w:p>
      <w:pPr>
        <w:rPr>
          <w:rStyle w:val="22"/>
          <w:rFonts w:hint="default" w:ascii="Times New Roman" w:hAnsi="宋体" w:eastAsia="宋体" w:cs="华文中宋"/>
          <w:kern w:val="2"/>
          <w:sz w:val="21"/>
          <w:lang w:val="en-US" w:eastAsia="zh-CN"/>
        </w:rPr>
      </w:pPr>
      <w:r>
        <w:rPr>
          <w:rStyle w:val="22"/>
          <w:rFonts w:hint="eastAsia" w:ascii="Times New Roman" w:hAnsi="宋体" w:eastAsia="宋体" w:cs="华文中宋"/>
          <w:b/>
          <w:bCs/>
          <w:kern w:val="2"/>
          <w:sz w:val="21"/>
        </w:rPr>
        <w:t>第六章 投标人须知</w:t>
      </w:r>
      <w:r>
        <w:rPr>
          <w:rStyle w:val="22"/>
          <w:rFonts w:hint="eastAsia" w:ascii="Times New Roman" w:hAnsi="宋体" w:eastAsia="宋体" w:cs="华文中宋"/>
          <w:kern w:val="2"/>
          <w:sz w:val="21"/>
        </w:rPr>
        <w:t>.......................................................................................................................................</w:t>
      </w:r>
      <w:r>
        <w:rPr>
          <w:rStyle w:val="22"/>
          <w:rFonts w:hint="eastAsia" w:ascii="Times New Roman" w:hAnsi="宋体" w:eastAsia="宋体" w:cs="华文中宋"/>
          <w:kern w:val="2"/>
          <w:sz w:val="21"/>
          <w:lang w:val="en-US" w:eastAsia="zh-CN"/>
        </w:rPr>
        <w:t>45</w:t>
      </w:r>
    </w:p>
    <w:p>
      <w:pPr>
        <w:rPr>
          <w:rStyle w:val="22"/>
          <w:rFonts w:hint="eastAsia" w:ascii="Times New Roman" w:hAnsi="宋体" w:eastAsia="宋体" w:cs="华文中宋"/>
          <w:b/>
          <w:bCs/>
          <w:kern w:val="2"/>
          <w:sz w:val="21"/>
          <w:lang w:eastAsia="zh-CN"/>
        </w:rPr>
      </w:pPr>
      <w:r>
        <w:rPr>
          <w:rStyle w:val="22"/>
          <w:rFonts w:hint="eastAsia" w:ascii="Times New Roman" w:hAnsi="宋体" w:eastAsia="宋体" w:cs="华文中宋"/>
          <w:b/>
          <w:bCs/>
          <w:kern w:val="2"/>
          <w:sz w:val="21"/>
        </w:rPr>
        <w:t>第七章 合同专用条款</w:t>
      </w:r>
      <w:r>
        <w:rPr>
          <w:rStyle w:val="22"/>
          <w:rFonts w:hint="eastAsia" w:ascii="Times New Roman" w:hAnsi="宋体" w:eastAsia="宋体" w:cs="华文中宋"/>
          <w:kern w:val="2"/>
          <w:sz w:val="21"/>
        </w:rPr>
        <w:t>...................................................................................................................................</w:t>
      </w:r>
      <w:r>
        <w:rPr>
          <w:rStyle w:val="22"/>
          <w:rFonts w:hint="eastAsia" w:ascii="Times New Roman" w:hAnsi="宋体" w:eastAsia="宋体" w:cs="华文中宋"/>
          <w:kern w:val="2"/>
          <w:sz w:val="21"/>
          <w:lang w:val="en-US" w:eastAsia="zh-CN"/>
        </w:rPr>
        <w:t>59</w:t>
      </w:r>
    </w:p>
    <w:p>
      <w:pPr>
        <w:ind w:firstLine="422" w:firstLineChars="200"/>
        <w:rPr>
          <w:rStyle w:val="22"/>
          <w:rFonts w:ascii="Times New Roman" w:hAnsi="宋体" w:eastAsia="宋体" w:cs="华文中宋"/>
          <w:b/>
          <w:bCs/>
          <w:kern w:val="2"/>
          <w:sz w:val="21"/>
        </w:rPr>
      </w:pPr>
    </w:p>
    <w:p>
      <w:pPr>
        <w:spacing w:line="360" w:lineRule="auto"/>
        <w:jc w:val="center"/>
        <w:outlineLvl w:val="0"/>
        <w:rPr>
          <w:rFonts w:ascii="黑体" w:hAnsi="华文中宋" w:eastAsia="黑体" w:cs="华文中宋"/>
          <w:b/>
          <w:bCs/>
          <w:sz w:val="32"/>
          <w:szCs w:val="32"/>
        </w:rPr>
      </w:pPr>
      <w:r>
        <w:rPr>
          <w:rFonts w:hint="eastAsia" w:ascii="宋体" w:hAnsi="宋体"/>
          <w:b/>
        </w:rPr>
        <w:fldChar w:fldCharType="end"/>
      </w:r>
      <w:r>
        <w:rPr>
          <w:rFonts w:hint="eastAsia" w:ascii="宋体" w:hAnsi="宋体"/>
          <w:sz w:val="44"/>
        </w:rPr>
        <w:br w:type="page"/>
      </w:r>
      <w:bookmarkStart w:id="0" w:name="_Toc453957422"/>
      <w:bookmarkStart w:id="1" w:name="_Toc453956662"/>
      <w:r>
        <w:rPr>
          <w:rFonts w:hint="eastAsia" w:ascii="黑体" w:hAnsi="华文中宋" w:eastAsia="黑体" w:cs="华文中宋"/>
          <w:b/>
          <w:bCs/>
          <w:sz w:val="32"/>
          <w:szCs w:val="32"/>
        </w:rPr>
        <w:t>第一章  投标邀请</w:t>
      </w:r>
      <w:bookmarkEnd w:id="0"/>
      <w:bookmarkEnd w:id="1"/>
    </w:p>
    <w:p>
      <w:pPr>
        <w:spacing w:line="360" w:lineRule="auto"/>
        <w:ind w:firstLine="420" w:firstLineChars="200"/>
        <w:rPr>
          <w:rFonts w:ascii="宋体"/>
          <w:bCs/>
          <w:color w:val="000000"/>
          <w:sz w:val="21"/>
          <w:szCs w:val="21"/>
        </w:rPr>
      </w:pPr>
      <w:r>
        <w:rPr>
          <w:rFonts w:hint="eastAsia" w:ascii="宋体"/>
          <w:bCs/>
          <w:color w:val="000000"/>
          <w:sz w:val="21"/>
          <w:szCs w:val="21"/>
        </w:rPr>
        <w:t>广州宝诚招标代理咨询有限公司（以下简称”采购代理机构“）受</w:t>
      </w:r>
      <w:r>
        <w:rPr>
          <w:rFonts w:hint="eastAsia" w:ascii="宋体"/>
          <w:bCs/>
          <w:color w:val="FF0000"/>
          <w:sz w:val="21"/>
          <w:szCs w:val="21"/>
        </w:rPr>
        <w:t>广州市增城自来水安装工程有限公司</w:t>
      </w:r>
      <w:r>
        <w:rPr>
          <w:rFonts w:hint="eastAsia" w:ascii="宋体"/>
          <w:bCs/>
          <w:sz w:val="21"/>
          <w:szCs w:val="21"/>
        </w:rPr>
        <w:t>（</w:t>
      </w:r>
      <w:r>
        <w:rPr>
          <w:rFonts w:hint="eastAsia" w:ascii="宋体"/>
          <w:bCs/>
          <w:color w:val="000000"/>
          <w:sz w:val="21"/>
          <w:szCs w:val="21"/>
        </w:rPr>
        <w:t>以下简称”采购人“）委托，对</w:t>
      </w:r>
      <w:r>
        <w:rPr>
          <w:rFonts w:hint="default" w:ascii="微软雅黑" w:hAnsi="微软雅黑" w:cs="微软雅黑"/>
          <w:bCs/>
          <w:color w:val="FF0000"/>
          <w:sz w:val="21"/>
          <w:szCs w:val="21"/>
          <w:u w:val="single"/>
        </w:rPr>
        <w:t>广州市增城自来水安装工程有限公司2021~2022年度远传水表采购项目</w:t>
      </w:r>
      <w:r>
        <w:rPr>
          <w:rFonts w:hint="eastAsia" w:ascii="宋体"/>
          <w:bCs/>
          <w:color w:val="000000"/>
          <w:sz w:val="21"/>
          <w:szCs w:val="21"/>
        </w:rPr>
        <w:t>进行国内公开招标，详情请参见招标文件。现将该项目招标文件（GZBC21HG11004）进行公示，公示期为</w:t>
      </w:r>
      <w:r>
        <w:rPr>
          <w:rFonts w:hint="eastAsia" w:ascii="宋体"/>
          <w:bCs/>
          <w:color w:val="000000"/>
          <w:sz w:val="21"/>
          <w:szCs w:val="21"/>
          <w:highlight w:val="yellow"/>
        </w:rPr>
        <w:t>2021年</w:t>
      </w:r>
      <w:r>
        <w:rPr>
          <w:rFonts w:hint="eastAsia" w:ascii="宋体"/>
          <w:bCs/>
          <w:color w:val="000000"/>
          <w:sz w:val="21"/>
          <w:szCs w:val="21"/>
          <w:highlight w:val="yellow"/>
          <w:lang w:val="en-US" w:eastAsia="zh-CN"/>
        </w:rPr>
        <w:t>12</w:t>
      </w:r>
      <w:r>
        <w:rPr>
          <w:rFonts w:hint="eastAsia" w:ascii="宋体"/>
          <w:bCs/>
          <w:color w:val="000000"/>
          <w:sz w:val="21"/>
          <w:szCs w:val="21"/>
          <w:highlight w:val="yellow"/>
        </w:rPr>
        <w:t>月</w:t>
      </w:r>
      <w:r>
        <w:rPr>
          <w:rFonts w:hint="eastAsia" w:ascii="宋体"/>
          <w:bCs/>
          <w:color w:val="000000"/>
          <w:sz w:val="21"/>
          <w:szCs w:val="21"/>
          <w:highlight w:val="yellow"/>
          <w:lang w:val="en-US" w:eastAsia="zh-CN"/>
        </w:rPr>
        <w:t>8</w:t>
      </w:r>
      <w:r>
        <w:rPr>
          <w:rFonts w:hint="eastAsia" w:ascii="宋体"/>
          <w:bCs/>
          <w:color w:val="000000"/>
          <w:sz w:val="21"/>
          <w:szCs w:val="21"/>
          <w:highlight w:val="yellow"/>
        </w:rPr>
        <w:t>日至2021年</w:t>
      </w:r>
      <w:r>
        <w:rPr>
          <w:rFonts w:hint="eastAsia" w:ascii="宋体"/>
          <w:bCs/>
          <w:color w:val="000000"/>
          <w:sz w:val="21"/>
          <w:szCs w:val="21"/>
          <w:highlight w:val="yellow"/>
          <w:lang w:val="en-US" w:eastAsia="zh-CN"/>
        </w:rPr>
        <w:t>12</w:t>
      </w:r>
      <w:r>
        <w:rPr>
          <w:rFonts w:hint="eastAsia" w:ascii="宋体"/>
          <w:bCs/>
          <w:color w:val="000000"/>
          <w:sz w:val="21"/>
          <w:szCs w:val="21"/>
          <w:highlight w:val="yellow"/>
        </w:rPr>
        <w:t>月</w:t>
      </w:r>
      <w:r>
        <w:rPr>
          <w:rFonts w:hint="eastAsia" w:ascii="宋体"/>
          <w:bCs/>
          <w:color w:val="000000"/>
          <w:sz w:val="21"/>
          <w:szCs w:val="21"/>
          <w:highlight w:val="yellow"/>
          <w:lang w:val="en-US" w:eastAsia="zh-CN"/>
        </w:rPr>
        <w:t>27</w:t>
      </w:r>
      <w:r>
        <w:rPr>
          <w:rFonts w:hint="eastAsia" w:ascii="宋体"/>
          <w:bCs/>
          <w:color w:val="000000"/>
          <w:sz w:val="21"/>
          <w:szCs w:val="21"/>
          <w:highlight w:val="yellow"/>
        </w:rPr>
        <w:t>日</w:t>
      </w:r>
      <w:r>
        <w:rPr>
          <w:rFonts w:hint="eastAsia" w:ascii="宋体"/>
          <w:bCs/>
          <w:color w:val="000000"/>
          <w:sz w:val="21"/>
          <w:szCs w:val="21"/>
        </w:rPr>
        <w:t>。欢迎符合条件的合格投标人参加投标，有关事项如下：</w:t>
      </w:r>
    </w:p>
    <w:p>
      <w:pPr>
        <w:widowControl w:val="0"/>
        <w:numPr>
          <w:ilvl w:val="0"/>
          <w:numId w:val="1"/>
        </w:numPr>
        <w:autoSpaceDN w:val="0"/>
        <w:adjustRightInd/>
        <w:spacing w:after="0" w:line="360" w:lineRule="auto"/>
        <w:jc w:val="both"/>
        <w:rPr>
          <w:rFonts w:ascii="宋体"/>
          <w:bCs/>
          <w:sz w:val="21"/>
          <w:szCs w:val="21"/>
        </w:rPr>
      </w:pPr>
      <w:r>
        <w:rPr>
          <w:rFonts w:hint="eastAsia" w:ascii="宋体"/>
          <w:bCs/>
          <w:sz w:val="21"/>
          <w:szCs w:val="21"/>
        </w:rPr>
        <w:t>本项目投标</w:t>
      </w:r>
      <w:r>
        <w:rPr>
          <w:rFonts w:hint="eastAsia"/>
          <w:sz w:val="21"/>
          <w:szCs w:val="21"/>
        </w:rPr>
        <w:t>邀请</w:t>
      </w:r>
      <w:r>
        <w:rPr>
          <w:rFonts w:hint="eastAsia" w:ascii="宋体"/>
          <w:bCs/>
          <w:sz w:val="21"/>
          <w:szCs w:val="21"/>
        </w:rPr>
        <w:t>及招标文件中所有时间均为24小时制北京时间，所有货币单位均为人民币元，所使用的计量单位均以《</w:t>
      </w:r>
      <w:r>
        <w:rPr>
          <w:rFonts w:hint="eastAsia"/>
          <w:sz w:val="21"/>
          <w:szCs w:val="21"/>
        </w:rPr>
        <w:t>中华人民共和国法定计量单位</w:t>
      </w:r>
      <w:r>
        <w:rPr>
          <w:rFonts w:hint="eastAsia" w:ascii="宋体"/>
          <w:bCs/>
          <w:sz w:val="21"/>
          <w:szCs w:val="21"/>
        </w:rPr>
        <w:t>》为准（特别注明除外）。</w:t>
      </w:r>
    </w:p>
    <w:p>
      <w:pPr>
        <w:widowControl w:val="0"/>
        <w:numPr>
          <w:ilvl w:val="0"/>
          <w:numId w:val="1"/>
        </w:numPr>
        <w:autoSpaceDN w:val="0"/>
        <w:adjustRightInd/>
        <w:spacing w:after="0" w:line="360" w:lineRule="auto"/>
        <w:jc w:val="both"/>
        <w:rPr>
          <w:rFonts w:ascii="宋体"/>
          <w:bCs/>
          <w:color w:val="000000"/>
          <w:sz w:val="21"/>
          <w:szCs w:val="21"/>
        </w:rPr>
      </w:pPr>
      <w:r>
        <w:rPr>
          <w:rFonts w:hint="eastAsia" w:ascii="宋体"/>
          <w:bCs/>
          <w:sz w:val="21"/>
          <w:szCs w:val="21"/>
        </w:rPr>
        <w:t>项目</w:t>
      </w:r>
      <w:r>
        <w:rPr>
          <w:rFonts w:hint="eastAsia" w:ascii="宋体"/>
          <w:bCs/>
          <w:color w:val="000000"/>
          <w:sz w:val="21"/>
          <w:szCs w:val="21"/>
        </w:rPr>
        <w:t>编号：</w:t>
      </w:r>
      <w:r>
        <w:rPr>
          <w:rFonts w:hint="eastAsia" w:ascii="微软雅黑" w:hAnsi="微软雅黑" w:cs="微软雅黑"/>
          <w:bCs/>
          <w:color w:val="000000"/>
          <w:sz w:val="21"/>
          <w:szCs w:val="21"/>
        </w:rPr>
        <w:t>GZBC21HG11004</w:t>
      </w:r>
    </w:p>
    <w:p>
      <w:pPr>
        <w:widowControl w:val="0"/>
        <w:numPr>
          <w:ilvl w:val="0"/>
          <w:numId w:val="1"/>
        </w:numPr>
        <w:autoSpaceDN w:val="0"/>
        <w:adjustRightInd/>
        <w:spacing w:after="0" w:line="360" w:lineRule="auto"/>
        <w:jc w:val="both"/>
        <w:rPr>
          <w:rFonts w:ascii="宋体"/>
          <w:b/>
          <w:bCs/>
          <w:sz w:val="21"/>
          <w:szCs w:val="21"/>
        </w:rPr>
      </w:pPr>
      <w:r>
        <w:rPr>
          <w:rFonts w:hint="eastAsia" w:ascii="宋体"/>
          <w:bCs/>
          <w:color w:val="000000"/>
          <w:sz w:val="21"/>
          <w:szCs w:val="21"/>
        </w:rPr>
        <w:t>项目名</w:t>
      </w:r>
      <w:r>
        <w:rPr>
          <w:rFonts w:hint="eastAsia" w:ascii="宋体"/>
          <w:bCs/>
          <w:sz w:val="21"/>
          <w:szCs w:val="21"/>
        </w:rPr>
        <w:t>称：</w:t>
      </w:r>
      <w:r>
        <w:rPr>
          <w:rFonts w:hint="default" w:ascii="微软雅黑" w:hAnsi="微软雅黑" w:cs="微软雅黑"/>
          <w:bCs/>
          <w:sz w:val="21"/>
          <w:szCs w:val="21"/>
        </w:rPr>
        <w:t>广州市增城自来水安装工程有限公司2021~2022年度远传水表采购项目</w:t>
      </w:r>
    </w:p>
    <w:p>
      <w:pPr>
        <w:widowControl w:val="0"/>
        <w:numPr>
          <w:ilvl w:val="0"/>
          <w:numId w:val="1"/>
        </w:numPr>
        <w:autoSpaceDN w:val="0"/>
        <w:adjustRightInd/>
        <w:spacing w:after="0" w:line="360" w:lineRule="auto"/>
        <w:jc w:val="both"/>
        <w:rPr>
          <w:rFonts w:ascii="宋体"/>
          <w:b/>
          <w:bCs/>
          <w:sz w:val="21"/>
          <w:szCs w:val="21"/>
        </w:rPr>
      </w:pPr>
      <w:r>
        <w:rPr>
          <w:rFonts w:hint="eastAsia" w:ascii="宋体"/>
          <w:bCs/>
          <w:sz w:val="21"/>
          <w:szCs w:val="21"/>
        </w:rPr>
        <w:t>项目类型：货物类</w:t>
      </w:r>
    </w:p>
    <w:tbl>
      <w:tblPr>
        <w:tblStyle w:val="18"/>
        <w:tblpPr w:leftFromText="180" w:rightFromText="180" w:vertAnchor="text" w:horzAnchor="page" w:tblpX="1517" w:tblpY="516"/>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3787"/>
        <w:gridCol w:w="3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2652" w:type="dxa"/>
            <w:tcBorders>
              <w:top w:val="single" w:color="auto" w:sz="12" w:space="0"/>
              <w:left w:val="single" w:color="auto" w:sz="12"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项目内容</w:t>
            </w:r>
          </w:p>
        </w:tc>
        <w:tc>
          <w:tcPr>
            <w:tcW w:w="3787" w:type="dxa"/>
            <w:tcBorders>
              <w:top w:val="single" w:color="auto" w:sz="12" w:space="0"/>
              <w:left w:val="single" w:color="auto" w:sz="4"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供货期</w:t>
            </w:r>
          </w:p>
        </w:tc>
        <w:tc>
          <w:tcPr>
            <w:tcW w:w="3189" w:type="dxa"/>
            <w:tcBorders>
              <w:top w:val="single" w:color="auto" w:sz="12" w:space="0"/>
              <w:left w:val="single" w:color="auto" w:sz="4" w:space="0"/>
              <w:bottom w:val="double" w:color="auto" w:sz="4" w:space="0"/>
              <w:right w:val="single" w:color="auto" w:sz="12"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最高限价（人民币）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265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微软雅黑" w:hAnsi="微软雅黑" w:cs="微软雅黑"/>
                <w:sz w:val="21"/>
                <w:szCs w:val="21"/>
              </w:rPr>
            </w:pPr>
            <w:r>
              <w:rPr>
                <w:rFonts w:hint="eastAsia" w:ascii="微软雅黑" w:hAnsi="微软雅黑" w:cs="微软雅黑"/>
                <w:sz w:val="21"/>
                <w:szCs w:val="21"/>
              </w:rPr>
              <w:t>水表采购</w:t>
            </w:r>
          </w:p>
        </w:tc>
        <w:tc>
          <w:tcPr>
            <w:tcW w:w="3787"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微软雅黑" w:hAnsi="微软雅黑" w:cs="微软雅黑"/>
                <w:sz w:val="21"/>
                <w:szCs w:val="21"/>
              </w:rPr>
            </w:pPr>
            <w:r>
              <w:rPr>
                <w:rFonts w:hint="eastAsia" w:ascii="微软雅黑" w:hAnsi="微软雅黑" w:cs="微软雅黑"/>
                <w:sz w:val="21"/>
                <w:szCs w:val="21"/>
              </w:rPr>
              <w:t>自合同签订之日起一年。</w:t>
            </w:r>
            <w:r>
              <w:rPr>
                <w:rFonts w:hint="eastAsia" w:ascii="微软雅黑" w:hAnsi="微软雅黑" w:cs="微软雅黑"/>
                <w:bCs/>
                <w:sz w:val="21"/>
                <w:szCs w:val="21"/>
              </w:rPr>
              <w:t>供货期届满或累计货物结算总额达到合同总价后（先到为准），本合同自然终止。</w:t>
            </w:r>
          </w:p>
        </w:tc>
        <w:tc>
          <w:tcPr>
            <w:tcW w:w="3189" w:type="dxa"/>
            <w:tcBorders>
              <w:top w:val="single" w:color="auto" w:sz="4" w:space="0"/>
              <w:left w:val="single" w:color="auto" w:sz="4" w:space="0"/>
              <w:bottom w:val="single" w:color="auto" w:sz="12" w:space="0"/>
              <w:right w:val="single" w:color="auto" w:sz="12" w:space="0"/>
            </w:tcBorders>
            <w:vAlign w:val="center"/>
          </w:tcPr>
          <w:p>
            <w:pPr>
              <w:spacing w:line="360" w:lineRule="auto"/>
              <w:rPr>
                <w:rFonts w:eastAsia="仿宋_GB2312" w:cs="仿宋_GB2312"/>
                <w:b/>
                <w:bCs/>
                <w:sz w:val="24"/>
                <w:szCs w:val="24"/>
              </w:rPr>
            </w:pPr>
            <w:r>
              <w:rPr>
                <w:rFonts w:hint="eastAsia" w:ascii="微软雅黑" w:hAnsi="微软雅黑" w:cs="微软雅黑"/>
                <w:sz w:val="20"/>
                <w:szCs w:val="20"/>
              </w:rPr>
              <w:t>本项目总价限价为：</w:t>
            </w:r>
          </w:p>
          <w:p>
            <w:pPr>
              <w:spacing w:line="360" w:lineRule="auto"/>
              <w:rPr>
                <w:rFonts w:ascii="微软雅黑" w:hAnsi="微软雅黑" w:cs="微软雅黑"/>
                <w:sz w:val="20"/>
                <w:szCs w:val="20"/>
                <w:highlight w:val="none"/>
              </w:rPr>
            </w:pPr>
            <w:r>
              <w:rPr>
                <w:rFonts w:hint="eastAsia" w:ascii="微软雅黑" w:hAnsi="微软雅黑" w:cs="微软雅黑"/>
                <w:sz w:val="20"/>
                <w:szCs w:val="20"/>
              </w:rPr>
              <w:t>人</w:t>
            </w:r>
            <w:r>
              <w:rPr>
                <w:rFonts w:hint="eastAsia" w:ascii="微软雅黑" w:hAnsi="微软雅黑" w:cs="微软雅黑"/>
                <w:sz w:val="20"/>
                <w:szCs w:val="20"/>
                <w:highlight w:val="none"/>
              </w:rPr>
              <w:t>民币</w:t>
            </w:r>
            <w:r>
              <w:rPr>
                <w:rFonts w:hint="eastAsia" w:ascii="宋体" w:hAnsi="宋体" w:eastAsia="宋体" w:cs="宋体"/>
                <w:color w:val="000000" w:themeColor="text1"/>
                <w:highlight w:val="none"/>
                <w:lang w:eastAsia="zh-CN"/>
              </w:rPr>
              <w:t>13275561.8</w:t>
            </w:r>
            <w:r>
              <w:rPr>
                <w:rFonts w:hint="eastAsia" w:ascii="微软雅黑" w:hAnsi="微软雅黑" w:cs="微软雅黑"/>
                <w:sz w:val="20"/>
                <w:szCs w:val="20"/>
                <w:highlight w:val="none"/>
              </w:rPr>
              <w:t>元；</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其中：</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子包一总价限价：</w:t>
            </w:r>
            <w:r>
              <w:rPr>
                <w:rFonts w:hint="eastAsia" w:ascii="微软雅黑" w:hAnsi="微软雅黑" w:cs="微软雅黑"/>
                <w:sz w:val="20"/>
                <w:szCs w:val="20"/>
                <w:highlight w:val="none"/>
                <w:lang w:eastAsia="zh-CN"/>
              </w:rPr>
              <w:t>7965337.08</w:t>
            </w:r>
            <w:r>
              <w:rPr>
                <w:rFonts w:hint="eastAsia" w:ascii="微软雅黑" w:hAnsi="微软雅黑" w:cs="微软雅黑"/>
                <w:sz w:val="20"/>
                <w:szCs w:val="20"/>
                <w:highlight w:val="none"/>
              </w:rPr>
              <w:t>元；</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子包二总价限价：</w:t>
            </w:r>
            <w:r>
              <w:rPr>
                <w:rFonts w:hint="eastAsia" w:ascii="微软雅黑" w:hAnsi="微软雅黑" w:cs="微软雅黑"/>
                <w:sz w:val="20"/>
                <w:szCs w:val="20"/>
                <w:highlight w:val="none"/>
                <w:lang w:eastAsia="zh-CN"/>
              </w:rPr>
              <w:t>3317248.69</w:t>
            </w:r>
            <w:r>
              <w:rPr>
                <w:rFonts w:hint="eastAsia" w:ascii="微软雅黑" w:hAnsi="微软雅黑" w:cs="微软雅黑"/>
                <w:sz w:val="20"/>
                <w:szCs w:val="20"/>
                <w:highlight w:val="none"/>
              </w:rPr>
              <w:t>元；</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子包三总价限价：</w:t>
            </w:r>
            <w:r>
              <w:rPr>
                <w:rFonts w:hint="eastAsia" w:ascii="微软雅黑" w:hAnsi="微软雅黑" w:cs="微软雅黑"/>
                <w:sz w:val="20"/>
                <w:szCs w:val="20"/>
                <w:highlight w:val="none"/>
                <w:lang w:eastAsia="zh-CN"/>
              </w:rPr>
              <w:t>1992976.03</w:t>
            </w:r>
            <w:r>
              <w:rPr>
                <w:rFonts w:hint="eastAsia" w:ascii="微软雅黑" w:hAnsi="微软雅黑" w:cs="微软雅黑"/>
                <w:sz w:val="20"/>
                <w:szCs w:val="20"/>
                <w:highlight w:val="none"/>
              </w:rPr>
              <w:t>元；</w:t>
            </w:r>
          </w:p>
          <w:p>
            <w:pPr>
              <w:spacing w:line="360" w:lineRule="auto"/>
              <w:jc w:val="both"/>
              <w:rPr>
                <w:rFonts w:ascii="微软雅黑" w:hAnsi="微软雅黑" w:cs="微软雅黑"/>
                <w:sz w:val="21"/>
                <w:szCs w:val="21"/>
              </w:rPr>
            </w:pPr>
            <w:r>
              <w:rPr>
                <w:rFonts w:hint="eastAsia" w:ascii="微软雅黑" w:hAnsi="微软雅黑" w:cs="微软雅黑"/>
                <w:sz w:val="20"/>
                <w:szCs w:val="20"/>
              </w:rPr>
              <w:t>单价限价详见项目报价明细表。</w:t>
            </w:r>
          </w:p>
        </w:tc>
      </w:tr>
    </w:tbl>
    <w:p>
      <w:pPr>
        <w:widowControl w:val="0"/>
        <w:numPr>
          <w:ilvl w:val="0"/>
          <w:numId w:val="1"/>
        </w:numPr>
        <w:autoSpaceDN w:val="0"/>
        <w:adjustRightInd/>
        <w:spacing w:after="0" w:line="360" w:lineRule="auto"/>
        <w:jc w:val="both"/>
        <w:rPr>
          <w:rFonts w:ascii="微软雅黑" w:hAnsi="微软雅黑" w:cs="微软雅黑"/>
          <w:bCs/>
          <w:sz w:val="21"/>
          <w:szCs w:val="21"/>
        </w:rPr>
      </w:pPr>
      <w:r>
        <w:rPr>
          <w:rFonts w:hint="eastAsia" w:ascii="微软雅黑" w:hAnsi="微软雅黑" w:cs="微软雅黑"/>
          <w:bCs/>
          <w:sz w:val="21"/>
          <w:szCs w:val="21"/>
        </w:rPr>
        <w:t>项目情况一览表：</w:t>
      </w:r>
    </w:p>
    <w:p>
      <w:pPr>
        <w:spacing w:line="360" w:lineRule="auto"/>
        <w:ind w:firstLine="420" w:firstLineChars="200"/>
        <w:rPr>
          <w:rFonts w:ascii="微软雅黑" w:hAnsi="微软雅黑" w:cs="微软雅黑"/>
          <w:bCs/>
          <w:sz w:val="21"/>
          <w:szCs w:val="21"/>
          <w:u w:val="single"/>
        </w:rPr>
      </w:pPr>
      <w:r>
        <w:rPr>
          <w:rFonts w:hint="eastAsia" w:ascii="微软雅黑" w:hAnsi="微软雅黑" w:cs="微软雅黑"/>
          <w:bCs/>
          <w:sz w:val="21"/>
          <w:szCs w:val="21"/>
        </w:rPr>
        <w:t>备注：项目详细内容、要求及执行标准详见招标文件中的</w:t>
      </w:r>
      <w:r>
        <w:rPr>
          <w:rFonts w:hint="eastAsia" w:ascii="微软雅黑" w:hAnsi="微软雅黑" w:cs="微软雅黑"/>
          <w:bCs/>
          <w:sz w:val="21"/>
          <w:szCs w:val="21"/>
          <w:u w:val="single"/>
        </w:rPr>
        <w:t>“用户需求书”</w:t>
      </w:r>
      <w:r>
        <w:rPr>
          <w:rFonts w:hint="eastAsia" w:ascii="微软雅黑" w:hAnsi="微软雅黑" w:cs="微软雅黑"/>
          <w:bCs/>
          <w:sz w:val="21"/>
          <w:szCs w:val="21"/>
        </w:rPr>
        <w:t>。</w:t>
      </w:r>
    </w:p>
    <w:p>
      <w:pPr>
        <w:widowControl w:val="0"/>
        <w:numPr>
          <w:ilvl w:val="0"/>
          <w:numId w:val="1"/>
        </w:numPr>
        <w:tabs>
          <w:tab w:val="left" w:pos="5760"/>
        </w:tabs>
        <w:autoSpaceDN w:val="0"/>
        <w:adjustRightInd/>
        <w:spacing w:after="0" w:line="360" w:lineRule="auto"/>
        <w:jc w:val="both"/>
        <w:rPr>
          <w:rFonts w:ascii="微软雅黑" w:hAnsi="微软雅黑" w:cs="微软雅黑"/>
          <w:b/>
          <w:sz w:val="21"/>
          <w:szCs w:val="21"/>
        </w:rPr>
      </w:pPr>
      <w:r>
        <w:rPr>
          <w:rFonts w:hint="eastAsia" w:ascii="微软雅黑" w:hAnsi="微软雅黑" w:cs="微软雅黑"/>
          <w:b/>
          <w:bCs/>
          <w:sz w:val="21"/>
          <w:szCs w:val="21"/>
        </w:rPr>
        <w:t>合格投标人资格要求：</w:t>
      </w:r>
    </w:p>
    <w:p>
      <w:pPr>
        <w:widowControl w:val="0"/>
        <w:autoSpaceDN w:val="0"/>
        <w:adjustRightInd/>
        <w:spacing w:after="0" w:line="360" w:lineRule="auto"/>
        <w:jc w:val="both"/>
        <w:rPr>
          <w:rFonts w:ascii="微软雅黑" w:hAnsi="微软雅黑" w:cs="微软雅黑"/>
          <w:bCs/>
          <w:color w:val="0000FF"/>
          <w:sz w:val="20"/>
          <w:szCs w:val="20"/>
        </w:rPr>
      </w:pPr>
      <w:r>
        <w:rPr>
          <w:rFonts w:hint="eastAsia" w:ascii="微软雅黑" w:hAnsi="微软雅黑" w:cs="微软雅黑"/>
          <w:bCs/>
          <w:color w:val="0000FF"/>
          <w:sz w:val="20"/>
          <w:szCs w:val="20"/>
        </w:rPr>
        <w:t>6.1  投标人须为在中国境内注册并合法存续的法人或非法人组织。</w:t>
      </w:r>
    </w:p>
    <w:p>
      <w:pPr>
        <w:widowControl w:val="0"/>
        <w:autoSpaceDN w:val="0"/>
        <w:adjustRightInd/>
        <w:spacing w:after="0" w:line="360" w:lineRule="auto"/>
        <w:jc w:val="both"/>
        <w:rPr>
          <w:rFonts w:ascii="微软雅黑" w:hAnsi="微软雅黑" w:cs="微软雅黑"/>
          <w:color w:val="0000FF"/>
          <w:sz w:val="20"/>
          <w:szCs w:val="20"/>
        </w:rPr>
      </w:pPr>
      <w:r>
        <w:rPr>
          <w:rFonts w:hint="eastAsia" w:ascii="微软雅黑" w:hAnsi="微软雅黑" w:cs="微软雅黑"/>
          <w:bCs/>
          <w:color w:val="0000FF"/>
          <w:sz w:val="20"/>
          <w:szCs w:val="20"/>
        </w:rPr>
        <w:t xml:space="preserve">6.2  </w:t>
      </w:r>
      <w:r>
        <w:rPr>
          <w:rFonts w:hint="eastAsia" w:ascii="微软雅黑" w:hAnsi="微软雅黑" w:cs="微软雅黑"/>
          <w:color w:val="0000FF"/>
          <w:sz w:val="20"/>
          <w:szCs w:val="20"/>
          <w:lang w:val="hr-HR"/>
        </w:rPr>
        <w:t>投标人必须是所投货物的生产厂家，须提供相关制造资历（需提供证明文件）。</w:t>
      </w:r>
    </w:p>
    <w:p>
      <w:pPr>
        <w:widowControl w:val="0"/>
        <w:autoSpaceDN w:val="0"/>
        <w:adjustRightInd/>
        <w:spacing w:after="0" w:line="360" w:lineRule="auto"/>
        <w:jc w:val="both"/>
        <w:rPr>
          <w:rFonts w:ascii="微软雅黑" w:hAnsi="微软雅黑" w:cs="微软雅黑"/>
          <w:color w:val="0000FF"/>
          <w:sz w:val="20"/>
          <w:szCs w:val="20"/>
          <w:lang w:val="hr-HR"/>
        </w:rPr>
      </w:pPr>
      <w:r>
        <w:rPr>
          <w:rFonts w:hint="eastAsia" w:ascii="微软雅黑" w:hAnsi="微软雅黑" w:cs="微软雅黑"/>
          <w:color w:val="0000FF"/>
          <w:sz w:val="20"/>
          <w:szCs w:val="20"/>
        </w:rPr>
        <w:t xml:space="preserve">6.3  </w:t>
      </w:r>
      <w:r>
        <w:rPr>
          <w:rFonts w:hint="eastAsia" w:ascii="微软雅黑" w:hAnsi="微软雅黑" w:cs="微软雅黑"/>
          <w:color w:val="0000FF"/>
          <w:sz w:val="20"/>
          <w:szCs w:val="20"/>
          <w:lang w:val="hr-HR"/>
        </w:rPr>
        <w:t>投标人所投货物必须具有专门的研究、测试或检测等机构，提供相关证明文件。</w:t>
      </w:r>
    </w:p>
    <w:p>
      <w:pPr>
        <w:widowControl w:val="0"/>
        <w:autoSpaceDN w:val="0"/>
        <w:adjustRightInd/>
        <w:spacing w:after="0" w:line="360" w:lineRule="auto"/>
        <w:jc w:val="both"/>
        <w:rPr>
          <w:rFonts w:ascii="微软雅黑" w:hAnsi="微软雅黑" w:cs="微软雅黑"/>
          <w:color w:val="0000FF"/>
          <w:sz w:val="20"/>
          <w:szCs w:val="20"/>
        </w:rPr>
      </w:pPr>
      <w:r>
        <w:rPr>
          <w:rFonts w:hint="eastAsia" w:ascii="微软雅黑" w:hAnsi="微软雅黑" w:cs="微软雅黑"/>
          <w:color w:val="0000FF"/>
          <w:sz w:val="20"/>
          <w:szCs w:val="20"/>
        </w:rPr>
        <w:t>6.4  投标人所投远传水表须有基表和电子模块的生产能力，且所投远传水表的电子模块与基表必须为同一生产厂家，提供相关证明文件（提供远传水表的计量器具型式批准证书）；所投其他水表须有基表的生产能力，提供省级或以上质量监督部门颁发的计量器具型式批准证书。</w:t>
      </w:r>
    </w:p>
    <w:p>
      <w:pPr>
        <w:widowControl w:val="0"/>
        <w:autoSpaceDN w:val="0"/>
        <w:adjustRightInd/>
        <w:spacing w:after="0" w:line="360" w:lineRule="auto"/>
        <w:jc w:val="both"/>
        <w:rPr>
          <w:rFonts w:hint="eastAsia" w:ascii="微软雅黑" w:hAnsi="微软雅黑" w:cs="微软雅黑"/>
          <w:color w:val="0000FF"/>
          <w:sz w:val="20"/>
          <w:szCs w:val="20"/>
        </w:rPr>
      </w:pPr>
      <w:r>
        <w:rPr>
          <w:rFonts w:hint="eastAsia" w:ascii="微软雅黑" w:hAnsi="微软雅黑" w:cs="微软雅黑"/>
          <w:color w:val="0000FF"/>
          <w:sz w:val="20"/>
          <w:szCs w:val="20"/>
        </w:rPr>
        <w:t>6.5</w:t>
      </w:r>
      <w:r>
        <w:rPr>
          <w:rFonts w:hint="default" w:ascii="微软雅黑" w:hAnsi="微软雅黑" w:cs="微软雅黑"/>
          <w:color w:val="0000FF"/>
          <w:sz w:val="20"/>
          <w:szCs w:val="20"/>
        </w:rPr>
        <w:t xml:space="preserve"> </w:t>
      </w:r>
      <w:r>
        <w:rPr>
          <w:rFonts w:hint="eastAsia" w:ascii="微软雅黑" w:hAnsi="微软雅黑" w:cs="微软雅黑"/>
          <w:color w:val="0000FF"/>
          <w:sz w:val="20"/>
          <w:szCs w:val="20"/>
        </w:rPr>
        <w:t>投标人须持有省级或以上质量技术监督部门颁发的《中华人民共和国计量器具型式批准证书》，且本次采购的水表类型必须包括在许可范围内。</w:t>
      </w:r>
    </w:p>
    <w:p>
      <w:pPr>
        <w:widowControl w:val="0"/>
        <w:autoSpaceDN w:val="0"/>
        <w:adjustRightInd/>
        <w:spacing w:after="0" w:line="360" w:lineRule="auto"/>
        <w:jc w:val="both"/>
        <w:rPr>
          <w:rFonts w:ascii="微软雅黑" w:hAnsi="微软雅黑" w:cs="微软雅黑"/>
          <w:color w:val="0000FF"/>
          <w:sz w:val="21"/>
          <w:szCs w:val="21"/>
        </w:rPr>
      </w:pPr>
      <w:r>
        <w:rPr>
          <w:rFonts w:hint="default" w:ascii="微软雅黑" w:hAnsi="微软雅黑" w:cs="微软雅黑"/>
          <w:color w:val="0000FF"/>
          <w:sz w:val="20"/>
          <w:szCs w:val="20"/>
        </w:rPr>
        <w:t xml:space="preserve">6.6 </w:t>
      </w:r>
      <w:r>
        <w:rPr>
          <w:rFonts w:hint="eastAsia" w:ascii="微软雅黑" w:hAnsi="微软雅黑" w:cs="微软雅黑"/>
          <w:color w:val="0000FF"/>
          <w:sz w:val="21"/>
          <w:szCs w:val="21"/>
        </w:rPr>
        <w:t>投标人没有处于被责令停业或破产状态，且资产未被重组、接管和冻结，声明在经营活动及投标活动中三年内没有重大违法活动和涉嫌违规行为。</w:t>
      </w:r>
    </w:p>
    <w:p>
      <w:pPr>
        <w:widowControl w:val="0"/>
        <w:autoSpaceDN w:val="0"/>
        <w:adjustRightInd/>
        <w:spacing w:after="0" w:line="360" w:lineRule="auto"/>
        <w:jc w:val="both"/>
        <w:rPr>
          <w:rFonts w:ascii="微软雅黑" w:hAnsi="微软雅黑" w:cs="微软雅黑"/>
          <w:color w:val="0000FF"/>
          <w:sz w:val="20"/>
          <w:szCs w:val="20"/>
        </w:rPr>
      </w:pPr>
      <w:r>
        <w:rPr>
          <w:rFonts w:hint="eastAsia" w:ascii="微软雅黑" w:hAnsi="微软雅黑" w:cs="微软雅黑"/>
          <w:color w:val="0000FF"/>
          <w:sz w:val="20"/>
          <w:szCs w:val="20"/>
        </w:rPr>
        <w:t>6.</w:t>
      </w:r>
      <w:r>
        <w:rPr>
          <w:rFonts w:hint="default" w:ascii="微软雅黑" w:hAnsi="微软雅黑" w:cs="微软雅黑"/>
          <w:color w:val="0000FF"/>
          <w:sz w:val="20"/>
          <w:szCs w:val="20"/>
        </w:rPr>
        <w:t xml:space="preserve">7 </w:t>
      </w:r>
      <w:r>
        <w:rPr>
          <w:rFonts w:hint="eastAsia" w:ascii="微软雅黑" w:hAnsi="微软雅黑" w:cs="微软雅黑"/>
          <w:color w:val="0000FF"/>
          <w:sz w:val="20"/>
          <w:szCs w:val="20"/>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widowControl w:val="0"/>
        <w:autoSpaceDN w:val="0"/>
        <w:adjustRightInd/>
        <w:spacing w:after="0" w:line="360" w:lineRule="auto"/>
        <w:jc w:val="both"/>
        <w:rPr>
          <w:rFonts w:ascii="微软雅黑" w:hAnsi="微软雅黑" w:cs="微软雅黑"/>
          <w:color w:val="0000FF"/>
          <w:sz w:val="20"/>
          <w:szCs w:val="20"/>
        </w:rPr>
      </w:pPr>
      <w:r>
        <w:rPr>
          <w:rFonts w:hint="eastAsia" w:ascii="微软雅黑" w:hAnsi="微软雅黑" w:cs="微软雅黑"/>
          <w:color w:val="0000FF"/>
          <w:sz w:val="20"/>
          <w:szCs w:val="20"/>
        </w:rPr>
        <w:t>6.</w:t>
      </w:r>
      <w:r>
        <w:rPr>
          <w:rFonts w:hint="default" w:ascii="微软雅黑" w:hAnsi="微软雅黑" w:cs="微软雅黑"/>
          <w:color w:val="0000FF"/>
          <w:sz w:val="20"/>
          <w:szCs w:val="20"/>
        </w:rPr>
        <w:t>8</w:t>
      </w:r>
      <w:r>
        <w:rPr>
          <w:rFonts w:hint="eastAsia" w:ascii="微软雅黑" w:hAnsi="微软雅黑" w:cs="微软雅黑"/>
          <w:color w:val="0000FF"/>
          <w:sz w:val="20"/>
          <w:szCs w:val="20"/>
        </w:rPr>
        <w:t xml:space="preserve"> 《公平竞争承诺书》。</w:t>
      </w:r>
    </w:p>
    <w:p>
      <w:pPr>
        <w:widowControl w:val="0"/>
        <w:autoSpaceDN w:val="0"/>
        <w:adjustRightInd/>
        <w:spacing w:after="0" w:line="360" w:lineRule="auto"/>
        <w:jc w:val="both"/>
        <w:rPr>
          <w:rFonts w:ascii="微软雅黑" w:hAnsi="微软雅黑" w:cs="微软雅黑"/>
          <w:color w:val="0000FF"/>
          <w:sz w:val="20"/>
          <w:szCs w:val="20"/>
        </w:rPr>
      </w:pPr>
      <w:r>
        <w:rPr>
          <w:rFonts w:hint="eastAsia" w:ascii="微软雅黑" w:hAnsi="微软雅黑" w:cs="微软雅黑"/>
          <w:color w:val="0000FF"/>
          <w:sz w:val="20"/>
          <w:szCs w:val="20"/>
        </w:rPr>
        <w:t>6.</w:t>
      </w:r>
      <w:r>
        <w:rPr>
          <w:rFonts w:hint="default" w:ascii="微软雅黑" w:hAnsi="微软雅黑" w:cs="微软雅黑"/>
          <w:color w:val="0000FF"/>
          <w:sz w:val="20"/>
          <w:szCs w:val="20"/>
        </w:rPr>
        <w:t>9</w:t>
      </w:r>
      <w:r>
        <w:rPr>
          <w:rFonts w:hint="eastAsia" w:ascii="微软雅黑" w:hAnsi="微软雅黑" w:cs="微软雅黑"/>
          <w:color w:val="0000FF"/>
          <w:sz w:val="20"/>
          <w:szCs w:val="20"/>
        </w:rPr>
        <w:t xml:space="preserve">  本项目不接受联合体投标。</w:t>
      </w:r>
    </w:p>
    <w:p>
      <w:pPr>
        <w:widowControl w:val="0"/>
        <w:numPr>
          <w:ilvl w:val="0"/>
          <w:numId w:val="1"/>
        </w:numPr>
        <w:tabs>
          <w:tab w:val="left" w:pos="5760"/>
        </w:tabs>
        <w:autoSpaceDN w:val="0"/>
        <w:adjustRightInd/>
        <w:spacing w:after="0" w:line="360" w:lineRule="auto"/>
        <w:jc w:val="both"/>
        <w:rPr>
          <w:rFonts w:ascii="微软雅黑" w:hAnsi="微软雅黑" w:cs="微软雅黑"/>
          <w:sz w:val="21"/>
          <w:szCs w:val="21"/>
        </w:rPr>
      </w:pPr>
      <w:r>
        <w:rPr>
          <w:rFonts w:hint="eastAsia" w:ascii="微软雅黑" w:hAnsi="微软雅黑" w:cs="微软雅黑"/>
          <w:b/>
          <w:sz w:val="21"/>
          <w:szCs w:val="21"/>
        </w:rPr>
        <w:t>采购代理机构只接受办理报名及登记手续购买本招标文件的投标人的投标。</w:t>
      </w:r>
    </w:p>
    <w:p>
      <w:pPr>
        <w:widowControl w:val="0"/>
        <w:numPr>
          <w:ilvl w:val="0"/>
          <w:numId w:val="1"/>
        </w:numPr>
        <w:tabs>
          <w:tab w:val="left" w:pos="5760"/>
        </w:tabs>
        <w:autoSpaceDN w:val="0"/>
        <w:adjustRightInd/>
        <w:spacing w:after="0" w:line="360" w:lineRule="auto"/>
        <w:jc w:val="both"/>
        <w:rPr>
          <w:rFonts w:ascii="微软雅黑" w:hAnsi="微软雅黑" w:cs="微软雅黑"/>
          <w:sz w:val="21"/>
          <w:szCs w:val="21"/>
        </w:rPr>
      </w:pPr>
      <w:r>
        <w:rPr>
          <w:rFonts w:hint="eastAsia" w:ascii="微软雅黑" w:hAnsi="微软雅黑" w:cs="微软雅黑"/>
          <w:b/>
          <w:sz w:val="21"/>
          <w:szCs w:val="21"/>
        </w:rPr>
        <w:t>获取招标文件的时间、地点、方式及招标文件售价：</w:t>
      </w:r>
    </w:p>
    <w:p>
      <w:pPr>
        <w:widowControl w:val="0"/>
        <w:tabs>
          <w:tab w:val="left" w:pos="5760"/>
        </w:tabs>
        <w:autoSpaceDN w:val="0"/>
        <w:adjustRightInd/>
        <w:spacing w:after="0" w:line="360" w:lineRule="auto"/>
        <w:jc w:val="both"/>
        <w:rPr>
          <w:rFonts w:ascii="微软雅黑" w:hAnsi="微软雅黑" w:cs="微软雅黑"/>
          <w:sz w:val="21"/>
          <w:szCs w:val="21"/>
        </w:rPr>
      </w:pPr>
      <w:r>
        <w:rPr>
          <w:rFonts w:hint="eastAsia" w:ascii="微软雅黑" w:hAnsi="微软雅黑" w:cs="微软雅黑"/>
          <w:sz w:val="21"/>
          <w:szCs w:val="21"/>
        </w:rPr>
        <w:t>8.1  获取招标文件时间：</w:t>
      </w:r>
      <w:r>
        <w:rPr>
          <w:rFonts w:hint="eastAsia" w:ascii="微软雅黑" w:hAnsi="微软雅黑" w:cs="微软雅黑"/>
          <w:color w:val="000000"/>
          <w:sz w:val="21"/>
          <w:szCs w:val="21"/>
          <w:highlight w:val="yellow"/>
        </w:rPr>
        <w:t>2021年</w:t>
      </w:r>
      <w:r>
        <w:rPr>
          <w:rFonts w:hint="eastAsia" w:ascii="微软雅黑" w:hAnsi="微软雅黑" w:cs="微软雅黑"/>
          <w:color w:val="000000"/>
          <w:sz w:val="21"/>
          <w:szCs w:val="21"/>
          <w:highlight w:val="yellow"/>
          <w:lang w:val="en-US" w:eastAsia="zh-CN"/>
        </w:rPr>
        <w:t>12</w:t>
      </w:r>
      <w:r>
        <w:rPr>
          <w:rFonts w:hint="eastAsia" w:ascii="微软雅黑" w:hAnsi="微软雅黑" w:cs="微软雅黑"/>
          <w:color w:val="000000"/>
          <w:sz w:val="21"/>
          <w:szCs w:val="21"/>
          <w:highlight w:val="yellow"/>
        </w:rPr>
        <w:t>月</w:t>
      </w:r>
      <w:r>
        <w:rPr>
          <w:rFonts w:hint="eastAsia" w:ascii="微软雅黑" w:hAnsi="微软雅黑" w:cs="微软雅黑"/>
          <w:color w:val="000000"/>
          <w:sz w:val="21"/>
          <w:szCs w:val="21"/>
          <w:highlight w:val="yellow"/>
          <w:lang w:val="en-US" w:eastAsia="zh-CN"/>
        </w:rPr>
        <w:t>9</w:t>
      </w:r>
      <w:r>
        <w:rPr>
          <w:rFonts w:hint="eastAsia" w:ascii="微软雅黑" w:hAnsi="微软雅黑" w:cs="微软雅黑"/>
          <w:color w:val="000000"/>
          <w:sz w:val="21"/>
          <w:szCs w:val="21"/>
          <w:highlight w:val="yellow"/>
        </w:rPr>
        <w:t>日至2021年</w:t>
      </w:r>
      <w:r>
        <w:rPr>
          <w:rFonts w:hint="eastAsia" w:ascii="微软雅黑" w:hAnsi="微软雅黑" w:cs="微软雅黑"/>
          <w:color w:val="000000"/>
          <w:sz w:val="21"/>
          <w:szCs w:val="21"/>
          <w:highlight w:val="yellow"/>
          <w:lang w:val="en-US" w:eastAsia="zh-CN"/>
        </w:rPr>
        <w:t>12</w:t>
      </w:r>
      <w:r>
        <w:rPr>
          <w:rFonts w:hint="eastAsia" w:ascii="微软雅黑" w:hAnsi="微软雅黑" w:cs="微软雅黑"/>
          <w:color w:val="000000"/>
          <w:sz w:val="21"/>
          <w:szCs w:val="21"/>
          <w:highlight w:val="yellow"/>
        </w:rPr>
        <w:t>月</w:t>
      </w:r>
      <w:r>
        <w:rPr>
          <w:rFonts w:hint="eastAsia" w:ascii="微软雅黑" w:hAnsi="微软雅黑" w:cs="微软雅黑"/>
          <w:color w:val="000000"/>
          <w:sz w:val="21"/>
          <w:szCs w:val="21"/>
          <w:highlight w:val="yellow"/>
          <w:lang w:val="en-US" w:eastAsia="zh-CN"/>
        </w:rPr>
        <w:t>15</w:t>
      </w:r>
      <w:r>
        <w:rPr>
          <w:rFonts w:hint="eastAsia" w:ascii="微软雅黑" w:hAnsi="微软雅黑" w:cs="微软雅黑"/>
          <w:color w:val="000000"/>
          <w:sz w:val="21"/>
          <w:szCs w:val="21"/>
          <w:highlight w:val="yellow"/>
        </w:rPr>
        <w:t>日</w:t>
      </w:r>
      <w:r>
        <w:rPr>
          <w:rFonts w:hint="eastAsia" w:ascii="微软雅黑" w:hAnsi="微软雅黑" w:cs="微软雅黑"/>
          <w:sz w:val="21"/>
          <w:szCs w:val="21"/>
        </w:rPr>
        <w:t>，工作日9：00-12：00，14：00-17：00（法定节假日除外）</w:t>
      </w:r>
    </w:p>
    <w:p>
      <w:pPr>
        <w:widowControl w:val="0"/>
        <w:tabs>
          <w:tab w:val="left" w:pos="5760"/>
        </w:tabs>
        <w:autoSpaceDN w:val="0"/>
        <w:adjustRightInd/>
        <w:spacing w:after="0" w:line="360" w:lineRule="auto"/>
        <w:jc w:val="both"/>
        <w:rPr>
          <w:rFonts w:ascii="微软雅黑" w:hAnsi="微软雅黑" w:cs="微软雅黑"/>
          <w:sz w:val="21"/>
          <w:szCs w:val="21"/>
        </w:rPr>
      </w:pPr>
      <w:r>
        <w:rPr>
          <w:rFonts w:hint="eastAsia" w:ascii="微软雅黑" w:hAnsi="微软雅黑" w:cs="微软雅黑"/>
          <w:sz w:val="21"/>
          <w:szCs w:val="21"/>
        </w:rPr>
        <w:t>8.2  获取招标文件地点：广州市番禺区南村镇敏捷上城国际一期2栋1806。</w:t>
      </w:r>
    </w:p>
    <w:p>
      <w:pPr>
        <w:adjustRightInd/>
        <w:spacing w:line="360" w:lineRule="auto"/>
        <w:jc w:val="both"/>
        <w:rPr>
          <w:rFonts w:ascii="微软雅黑" w:hAnsi="微软雅黑" w:cs="微软雅黑"/>
          <w:sz w:val="21"/>
          <w:szCs w:val="21"/>
        </w:rPr>
      </w:pPr>
      <w:r>
        <w:rPr>
          <w:rFonts w:hint="eastAsia" w:ascii="微软雅黑" w:hAnsi="微软雅黑" w:cs="微软雅黑"/>
          <w:sz w:val="21"/>
          <w:szCs w:val="21"/>
        </w:rPr>
        <w:t>8.3  获取招标文件方式：</w:t>
      </w:r>
      <w:r>
        <w:rPr>
          <w:rFonts w:hint="eastAsia" w:ascii="微软雅黑" w:hAnsi="微软雅黑" w:cs="微软雅黑"/>
          <w:b/>
          <w:bCs/>
          <w:sz w:val="21"/>
          <w:szCs w:val="21"/>
        </w:rPr>
        <w:t>（投标人凭以下资料加盖单位公章购买招标文件）</w:t>
      </w:r>
    </w:p>
    <w:p>
      <w:pPr>
        <w:widowControl w:val="0"/>
        <w:autoSpaceDN w:val="0"/>
        <w:adjustRightInd/>
        <w:spacing w:after="0" w:line="360" w:lineRule="auto"/>
        <w:jc w:val="both"/>
        <w:rPr>
          <w:rFonts w:ascii="微软雅黑" w:hAnsi="微软雅黑" w:cs="微软雅黑"/>
          <w:bCs/>
          <w:color w:val="FF0000"/>
          <w:sz w:val="21"/>
          <w:szCs w:val="21"/>
        </w:rPr>
      </w:pPr>
      <w:r>
        <w:rPr>
          <w:rFonts w:hint="eastAsia" w:asciiTheme="minorEastAsia" w:hAnsiTheme="minorEastAsia"/>
          <w:color w:val="FF0000"/>
          <w:sz w:val="20"/>
          <w:szCs w:val="20"/>
        </w:rPr>
        <w:t>营业执照、组织机构代码证、税务登记证的复印件（已实行“三证合一”的单位，只须提供新版营业执照即可）</w:t>
      </w:r>
    </w:p>
    <w:p>
      <w:pPr>
        <w:adjustRightInd/>
        <w:spacing w:line="360" w:lineRule="auto"/>
        <w:jc w:val="both"/>
        <w:rPr>
          <w:rFonts w:ascii="微软雅黑" w:hAnsi="微软雅黑" w:cs="微软雅黑"/>
          <w:sz w:val="21"/>
          <w:szCs w:val="21"/>
        </w:rPr>
      </w:pPr>
      <w:r>
        <w:rPr>
          <w:rFonts w:hint="eastAsia" w:ascii="微软雅黑" w:hAnsi="微软雅黑" w:cs="微软雅黑"/>
          <w:sz w:val="21"/>
          <w:szCs w:val="21"/>
        </w:rPr>
        <w:t>8.4   购买招标文件经办人，需提供：</w:t>
      </w:r>
    </w:p>
    <w:p>
      <w:pPr>
        <w:adjustRightInd/>
        <w:spacing w:line="360" w:lineRule="auto"/>
        <w:jc w:val="both"/>
        <w:rPr>
          <w:rFonts w:ascii="微软雅黑" w:hAnsi="微软雅黑" w:cs="微软雅黑"/>
          <w:sz w:val="21"/>
          <w:szCs w:val="21"/>
        </w:rPr>
      </w:pPr>
      <w:r>
        <w:rPr>
          <w:rFonts w:hint="eastAsia" w:ascii="微软雅黑" w:hAnsi="微软雅黑" w:cs="微软雅黑"/>
          <w:sz w:val="21"/>
          <w:szCs w:val="21"/>
        </w:rPr>
        <w:t>经办人如是法定代表人，需提供法定代表人证明书及法定代表人身份证复印件；</w:t>
      </w:r>
    </w:p>
    <w:p>
      <w:pPr>
        <w:adjustRightInd/>
        <w:spacing w:line="360" w:lineRule="auto"/>
        <w:jc w:val="both"/>
        <w:rPr>
          <w:rFonts w:ascii="微软雅黑" w:hAnsi="微软雅黑" w:cs="微软雅黑"/>
          <w:sz w:val="21"/>
          <w:szCs w:val="21"/>
        </w:rPr>
      </w:pPr>
      <w:r>
        <w:rPr>
          <w:rFonts w:hint="eastAsia" w:ascii="微软雅黑" w:hAnsi="微软雅黑" w:cs="微软雅黑"/>
          <w:sz w:val="21"/>
          <w:szCs w:val="21"/>
        </w:rPr>
        <w:t>经办人如是投标人授权代表，需提供法定代表人授权委托书及授权代表身份证复印件；</w:t>
      </w:r>
    </w:p>
    <w:p>
      <w:pPr>
        <w:tabs>
          <w:tab w:val="left" w:pos="1440"/>
        </w:tabs>
        <w:spacing w:line="360" w:lineRule="auto"/>
        <w:rPr>
          <w:rFonts w:ascii="微软雅黑" w:hAnsi="微软雅黑" w:cs="微软雅黑"/>
          <w:b/>
          <w:sz w:val="21"/>
          <w:szCs w:val="21"/>
        </w:rPr>
      </w:pPr>
      <w:r>
        <w:rPr>
          <w:rFonts w:hint="eastAsia" w:ascii="微软雅黑" w:hAnsi="微软雅黑" w:cs="微软雅黑"/>
          <w:b/>
          <w:sz w:val="21"/>
          <w:szCs w:val="21"/>
        </w:rPr>
        <w:t>备注：1、以上资料参与正式投标时须放入投标文件中。</w:t>
      </w:r>
    </w:p>
    <w:p>
      <w:pPr>
        <w:tabs>
          <w:tab w:val="left" w:pos="1440"/>
        </w:tabs>
        <w:spacing w:line="360" w:lineRule="auto"/>
        <w:ind w:firstLine="630" w:firstLineChars="300"/>
      </w:pPr>
      <w:r>
        <w:rPr>
          <w:rFonts w:hint="eastAsia" w:ascii="微软雅黑" w:hAnsi="微软雅黑" w:cs="微软雅黑"/>
          <w:b/>
          <w:color w:val="FF0000"/>
          <w:sz w:val="21"/>
          <w:szCs w:val="21"/>
        </w:rPr>
        <w:t>2、已办理报名并成功购买招标文件的投标人参加投标的，不代表通过资格、符合性评审。</w:t>
      </w:r>
    </w:p>
    <w:p>
      <w:pPr>
        <w:tabs>
          <w:tab w:val="left" w:pos="1440"/>
        </w:tabs>
        <w:spacing w:line="360" w:lineRule="auto"/>
        <w:rPr>
          <w:rFonts w:ascii="微软雅黑" w:hAnsi="微软雅黑" w:cs="微软雅黑"/>
          <w:b/>
          <w:sz w:val="21"/>
          <w:szCs w:val="21"/>
        </w:rPr>
      </w:pPr>
      <w:r>
        <w:rPr>
          <w:rFonts w:hint="eastAsia" w:ascii="微软雅黑" w:hAnsi="微软雅黑" w:cs="微软雅黑"/>
          <w:b/>
          <w:sz w:val="21"/>
          <w:szCs w:val="21"/>
        </w:rPr>
        <w:t>为了提高效率，投标人可先下载“招标文件发售登记表（</w:t>
      </w:r>
      <w:r>
        <w:fldChar w:fldCharType="begin"/>
      </w:r>
      <w:r>
        <w:instrText xml:space="preserve"> HYPERLINK "http://www.baochengdaili.com/downs.asp?ID=23" </w:instrText>
      </w:r>
      <w:r>
        <w:fldChar w:fldCharType="separate"/>
      </w:r>
      <w:r>
        <w:rPr>
          <w:rStyle w:val="22"/>
          <w:rFonts w:hint="eastAsia" w:ascii="微软雅黑" w:hAnsi="微软雅黑" w:cs="微软雅黑"/>
          <w:b/>
          <w:sz w:val="21"/>
          <w:szCs w:val="21"/>
        </w:rPr>
        <w:t>点击打开</w:t>
      </w:r>
      <w:r>
        <w:rPr>
          <w:rStyle w:val="22"/>
          <w:rFonts w:hint="eastAsia" w:ascii="微软雅黑" w:hAnsi="微软雅黑" w:cs="微软雅黑"/>
          <w:b/>
          <w:sz w:val="21"/>
          <w:szCs w:val="21"/>
        </w:rPr>
        <w:fldChar w:fldCharType="end"/>
      </w:r>
      <w:r>
        <w:rPr>
          <w:rFonts w:hint="eastAsia" w:ascii="微软雅黑" w:hAnsi="微软雅黑" w:cs="微软雅黑"/>
          <w:b/>
          <w:sz w:val="21"/>
          <w:szCs w:val="21"/>
        </w:rPr>
        <w:t>）”，填写后打印并与以上资料一并携带购买招标文件。</w:t>
      </w:r>
    </w:p>
    <w:p>
      <w:pPr>
        <w:adjustRightInd/>
        <w:spacing w:line="360" w:lineRule="auto"/>
        <w:jc w:val="both"/>
        <w:rPr>
          <w:rFonts w:ascii="微软雅黑" w:hAnsi="微软雅黑" w:cs="微软雅黑"/>
          <w:bCs/>
          <w:sz w:val="21"/>
          <w:szCs w:val="21"/>
        </w:rPr>
      </w:pPr>
      <w:r>
        <w:rPr>
          <w:rFonts w:hint="eastAsia" w:ascii="微软雅黑" w:hAnsi="微软雅黑" w:cs="微软雅黑"/>
          <w:sz w:val="21"/>
          <w:szCs w:val="21"/>
        </w:rPr>
        <w:t>投标人购买招标文件需按要求提供以上资料并经审查，只接受通过以上方式正式获取招标文件</w:t>
      </w:r>
      <w:r>
        <w:rPr>
          <w:rFonts w:hint="eastAsia" w:ascii="微软雅黑" w:hAnsi="微软雅黑" w:cs="微软雅黑"/>
          <w:bCs/>
          <w:sz w:val="21"/>
          <w:szCs w:val="21"/>
        </w:rPr>
        <w:t>的投标人的投标。</w:t>
      </w:r>
    </w:p>
    <w:p>
      <w:pPr>
        <w:adjustRightInd/>
        <w:spacing w:line="360" w:lineRule="auto"/>
        <w:jc w:val="both"/>
        <w:rPr>
          <w:rFonts w:ascii="微软雅黑" w:hAnsi="微软雅黑" w:cs="微软雅黑"/>
          <w:sz w:val="21"/>
          <w:szCs w:val="21"/>
        </w:rPr>
      </w:pPr>
      <w:r>
        <w:rPr>
          <w:rFonts w:hint="eastAsia" w:ascii="微软雅黑" w:hAnsi="微软雅黑" w:cs="微软雅黑"/>
          <w:sz w:val="21"/>
          <w:szCs w:val="21"/>
        </w:rPr>
        <w:t>招标文件售价：招标文件每份人民币500.00元整，售后不退。（如需邮寄另加人民币50元特快专递费，售后不退。在任何情况下代理机构对邮寄过程中发生的迟交或遗失都不承担责任）。</w:t>
      </w:r>
    </w:p>
    <w:p>
      <w:pPr>
        <w:pStyle w:val="23"/>
        <w:numPr>
          <w:ilvl w:val="0"/>
          <w:numId w:val="2"/>
        </w:numPr>
        <w:snapToGrid w:val="0"/>
        <w:spacing w:line="360" w:lineRule="auto"/>
        <w:ind w:firstLineChars="0"/>
        <w:jc w:val="both"/>
        <w:rPr>
          <w:rFonts w:ascii="微软雅黑" w:hAnsi="微软雅黑" w:eastAsia="微软雅黑" w:cs="微软雅黑"/>
          <w:b/>
          <w:bCs/>
          <w:color w:val="FF0000"/>
          <w:sz w:val="21"/>
          <w:szCs w:val="21"/>
          <w:lang w:eastAsia="zh-CN"/>
        </w:rPr>
      </w:pPr>
      <w:r>
        <w:rPr>
          <w:rFonts w:hint="eastAsia" w:ascii="微软雅黑" w:hAnsi="微软雅黑" w:eastAsia="微软雅黑" w:cs="微软雅黑"/>
          <w:b/>
          <w:bCs/>
          <w:sz w:val="21"/>
          <w:szCs w:val="21"/>
          <w:lang w:eastAsia="zh-CN"/>
        </w:rPr>
        <w:t>投标、开标时间及地点：</w:t>
      </w:r>
    </w:p>
    <w:p>
      <w:pPr>
        <w:adjustRightInd/>
        <w:spacing w:line="360" w:lineRule="auto"/>
        <w:jc w:val="both"/>
        <w:rPr>
          <w:rFonts w:ascii="微软雅黑" w:hAnsi="微软雅黑" w:cs="微软雅黑"/>
          <w:sz w:val="21"/>
          <w:szCs w:val="21"/>
          <w:highlight w:val="yellow"/>
        </w:rPr>
      </w:pPr>
      <w:r>
        <w:rPr>
          <w:rFonts w:hint="eastAsia" w:ascii="微软雅黑" w:hAnsi="微软雅黑" w:cs="微软雅黑"/>
          <w:sz w:val="21"/>
          <w:szCs w:val="21"/>
        </w:rPr>
        <w:t>9.1 投标文件递交时间：</w:t>
      </w:r>
      <w:r>
        <w:rPr>
          <w:rFonts w:hint="eastAsia" w:ascii="微软雅黑" w:hAnsi="微软雅黑" w:cs="微软雅黑"/>
          <w:color w:val="000000"/>
          <w:sz w:val="21"/>
          <w:szCs w:val="21"/>
          <w:highlight w:val="yellow"/>
        </w:rPr>
        <w:t>2021年</w:t>
      </w:r>
      <w:r>
        <w:rPr>
          <w:rFonts w:hint="eastAsia" w:ascii="微软雅黑" w:hAnsi="微软雅黑" w:cs="微软雅黑"/>
          <w:color w:val="000000"/>
          <w:sz w:val="21"/>
          <w:szCs w:val="21"/>
          <w:highlight w:val="yellow"/>
          <w:lang w:val="en-US" w:eastAsia="zh-CN"/>
        </w:rPr>
        <w:t>12</w:t>
      </w:r>
      <w:r>
        <w:rPr>
          <w:rFonts w:hint="eastAsia" w:ascii="微软雅黑" w:hAnsi="微软雅黑" w:cs="微软雅黑"/>
          <w:sz w:val="21"/>
          <w:szCs w:val="21"/>
          <w:highlight w:val="yellow"/>
        </w:rPr>
        <w:t>月</w:t>
      </w:r>
      <w:r>
        <w:rPr>
          <w:rFonts w:hint="eastAsia" w:ascii="微软雅黑" w:hAnsi="微软雅黑" w:cs="微软雅黑"/>
          <w:sz w:val="21"/>
          <w:szCs w:val="21"/>
          <w:highlight w:val="yellow"/>
          <w:lang w:val="en-US" w:eastAsia="zh-CN"/>
        </w:rPr>
        <w:t>28</w:t>
      </w:r>
      <w:r>
        <w:rPr>
          <w:rFonts w:hint="eastAsia" w:ascii="微软雅黑" w:hAnsi="微软雅黑" w:cs="微软雅黑"/>
          <w:sz w:val="21"/>
          <w:szCs w:val="21"/>
          <w:highlight w:val="yellow"/>
        </w:rPr>
        <w:t>日9：30-10:00</w:t>
      </w:r>
    </w:p>
    <w:p>
      <w:pPr>
        <w:adjustRightInd/>
        <w:spacing w:line="360" w:lineRule="auto"/>
        <w:jc w:val="both"/>
        <w:rPr>
          <w:rFonts w:ascii="微软雅黑" w:hAnsi="微软雅黑" w:cs="微软雅黑"/>
          <w:sz w:val="21"/>
          <w:szCs w:val="21"/>
        </w:rPr>
      </w:pPr>
      <w:r>
        <w:rPr>
          <w:rFonts w:hint="eastAsia" w:ascii="微软雅黑" w:hAnsi="微软雅黑" w:cs="微软雅黑"/>
          <w:sz w:val="21"/>
          <w:szCs w:val="21"/>
        </w:rPr>
        <w:t>9.2 投标截止及开标时间：</w:t>
      </w:r>
      <w:r>
        <w:rPr>
          <w:rFonts w:hint="eastAsia" w:ascii="微软雅黑" w:hAnsi="微软雅黑" w:cs="微软雅黑"/>
          <w:sz w:val="21"/>
          <w:szCs w:val="21"/>
          <w:highlight w:val="yellow"/>
        </w:rPr>
        <w:t>2021年</w:t>
      </w:r>
      <w:r>
        <w:rPr>
          <w:rFonts w:hint="eastAsia" w:ascii="微软雅黑" w:hAnsi="微软雅黑" w:cs="微软雅黑"/>
          <w:sz w:val="21"/>
          <w:szCs w:val="21"/>
          <w:highlight w:val="yellow"/>
          <w:lang w:val="en-US" w:eastAsia="zh-CN"/>
        </w:rPr>
        <w:t>12</w:t>
      </w:r>
      <w:r>
        <w:rPr>
          <w:rFonts w:hint="eastAsia" w:ascii="微软雅黑" w:hAnsi="微软雅黑" w:cs="微软雅黑"/>
          <w:sz w:val="21"/>
          <w:szCs w:val="21"/>
          <w:highlight w:val="yellow"/>
        </w:rPr>
        <w:t>月</w:t>
      </w:r>
      <w:r>
        <w:rPr>
          <w:rFonts w:hint="eastAsia" w:ascii="微软雅黑" w:hAnsi="微软雅黑" w:cs="微软雅黑"/>
          <w:sz w:val="21"/>
          <w:szCs w:val="21"/>
          <w:highlight w:val="yellow"/>
          <w:lang w:val="en-US" w:eastAsia="zh-CN"/>
        </w:rPr>
        <w:t>28</w:t>
      </w:r>
      <w:r>
        <w:rPr>
          <w:rFonts w:hint="eastAsia" w:ascii="微软雅黑" w:hAnsi="微软雅黑" w:cs="微软雅黑"/>
          <w:sz w:val="21"/>
          <w:szCs w:val="21"/>
          <w:highlight w:val="yellow"/>
        </w:rPr>
        <w:t>日10:00</w:t>
      </w:r>
    </w:p>
    <w:p>
      <w:pPr>
        <w:adjustRightInd/>
        <w:spacing w:line="360" w:lineRule="auto"/>
        <w:jc w:val="both"/>
        <w:rPr>
          <w:rFonts w:ascii="微软雅黑" w:hAnsi="微软雅黑" w:cs="微软雅黑"/>
          <w:b/>
          <w:sz w:val="21"/>
          <w:szCs w:val="21"/>
        </w:rPr>
      </w:pPr>
      <w:r>
        <w:rPr>
          <w:rFonts w:hint="eastAsia" w:ascii="微软雅黑" w:hAnsi="微软雅黑" w:cs="微软雅黑"/>
          <w:b/>
          <w:sz w:val="21"/>
          <w:szCs w:val="21"/>
        </w:rPr>
        <w:t>9.3 投标文件递交及开标地点：</w:t>
      </w:r>
      <w:r>
        <w:rPr>
          <w:rFonts w:hint="eastAsia" w:ascii="宋体" w:hAnsi="宋体"/>
          <w:b/>
          <w:bCs/>
          <w:szCs w:val="21"/>
        </w:rPr>
        <w:t>广州市番禺区南村镇海顺路66号（建设银行背后）二栋17A，1806房（又称：敏捷上城国际1期2栋1806）</w:t>
      </w:r>
    </w:p>
    <w:p>
      <w:pPr>
        <w:adjustRightInd/>
        <w:spacing w:line="360" w:lineRule="auto"/>
        <w:jc w:val="both"/>
        <w:rPr>
          <w:rFonts w:ascii="微软雅黑" w:hAnsi="微软雅黑" w:cs="微软雅黑"/>
          <w:b/>
          <w:bCs/>
          <w:color w:val="000000"/>
          <w:sz w:val="21"/>
          <w:szCs w:val="21"/>
        </w:rPr>
      </w:pPr>
      <w:r>
        <w:rPr>
          <w:rFonts w:hint="eastAsia" w:ascii="微软雅黑" w:hAnsi="微软雅黑" w:cs="微软雅黑"/>
          <w:b/>
          <w:bCs/>
          <w:color w:val="000000"/>
          <w:sz w:val="21"/>
          <w:szCs w:val="21"/>
        </w:rPr>
        <w:t>10 本项目相关公告在以下媒体发布：</w:t>
      </w:r>
    </w:p>
    <w:p>
      <w:pPr>
        <w:adjustRightInd/>
        <w:spacing w:line="360" w:lineRule="auto"/>
        <w:jc w:val="both"/>
        <w:rPr>
          <w:rFonts w:ascii="微软雅黑" w:hAnsi="微软雅黑" w:cs="微软雅黑"/>
          <w:bCs/>
          <w:color w:val="000000"/>
          <w:sz w:val="21"/>
          <w:szCs w:val="21"/>
        </w:rPr>
      </w:pPr>
      <w:r>
        <w:rPr>
          <w:rFonts w:hint="eastAsia" w:ascii="微软雅黑" w:hAnsi="微软雅黑" w:cs="微软雅黑"/>
          <w:bCs/>
          <w:color w:val="000000"/>
          <w:sz w:val="21"/>
          <w:szCs w:val="21"/>
        </w:rPr>
        <w:t>10.1法定媒体：中国采购与招标网（http://www.chinabidding.com.cn/）</w:t>
      </w:r>
      <w:r>
        <w:rPr>
          <w:rFonts w:hint="eastAsia" w:ascii="微软雅黑" w:hAnsi="微软雅黑" w:cs="微软雅黑"/>
          <w:bCs/>
          <w:sz w:val="21"/>
          <w:szCs w:val="21"/>
        </w:rPr>
        <w:t>。</w:t>
      </w:r>
      <w:r>
        <w:rPr>
          <w:rFonts w:hint="eastAsia" w:ascii="微软雅黑" w:hAnsi="微软雅黑" w:cs="微软雅黑"/>
          <w:bCs/>
          <w:color w:val="000000"/>
          <w:sz w:val="21"/>
          <w:szCs w:val="21"/>
        </w:rPr>
        <w:t>相关公告在法定媒体上公布之日即视为有效送达，不再另行通知。</w:t>
      </w:r>
    </w:p>
    <w:p>
      <w:pPr>
        <w:adjustRightInd/>
        <w:spacing w:line="360" w:lineRule="auto"/>
        <w:jc w:val="both"/>
        <w:rPr>
          <w:rFonts w:ascii="微软雅黑" w:hAnsi="微软雅黑" w:cs="微软雅黑"/>
          <w:bCs/>
          <w:color w:val="000000"/>
          <w:sz w:val="21"/>
          <w:szCs w:val="21"/>
        </w:rPr>
      </w:pPr>
      <w:r>
        <w:rPr>
          <w:rFonts w:hint="eastAsia" w:ascii="微软雅黑" w:hAnsi="微软雅黑" w:cs="微软雅黑"/>
          <w:bCs/>
          <w:color w:val="000000"/>
          <w:sz w:val="21"/>
          <w:szCs w:val="21"/>
        </w:rPr>
        <w:t>10.2 补充媒体：采购代理机构网站（http://baochengdaili.com）上公布。</w:t>
      </w:r>
    </w:p>
    <w:p>
      <w:pPr>
        <w:adjustRightInd/>
        <w:spacing w:line="360" w:lineRule="auto"/>
        <w:jc w:val="both"/>
        <w:rPr>
          <w:rFonts w:ascii="微软雅黑" w:hAnsi="微软雅黑" w:cs="微软雅黑"/>
          <w:color w:val="000000"/>
          <w:sz w:val="21"/>
          <w:szCs w:val="21"/>
        </w:rPr>
      </w:pPr>
      <w:r>
        <w:rPr>
          <w:rFonts w:hint="eastAsia" w:ascii="微软雅黑" w:hAnsi="微软雅黑" w:cs="微软雅黑"/>
          <w:color w:val="000000"/>
          <w:sz w:val="21"/>
          <w:szCs w:val="21"/>
        </w:rPr>
        <w:t>11 投标人认为招标文件的内容损害其权益的，可以在公示期间或者自期满之日起七个工作日内以书面形式（加盖单位公章，电话咨询或传真或电邮形式无效）向采购人或者我司提出质疑，质疑书应包括的内容：具体的质疑事项、事实依据及相关确凿的证明材料、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pPr>
        <w:spacing w:line="360" w:lineRule="auto"/>
        <w:rPr>
          <w:rFonts w:ascii="微软雅黑" w:hAnsi="微软雅黑" w:cs="微软雅黑"/>
          <w:bCs/>
          <w:sz w:val="21"/>
          <w:szCs w:val="21"/>
        </w:rPr>
      </w:pPr>
      <w:r>
        <w:rPr>
          <w:rFonts w:hint="eastAsia" w:ascii="微软雅黑" w:hAnsi="微软雅黑" w:cs="微软雅黑"/>
          <w:color w:val="000000"/>
          <w:sz w:val="21"/>
          <w:szCs w:val="21"/>
        </w:rPr>
        <w:t>采购人名称：</w:t>
      </w:r>
      <w:r>
        <w:rPr>
          <w:rFonts w:hint="eastAsia" w:ascii="微软雅黑" w:hAnsi="微软雅黑" w:cs="微软雅黑"/>
          <w:bCs/>
          <w:sz w:val="21"/>
          <w:szCs w:val="21"/>
        </w:rPr>
        <w:t>广州市增城自来水安装工程有限公司</w:t>
      </w:r>
    </w:p>
    <w:p>
      <w:pPr>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采购代理机构：广州宝诚招标代理咨询有限公司</w:t>
      </w:r>
    </w:p>
    <w:p>
      <w:pPr>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地址：广州市番禺区南村镇敏捷上城国际一期2栋1806</w:t>
      </w:r>
    </w:p>
    <w:p>
      <w:pPr>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联系人：梁先生</w:t>
      </w:r>
    </w:p>
    <w:p>
      <w:pPr>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联系方式：</w:t>
      </w:r>
      <w:r>
        <w:rPr>
          <w:rFonts w:hint="eastAsia" w:ascii="微软雅黑" w:hAnsi="微软雅黑" w:cs="微软雅黑"/>
          <w:sz w:val="21"/>
          <w:szCs w:val="21"/>
        </w:rPr>
        <w:t>020-37887429</w:t>
      </w:r>
    </w:p>
    <w:p>
      <w:pPr>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邮政编码：511442</w:t>
      </w:r>
    </w:p>
    <w:p>
      <w:pPr>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电邮：GZBCZB@163.com</w:t>
      </w:r>
    </w:p>
    <w:p>
      <w:pPr>
        <w:spacing w:line="360" w:lineRule="auto"/>
        <w:rPr>
          <w:rFonts w:ascii="微软雅黑" w:hAnsi="微软雅黑" w:cs="微软雅黑"/>
          <w:b/>
          <w:bCs/>
          <w:sz w:val="21"/>
          <w:szCs w:val="21"/>
        </w:rPr>
      </w:pPr>
      <w:r>
        <w:rPr>
          <w:rFonts w:hint="eastAsia" w:ascii="微软雅黑" w:hAnsi="微软雅黑" w:cs="微软雅黑"/>
          <w:color w:val="000000"/>
          <w:sz w:val="21"/>
          <w:szCs w:val="21"/>
        </w:rPr>
        <w:t>网址：</w:t>
      </w:r>
      <w:r>
        <w:fldChar w:fldCharType="begin"/>
      </w:r>
      <w:r>
        <w:instrText xml:space="preserve"> HYPERLINK "http://www.chinapsp.cn" </w:instrText>
      </w:r>
      <w:r>
        <w:fldChar w:fldCharType="separate"/>
      </w:r>
      <w:r>
        <w:rPr>
          <w:rStyle w:val="22"/>
          <w:rFonts w:hint="eastAsia" w:ascii="微软雅黑" w:hAnsi="微软雅黑" w:cs="微软雅黑"/>
          <w:color w:val="000000"/>
          <w:sz w:val="21"/>
          <w:szCs w:val="21"/>
        </w:rPr>
        <w:t>http://baochengdaili.com</w:t>
      </w:r>
      <w:r>
        <w:rPr>
          <w:rStyle w:val="22"/>
          <w:rFonts w:hint="eastAsia" w:ascii="微软雅黑" w:hAnsi="微软雅黑" w:cs="微软雅黑"/>
          <w:color w:val="000000"/>
          <w:sz w:val="21"/>
          <w:szCs w:val="21"/>
        </w:rPr>
        <w:fldChar w:fldCharType="end"/>
      </w:r>
    </w:p>
    <w:p>
      <w:pPr>
        <w:spacing w:line="360" w:lineRule="auto"/>
        <w:ind w:firstLine="315" w:firstLineChars="98"/>
        <w:jc w:val="center"/>
        <w:rPr>
          <w:rFonts w:ascii="黑体" w:hAnsi="华文中宋" w:eastAsia="黑体" w:cs="华文中宋"/>
          <w:b/>
          <w:bCs/>
          <w:sz w:val="32"/>
          <w:szCs w:val="32"/>
        </w:rPr>
      </w:pPr>
    </w:p>
    <w:p>
      <w:pPr>
        <w:spacing w:line="360" w:lineRule="auto"/>
        <w:ind w:firstLine="315" w:firstLineChars="98"/>
        <w:jc w:val="center"/>
        <w:rPr>
          <w:rFonts w:ascii="黑体" w:hAnsi="华文中宋" w:eastAsia="黑体" w:cs="华文中宋"/>
          <w:b/>
          <w:bCs/>
          <w:sz w:val="32"/>
          <w:szCs w:val="32"/>
        </w:rPr>
      </w:pPr>
    </w:p>
    <w:p>
      <w:pPr>
        <w:spacing w:line="360" w:lineRule="auto"/>
        <w:ind w:firstLine="315" w:firstLineChars="98"/>
        <w:jc w:val="center"/>
        <w:rPr>
          <w:rFonts w:ascii="黑体" w:hAnsi="华文中宋" w:eastAsia="黑体" w:cs="华文中宋"/>
          <w:b/>
          <w:bCs/>
          <w:sz w:val="32"/>
          <w:szCs w:val="32"/>
        </w:rPr>
      </w:pPr>
    </w:p>
    <w:p>
      <w:pPr>
        <w:spacing w:line="360" w:lineRule="auto"/>
        <w:ind w:firstLine="315" w:firstLineChars="98"/>
        <w:jc w:val="center"/>
        <w:rPr>
          <w:rFonts w:ascii="黑体" w:hAnsi="华文中宋" w:eastAsia="黑体" w:cs="华文中宋"/>
          <w:b/>
          <w:bCs/>
          <w:sz w:val="32"/>
          <w:szCs w:val="32"/>
        </w:rPr>
      </w:pPr>
    </w:p>
    <w:p>
      <w:pPr>
        <w:spacing w:line="360" w:lineRule="auto"/>
        <w:ind w:firstLine="315" w:firstLineChars="98"/>
        <w:jc w:val="center"/>
        <w:rPr>
          <w:rFonts w:ascii="黑体" w:hAnsi="华文中宋" w:eastAsia="黑体" w:cs="华文中宋"/>
          <w:b/>
          <w:bCs/>
          <w:sz w:val="32"/>
          <w:szCs w:val="32"/>
        </w:rPr>
      </w:pPr>
    </w:p>
    <w:p>
      <w:pPr>
        <w:spacing w:line="360" w:lineRule="auto"/>
        <w:ind w:firstLine="315" w:firstLineChars="98"/>
        <w:jc w:val="center"/>
        <w:rPr>
          <w:rFonts w:ascii="黑体" w:hAnsi="华文中宋" w:eastAsia="黑体" w:cs="华文中宋"/>
          <w:b/>
          <w:bCs/>
          <w:sz w:val="32"/>
          <w:szCs w:val="32"/>
        </w:rPr>
      </w:pPr>
    </w:p>
    <w:p>
      <w:pPr>
        <w:spacing w:line="360" w:lineRule="auto"/>
        <w:ind w:firstLine="315" w:firstLineChars="98"/>
        <w:jc w:val="center"/>
        <w:rPr>
          <w:rFonts w:ascii="黑体" w:hAnsi="华文中宋" w:eastAsia="黑体" w:cs="华文中宋"/>
          <w:b/>
          <w:bCs/>
          <w:sz w:val="32"/>
          <w:szCs w:val="32"/>
        </w:rPr>
      </w:pPr>
    </w:p>
    <w:p>
      <w:pPr>
        <w:spacing w:line="360" w:lineRule="auto"/>
        <w:jc w:val="both"/>
        <w:outlineLvl w:val="9"/>
        <w:rPr>
          <w:rFonts w:hint="eastAsia" w:ascii="黑体" w:hAnsi="华文中宋" w:eastAsia="黑体" w:cs="华文中宋"/>
          <w:b/>
          <w:bCs/>
          <w:sz w:val="32"/>
          <w:szCs w:val="32"/>
        </w:rPr>
      </w:pPr>
    </w:p>
    <w:p>
      <w:pPr>
        <w:spacing w:line="360" w:lineRule="auto"/>
        <w:ind w:firstLine="315" w:firstLineChars="98"/>
        <w:jc w:val="center"/>
        <w:outlineLvl w:val="0"/>
        <w:rPr>
          <w:rFonts w:ascii="黑体" w:hAnsi="华文中宋" w:eastAsia="黑体" w:cs="华文中宋"/>
          <w:b/>
          <w:bCs/>
          <w:sz w:val="32"/>
          <w:szCs w:val="32"/>
        </w:rPr>
      </w:pPr>
      <w:r>
        <w:rPr>
          <w:rFonts w:hint="eastAsia" w:ascii="黑体" w:hAnsi="华文中宋" w:eastAsia="黑体" w:cs="华文中宋"/>
          <w:b/>
          <w:bCs/>
          <w:sz w:val="32"/>
          <w:szCs w:val="32"/>
        </w:rPr>
        <w:t>第二章  投标资料表</w:t>
      </w:r>
    </w:p>
    <w:p>
      <w:pPr>
        <w:rPr>
          <w:rFonts w:ascii="黑体" w:hAnsi="华文中宋" w:eastAsia="黑体" w:cs="华文中宋"/>
          <w:b/>
          <w:bCs/>
          <w:sz w:val="32"/>
          <w:szCs w:val="32"/>
        </w:rPr>
      </w:pPr>
      <w:r>
        <w:rPr>
          <w:rFonts w:hint="eastAsia"/>
          <w:sz w:val="21"/>
          <w:szCs w:val="21"/>
        </w:rPr>
        <w:t>该资料表的条款项号是《投标人须知》及《合同通用条款》条款项号对应的，或增加的条款，是对《投标人须知》及《合同通用条款》的补充、修改和完善，如果有矛盾的话，应以本资料表为准。</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8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12"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条款项号</w:t>
            </w:r>
          </w:p>
        </w:tc>
        <w:tc>
          <w:tcPr>
            <w:tcW w:w="8793" w:type="dxa"/>
            <w:tcBorders>
              <w:top w:val="single" w:color="auto" w:sz="12" w:space="0"/>
              <w:left w:val="single" w:color="auto" w:sz="6" w:space="0"/>
              <w:bottom w:val="single" w:color="auto" w:sz="6" w:space="0"/>
              <w:right w:val="single" w:color="auto" w:sz="12" w:space="0"/>
            </w:tcBorders>
            <w:vAlign w:val="center"/>
          </w:tcPr>
          <w:p>
            <w:pPr>
              <w:jc w:val="center"/>
              <w:rPr>
                <w:rFonts w:ascii="微软雅黑" w:hAnsi="微软雅黑" w:cs="微软雅黑"/>
                <w:b/>
                <w:sz w:val="20"/>
                <w:szCs w:val="20"/>
                <w:highlight w:val="magenta"/>
              </w:rPr>
            </w:pPr>
            <w:r>
              <w:rPr>
                <w:rFonts w:hint="eastAsia" w:ascii="微软雅黑" w:hAnsi="微软雅黑" w:cs="微软雅黑"/>
                <w:b/>
                <w:sz w:val="20"/>
                <w:szCs w:val="20"/>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rPr>
                <w:rFonts w:ascii="微软雅黑" w:hAnsi="微软雅黑" w:cs="微软雅黑"/>
                <w:b/>
                <w:sz w:val="20"/>
                <w:szCs w:val="20"/>
              </w:rPr>
            </w:pPr>
            <w:r>
              <w:rPr>
                <w:rFonts w:hint="eastAsia" w:ascii="微软雅黑" w:hAnsi="微软雅黑" w:cs="微软雅黑"/>
                <w:sz w:val="20"/>
                <w:szCs w:val="20"/>
              </w:rPr>
              <w:t>对《投标人须知》的修改及补充：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b/>
                <w:sz w:val="20"/>
                <w:szCs w:val="20"/>
              </w:rPr>
            </w:pPr>
            <w:r>
              <w:rPr>
                <w:rFonts w:hint="eastAsia" w:ascii="微软雅黑" w:hAnsi="微软雅黑" w:cs="微软雅黑"/>
                <w:b/>
                <w:sz w:val="20"/>
                <w:szCs w:val="20"/>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1.1</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监管部门：同级或上级主管部门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1.2</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采购人名称：广州市增城自来水安装工程有限公司</w:t>
            </w:r>
          </w:p>
          <w:p>
            <w:pPr>
              <w:spacing w:line="360" w:lineRule="auto"/>
              <w:rPr>
                <w:rFonts w:ascii="微软雅黑" w:hAnsi="微软雅黑" w:cs="微软雅黑"/>
                <w:sz w:val="20"/>
                <w:szCs w:val="20"/>
              </w:rPr>
            </w:pPr>
            <w:r>
              <w:rPr>
                <w:rFonts w:hint="eastAsia" w:ascii="微软雅黑" w:hAnsi="微软雅黑" w:cs="微软雅黑"/>
                <w:sz w:val="20"/>
                <w:szCs w:val="20"/>
              </w:rPr>
              <w:t>资金来源：企业自筹</w:t>
            </w:r>
          </w:p>
          <w:p>
            <w:pPr>
              <w:spacing w:line="360" w:lineRule="auto"/>
              <w:rPr>
                <w:rFonts w:eastAsia="仿宋_GB2312" w:cs="仿宋_GB2312"/>
                <w:b/>
                <w:bCs/>
                <w:sz w:val="24"/>
                <w:szCs w:val="24"/>
              </w:rPr>
            </w:pPr>
            <w:r>
              <w:rPr>
                <w:rFonts w:hint="eastAsia" w:ascii="微软雅黑" w:hAnsi="微软雅黑" w:cs="微软雅黑"/>
                <w:sz w:val="20"/>
                <w:szCs w:val="20"/>
              </w:rPr>
              <w:t>本项目总价限价为：</w:t>
            </w:r>
          </w:p>
          <w:p>
            <w:pPr>
              <w:spacing w:line="360" w:lineRule="auto"/>
              <w:rPr>
                <w:rFonts w:ascii="微软雅黑" w:hAnsi="微软雅黑" w:cs="微软雅黑"/>
                <w:color w:val="000000" w:themeColor="text1"/>
                <w:sz w:val="20"/>
                <w:szCs w:val="20"/>
                <w:highlight w:val="none"/>
              </w:rPr>
            </w:pPr>
            <w:r>
              <w:rPr>
                <w:rFonts w:hint="eastAsia" w:ascii="微软雅黑" w:hAnsi="微软雅黑" w:cs="微软雅黑"/>
                <w:sz w:val="20"/>
                <w:szCs w:val="20"/>
              </w:rPr>
              <w:t>人民</w:t>
            </w:r>
            <w:r>
              <w:rPr>
                <w:rFonts w:hint="eastAsia" w:ascii="微软雅黑" w:hAnsi="微软雅黑" w:cs="微软雅黑"/>
                <w:color w:val="000000" w:themeColor="text1"/>
                <w:sz w:val="20"/>
                <w:szCs w:val="20"/>
                <w:highlight w:val="none"/>
              </w:rPr>
              <w:t>币</w:t>
            </w:r>
            <w:r>
              <w:rPr>
                <w:rFonts w:hint="eastAsia" w:ascii="宋体" w:hAnsi="宋体" w:eastAsia="宋体" w:cs="宋体"/>
                <w:color w:val="000000" w:themeColor="text1"/>
                <w:highlight w:val="none"/>
                <w:lang w:eastAsia="zh-CN"/>
              </w:rPr>
              <w:t>13275561.8</w:t>
            </w:r>
            <w:r>
              <w:rPr>
                <w:rFonts w:hint="eastAsia" w:ascii="微软雅黑" w:hAnsi="微软雅黑" w:cs="微软雅黑"/>
                <w:color w:val="000000" w:themeColor="text1"/>
                <w:sz w:val="20"/>
                <w:szCs w:val="20"/>
                <w:highlight w:val="none"/>
              </w:rPr>
              <w:t>元；</w:t>
            </w:r>
          </w:p>
          <w:p>
            <w:pPr>
              <w:spacing w:line="360" w:lineRule="auto"/>
              <w:rPr>
                <w:rFonts w:ascii="微软雅黑" w:hAnsi="微软雅黑" w:cs="微软雅黑"/>
                <w:color w:val="000000" w:themeColor="text1"/>
                <w:sz w:val="20"/>
                <w:szCs w:val="20"/>
                <w:highlight w:val="none"/>
              </w:rPr>
            </w:pPr>
            <w:r>
              <w:rPr>
                <w:rFonts w:hint="eastAsia" w:ascii="微软雅黑" w:hAnsi="微软雅黑" w:cs="微软雅黑"/>
                <w:color w:val="000000" w:themeColor="text1"/>
                <w:sz w:val="20"/>
                <w:szCs w:val="20"/>
                <w:highlight w:val="none"/>
              </w:rPr>
              <w:t>其中：</w:t>
            </w:r>
          </w:p>
          <w:p>
            <w:pPr>
              <w:spacing w:line="360" w:lineRule="auto"/>
              <w:rPr>
                <w:rFonts w:ascii="微软雅黑" w:hAnsi="微软雅黑" w:cs="微软雅黑"/>
                <w:color w:val="000000" w:themeColor="text1"/>
                <w:sz w:val="20"/>
                <w:szCs w:val="20"/>
                <w:highlight w:val="none"/>
              </w:rPr>
            </w:pPr>
            <w:r>
              <w:rPr>
                <w:rFonts w:hint="eastAsia" w:ascii="微软雅黑" w:hAnsi="微软雅黑" w:cs="微软雅黑"/>
                <w:color w:val="000000" w:themeColor="text1"/>
                <w:sz w:val="20"/>
                <w:szCs w:val="20"/>
                <w:highlight w:val="none"/>
              </w:rPr>
              <w:t>子包一总价限价：</w:t>
            </w:r>
            <w:r>
              <w:rPr>
                <w:rFonts w:hint="eastAsia" w:ascii="微软雅黑" w:hAnsi="微软雅黑" w:cs="微软雅黑"/>
                <w:color w:val="000000" w:themeColor="text1"/>
                <w:sz w:val="20"/>
                <w:szCs w:val="20"/>
                <w:highlight w:val="none"/>
                <w:lang w:eastAsia="zh-CN"/>
              </w:rPr>
              <w:t>7965337.08</w:t>
            </w:r>
            <w:r>
              <w:rPr>
                <w:rFonts w:hint="eastAsia" w:ascii="微软雅黑" w:hAnsi="微软雅黑" w:cs="微软雅黑"/>
                <w:color w:val="000000" w:themeColor="text1"/>
                <w:sz w:val="20"/>
                <w:szCs w:val="20"/>
                <w:highlight w:val="none"/>
              </w:rPr>
              <w:t>元；</w:t>
            </w:r>
          </w:p>
          <w:p>
            <w:pPr>
              <w:spacing w:line="360" w:lineRule="auto"/>
              <w:rPr>
                <w:rFonts w:ascii="微软雅黑" w:hAnsi="微软雅黑" w:cs="微软雅黑"/>
                <w:color w:val="000000" w:themeColor="text1"/>
                <w:sz w:val="20"/>
                <w:szCs w:val="20"/>
                <w:highlight w:val="none"/>
              </w:rPr>
            </w:pPr>
            <w:r>
              <w:rPr>
                <w:rFonts w:hint="eastAsia" w:ascii="微软雅黑" w:hAnsi="微软雅黑" w:cs="微软雅黑"/>
                <w:color w:val="000000" w:themeColor="text1"/>
                <w:sz w:val="20"/>
                <w:szCs w:val="20"/>
                <w:highlight w:val="none"/>
              </w:rPr>
              <w:t>子包二总价限价：</w:t>
            </w:r>
            <w:r>
              <w:rPr>
                <w:rFonts w:hint="eastAsia" w:ascii="微软雅黑" w:hAnsi="微软雅黑" w:cs="微软雅黑"/>
                <w:color w:val="000000" w:themeColor="text1"/>
                <w:sz w:val="20"/>
                <w:szCs w:val="20"/>
                <w:highlight w:val="none"/>
                <w:lang w:eastAsia="zh-CN"/>
              </w:rPr>
              <w:t>3317248.69</w:t>
            </w:r>
            <w:r>
              <w:rPr>
                <w:rFonts w:hint="eastAsia" w:ascii="微软雅黑" w:hAnsi="微软雅黑" w:cs="微软雅黑"/>
                <w:color w:val="000000" w:themeColor="text1"/>
                <w:sz w:val="20"/>
                <w:szCs w:val="20"/>
                <w:highlight w:val="none"/>
              </w:rPr>
              <w:t>元；</w:t>
            </w:r>
          </w:p>
          <w:p>
            <w:pPr>
              <w:spacing w:line="360" w:lineRule="auto"/>
              <w:rPr>
                <w:rFonts w:ascii="微软雅黑" w:hAnsi="微软雅黑" w:cs="微软雅黑"/>
                <w:sz w:val="20"/>
                <w:szCs w:val="20"/>
              </w:rPr>
            </w:pPr>
            <w:r>
              <w:rPr>
                <w:rFonts w:hint="eastAsia" w:ascii="微软雅黑" w:hAnsi="微软雅黑" w:cs="微软雅黑"/>
                <w:color w:val="000000" w:themeColor="text1"/>
                <w:sz w:val="20"/>
                <w:szCs w:val="20"/>
                <w:highlight w:val="none"/>
              </w:rPr>
              <w:t>子包三总价限价：</w:t>
            </w:r>
            <w:r>
              <w:rPr>
                <w:rFonts w:hint="eastAsia" w:ascii="微软雅黑" w:hAnsi="微软雅黑" w:cs="微软雅黑"/>
                <w:color w:val="000000" w:themeColor="text1"/>
                <w:sz w:val="20"/>
                <w:szCs w:val="20"/>
                <w:highlight w:val="none"/>
                <w:lang w:eastAsia="zh-CN"/>
              </w:rPr>
              <w:t>1992976.03</w:t>
            </w:r>
            <w:r>
              <w:rPr>
                <w:rFonts w:hint="eastAsia" w:ascii="微软雅黑" w:hAnsi="微软雅黑" w:cs="微软雅黑"/>
                <w:color w:val="000000" w:themeColor="text1"/>
                <w:sz w:val="20"/>
                <w:szCs w:val="20"/>
                <w:highlight w:val="none"/>
              </w:rPr>
              <w:t>元；</w:t>
            </w:r>
          </w:p>
          <w:p>
            <w:pPr>
              <w:spacing w:line="360" w:lineRule="auto"/>
              <w:rPr>
                <w:rFonts w:ascii="微软雅黑" w:hAnsi="微软雅黑" w:cs="微软雅黑"/>
                <w:sz w:val="20"/>
                <w:szCs w:val="20"/>
              </w:rPr>
            </w:pPr>
            <w:r>
              <w:rPr>
                <w:rFonts w:hint="eastAsia" w:ascii="微软雅黑" w:hAnsi="微软雅黑" w:cs="微软雅黑"/>
                <w:sz w:val="20"/>
                <w:szCs w:val="20"/>
              </w:rPr>
              <w:t>单价限价详见项目报价明细表。</w:t>
            </w:r>
          </w:p>
          <w:p>
            <w:pPr>
              <w:spacing w:line="360" w:lineRule="auto"/>
              <w:rPr>
                <w:rFonts w:ascii="微软雅黑" w:hAnsi="微软雅黑" w:cs="微软雅黑"/>
                <w:b/>
                <w:bCs/>
                <w:color w:val="FF0000"/>
                <w:sz w:val="20"/>
                <w:szCs w:val="20"/>
              </w:rPr>
            </w:pPr>
            <w:r>
              <w:rPr>
                <w:rFonts w:hint="eastAsia" w:ascii="微软雅黑" w:hAnsi="微软雅黑" w:cs="微软雅黑"/>
                <w:b/>
                <w:bCs/>
                <w:color w:val="FF0000"/>
                <w:sz w:val="20"/>
                <w:szCs w:val="20"/>
              </w:rPr>
              <w:t>本项目确定三家供应商。本项目共分</w:t>
            </w:r>
            <w:r>
              <w:rPr>
                <w:rFonts w:hint="eastAsia" w:ascii="微软雅黑" w:hAnsi="微软雅黑" w:cs="微软雅黑"/>
                <w:b/>
                <w:bCs/>
                <w:color w:val="FF0000"/>
                <w:sz w:val="20"/>
                <w:szCs w:val="20"/>
                <w:lang w:val="en-US" w:eastAsia="zh-Hans"/>
              </w:rPr>
              <w:t>三</w:t>
            </w:r>
            <w:r>
              <w:rPr>
                <w:rFonts w:hint="eastAsia" w:ascii="微软雅黑" w:hAnsi="微软雅黑" w:cs="微软雅黑"/>
                <w:b/>
                <w:bCs/>
                <w:color w:val="FF0000"/>
                <w:sz w:val="20"/>
                <w:szCs w:val="20"/>
              </w:rPr>
              <w:t>个子包，每个子包设一名中标候选人。投标人必须兼投但不可兼中。综合得分第一的投标人自动成为子包一的中标候选人，综合得分第二的投标人为子包二的中标候选人，综合得分第三的投标人为子包三的中标候选人。</w:t>
            </w:r>
          </w:p>
          <w:p>
            <w:pPr>
              <w:spacing w:line="360" w:lineRule="auto"/>
              <w:rPr>
                <w:rFonts w:ascii="微软雅黑" w:hAnsi="微软雅黑" w:cs="微软雅黑"/>
                <w:sz w:val="20"/>
                <w:szCs w:val="20"/>
              </w:rPr>
            </w:pPr>
            <w:r>
              <w:rPr>
                <w:rFonts w:hint="eastAsia" w:ascii="微软雅黑" w:hAnsi="微软雅黑" w:cs="微软雅黑"/>
                <w:sz w:val="20"/>
                <w:szCs w:val="20"/>
              </w:rPr>
              <w:t>各投标单位报价时须同时提供开标一览表（报价表）及项目报价明细表，否则报价无效。</w:t>
            </w:r>
          </w:p>
          <w:p>
            <w:pPr>
              <w:spacing w:line="360" w:lineRule="auto"/>
              <w:rPr>
                <w:rFonts w:ascii="微软雅黑" w:hAnsi="微软雅黑" w:cs="微软雅黑"/>
                <w:sz w:val="20"/>
                <w:szCs w:val="20"/>
              </w:rPr>
            </w:pPr>
            <w:r>
              <w:rPr>
                <w:rFonts w:hint="eastAsia" w:ascii="微软雅黑" w:hAnsi="微软雅黑" w:cs="微软雅黑"/>
                <w:sz w:val="20"/>
                <w:szCs w:val="20"/>
              </w:rPr>
              <w:t>本项目报价不得高于项目的总价限价及单价限价，否则报价无效。</w:t>
            </w:r>
          </w:p>
          <w:p>
            <w:pPr>
              <w:spacing w:line="360" w:lineRule="auto"/>
              <w:rPr>
                <w:rFonts w:ascii="微软雅黑" w:hAnsi="微软雅黑" w:cs="微软雅黑"/>
                <w:sz w:val="20"/>
                <w:szCs w:val="20"/>
              </w:rPr>
            </w:pPr>
            <w:r>
              <w:rPr>
                <w:rFonts w:hint="eastAsia" w:ascii="微软雅黑" w:hAnsi="微软雅黑" w:cs="微软雅黑"/>
                <w:sz w:val="20"/>
                <w:szCs w:val="20"/>
              </w:rPr>
              <w:t>各投标单位须在电子文档中提交EXCEL版本的汇总表以便验算。</w:t>
            </w:r>
          </w:p>
          <w:p>
            <w:pPr>
              <w:spacing w:line="360" w:lineRule="auto"/>
              <w:rPr>
                <w:rFonts w:ascii="微软雅黑" w:hAnsi="微软雅黑" w:cs="微软雅黑"/>
                <w:sz w:val="20"/>
                <w:szCs w:val="20"/>
              </w:rPr>
            </w:pPr>
            <w:r>
              <w:rPr>
                <w:rFonts w:hint="eastAsia" w:ascii="微软雅黑" w:hAnsi="微软雅黑" w:cs="微软雅黑"/>
                <w:sz w:val="20"/>
                <w:szCs w:val="20"/>
              </w:rPr>
              <w:t>各投标单位对不同子包同一产品报价需统一。</w:t>
            </w:r>
          </w:p>
          <w:p>
            <w:pPr>
              <w:pStyle w:val="2"/>
              <w:ind w:firstLine="0"/>
            </w:pPr>
            <w:r>
              <w:rPr>
                <w:rFonts w:hint="eastAsia" w:ascii="微软雅黑" w:hAnsi="微软雅黑" w:eastAsia="微软雅黑" w:cs="微软雅黑"/>
                <w:color w:val="FF0000"/>
              </w:rPr>
              <w:t>本项目采购人不承诺每项货物的采购数量，供应商取得任务的数量以采购人审批确定。供应商对产品数量无支配权。结算价格按照中标单价乘以实际供货数量据实结算。</w:t>
            </w:r>
          </w:p>
          <w:p>
            <w:pPr>
              <w:pStyle w:val="2"/>
              <w:ind w:firstLine="0"/>
            </w:pPr>
          </w:p>
          <w:p>
            <w:pPr>
              <w:pStyle w:val="4"/>
            </w:pPr>
            <w:r>
              <w:rPr>
                <w:rFonts w:hint="eastAsia" w:ascii="微软雅黑" w:hAnsi="微软雅黑" w:eastAsia="微软雅黑" w:cs="微软雅黑"/>
                <w:b w:val="0"/>
                <w:bCs w:val="0"/>
                <w:color w:val="FF0000"/>
                <w:sz w:val="20"/>
                <w:szCs w:val="20"/>
              </w:rPr>
              <w:t>若评标委员会认为投标人报价明显低于其他通过符合性审查投标人的报价，有可能影响产品质量或不能诚信履约的，应当要求其在评标现场合理的时间内提供书面说明，必要时提交相关证明材料（证明材料包含各项费用组成的成本明细、项目实施成本、税费、利润等的详细说明及相关佐证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1.3</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sz w:val="20"/>
                <w:szCs w:val="20"/>
              </w:rPr>
            </w:pPr>
            <w:r>
              <w:rPr>
                <w:rFonts w:hint="eastAsia" w:ascii="微软雅黑" w:hAnsi="微软雅黑" w:cs="微软雅黑"/>
                <w:sz w:val="20"/>
                <w:szCs w:val="20"/>
              </w:rPr>
              <w:t>采购代理机构：广州宝诚招标代理咨询有限公司</w:t>
            </w:r>
          </w:p>
          <w:p>
            <w:pPr>
              <w:spacing w:line="380" w:lineRule="exact"/>
              <w:rPr>
                <w:rFonts w:ascii="微软雅黑" w:hAnsi="微软雅黑" w:cs="微软雅黑"/>
                <w:sz w:val="20"/>
                <w:szCs w:val="20"/>
              </w:rPr>
            </w:pPr>
            <w:r>
              <w:rPr>
                <w:rFonts w:hint="eastAsia" w:ascii="微软雅黑" w:hAnsi="微软雅黑" w:cs="微软雅黑"/>
                <w:sz w:val="20"/>
                <w:szCs w:val="20"/>
              </w:rPr>
              <w:t>地址：</w:t>
            </w:r>
            <w:r>
              <w:rPr>
                <w:rFonts w:hint="eastAsia" w:ascii="微软雅黑" w:hAnsi="微软雅黑" w:cs="微软雅黑"/>
                <w:color w:val="000000"/>
                <w:sz w:val="20"/>
                <w:szCs w:val="20"/>
              </w:rPr>
              <w:t>广州市番禺区南村镇敏捷上城国际一期2栋1806</w:t>
            </w:r>
          </w:p>
          <w:p>
            <w:pPr>
              <w:spacing w:line="380" w:lineRule="exact"/>
              <w:rPr>
                <w:rFonts w:ascii="微软雅黑" w:hAnsi="微软雅黑" w:cs="微软雅黑"/>
                <w:sz w:val="20"/>
                <w:szCs w:val="20"/>
              </w:rPr>
            </w:pPr>
            <w:r>
              <w:rPr>
                <w:rFonts w:hint="eastAsia" w:ascii="微软雅黑" w:hAnsi="微软雅黑" w:cs="微软雅黑"/>
                <w:sz w:val="20"/>
                <w:szCs w:val="20"/>
              </w:rPr>
              <w:t>电话： 020-37887429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sz w:val="20"/>
                <w:szCs w:val="20"/>
              </w:rPr>
            </w:pPr>
            <w:r>
              <w:rPr>
                <w:rFonts w:hint="eastAsia" w:ascii="微软雅黑" w:hAnsi="微软雅黑" w:cs="微软雅黑"/>
                <w:b/>
                <w:sz w:val="20"/>
                <w:szCs w:val="20"/>
              </w:rPr>
              <w:t>二、招标文件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2.1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color w:val="000000"/>
                <w:sz w:val="20"/>
                <w:szCs w:val="20"/>
              </w:rPr>
            </w:pPr>
            <w:r>
              <w:rPr>
                <w:rFonts w:hint="eastAsia" w:ascii="微软雅黑" w:hAnsi="微软雅黑" w:cs="微软雅黑"/>
                <w:color w:val="000000"/>
                <w:sz w:val="20"/>
                <w:szCs w:val="20"/>
              </w:rPr>
              <w:t>集中答疑会或现场考察：不举行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2.2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投标截止日期和时间：按招标文件规定。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三、投标文件的编制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3.1</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不允许有备选方案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3.3</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3.4</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sz w:val="20"/>
                <w:szCs w:val="20"/>
              </w:rPr>
            </w:pPr>
            <w:r>
              <w:rPr>
                <w:rFonts w:hint="eastAsia" w:ascii="微软雅黑" w:hAnsi="微软雅黑" w:cs="微软雅黑"/>
                <w:sz w:val="20"/>
                <w:szCs w:val="20"/>
              </w:rPr>
              <w:t>1、</w:t>
            </w:r>
            <w:r>
              <w:rPr>
                <w:rFonts w:hint="eastAsia" w:ascii="微软雅黑" w:hAnsi="微软雅黑" w:cs="微软雅黑"/>
                <w:sz w:val="20"/>
                <w:szCs w:val="20"/>
                <w:highlight w:val="yellow"/>
              </w:rPr>
              <w:t>投标保证金金额：￥100000元（人民币</w:t>
            </w:r>
            <w:r>
              <w:rPr>
                <w:rFonts w:hint="eastAsia" w:ascii="微软雅黑" w:hAnsi="微软雅黑" w:cs="微软雅黑"/>
                <w:bCs/>
                <w:color w:val="000000"/>
                <w:sz w:val="20"/>
                <w:szCs w:val="20"/>
                <w:highlight w:val="yellow"/>
              </w:rPr>
              <w:t>壹拾万</w:t>
            </w:r>
            <w:r>
              <w:rPr>
                <w:rFonts w:hint="eastAsia" w:ascii="微软雅黑" w:hAnsi="微软雅黑" w:cs="微软雅黑"/>
                <w:sz w:val="20"/>
                <w:szCs w:val="20"/>
                <w:highlight w:val="yellow"/>
              </w:rPr>
              <w:t>元整）</w:t>
            </w:r>
          </w:p>
          <w:p>
            <w:pPr>
              <w:spacing w:line="380" w:lineRule="exact"/>
              <w:rPr>
                <w:rFonts w:ascii="微软雅黑" w:hAnsi="微软雅黑" w:cs="微软雅黑"/>
                <w:sz w:val="20"/>
                <w:szCs w:val="20"/>
                <w:highlight w:val="yellow"/>
              </w:rPr>
            </w:pPr>
            <w:r>
              <w:rPr>
                <w:rFonts w:hint="eastAsia" w:ascii="微软雅黑" w:hAnsi="微软雅黑" w:cs="微软雅黑"/>
                <w:bCs/>
                <w:sz w:val="20"/>
                <w:szCs w:val="20"/>
              </w:rPr>
              <w:t>2、</w:t>
            </w:r>
            <w:r>
              <w:rPr>
                <w:rFonts w:hint="eastAsia" w:ascii="微软雅黑" w:hAnsi="微软雅黑" w:cs="微软雅黑"/>
                <w:sz w:val="20"/>
                <w:szCs w:val="20"/>
                <w:highlight w:val="yellow"/>
              </w:rPr>
              <w:t>投标保证金在</w:t>
            </w:r>
            <w:r>
              <w:rPr>
                <w:rFonts w:hint="eastAsia" w:ascii="微软雅黑" w:hAnsi="微软雅黑" w:cs="微软雅黑"/>
                <w:color w:val="000000"/>
                <w:sz w:val="20"/>
                <w:szCs w:val="20"/>
                <w:highlight w:val="yellow"/>
              </w:rPr>
              <w:t>2021年</w:t>
            </w:r>
            <w:r>
              <w:rPr>
                <w:rFonts w:hint="eastAsia" w:ascii="微软雅黑" w:hAnsi="微软雅黑" w:cs="微软雅黑"/>
                <w:color w:val="000000"/>
                <w:sz w:val="20"/>
                <w:szCs w:val="20"/>
                <w:highlight w:val="yellow"/>
                <w:lang w:val="en-US" w:eastAsia="zh-CN"/>
              </w:rPr>
              <w:t>12</w:t>
            </w:r>
            <w:r>
              <w:rPr>
                <w:rFonts w:hint="eastAsia" w:ascii="微软雅黑" w:hAnsi="微软雅黑" w:cs="微软雅黑"/>
                <w:color w:val="000000"/>
                <w:sz w:val="20"/>
                <w:szCs w:val="20"/>
                <w:highlight w:val="yellow"/>
              </w:rPr>
              <w:t>月</w:t>
            </w:r>
            <w:r>
              <w:rPr>
                <w:rFonts w:hint="eastAsia" w:ascii="微软雅黑" w:hAnsi="微软雅黑" w:cs="微软雅黑"/>
                <w:color w:val="000000"/>
                <w:sz w:val="20"/>
                <w:szCs w:val="20"/>
                <w:highlight w:val="yellow"/>
                <w:lang w:val="en-US" w:eastAsia="zh-CN"/>
              </w:rPr>
              <w:t>27</w:t>
            </w:r>
            <w:r>
              <w:rPr>
                <w:rFonts w:hint="eastAsia" w:ascii="微软雅黑" w:hAnsi="微软雅黑" w:cs="微软雅黑"/>
                <w:color w:val="000000"/>
                <w:sz w:val="20"/>
                <w:szCs w:val="20"/>
                <w:highlight w:val="yellow"/>
              </w:rPr>
              <w:t>日</w:t>
            </w:r>
            <w:r>
              <w:rPr>
                <w:rFonts w:hint="eastAsia" w:ascii="微软雅黑" w:hAnsi="微软雅黑" w:cs="微软雅黑"/>
                <w:sz w:val="20"/>
                <w:szCs w:val="20"/>
                <w:highlight w:val="yellow"/>
              </w:rPr>
              <w:t>17:00前到达以下指定账号:</w:t>
            </w:r>
          </w:p>
          <w:p>
            <w:pPr>
              <w:spacing w:line="380" w:lineRule="exact"/>
              <w:ind w:left="337" w:leftChars="153"/>
              <w:rPr>
                <w:rFonts w:ascii="微软雅黑" w:hAnsi="微软雅黑" w:cs="微软雅黑"/>
                <w:sz w:val="20"/>
                <w:szCs w:val="20"/>
                <w:highlight w:val="yellow"/>
              </w:rPr>
            </w:pPr>
            <w:r>
              <w:rPr>
                <w:rFonts w:hint="eastAsia" w:ascii="微软雅黑" w:hAnsi="微软雅黑" w:cs="微软雅黑"/>
                <w:sz w:val="20"/>
                <w:szCs w:val="20"/>
                <w:highlight w:val="yellow"/>
              </w:rPr>
              <w:t>户  名：广州宝诚招标代理咨询有限公司</w:t>
            </w:r>
          </w:p>
          <w:p>
            <w:pPr>
              <w:spacing w:line="380" w:lineRule="exact"/>
              <w:ind w:left="337" w:leftChars="153"/>
              <w:rPr>
                <w:rFonts w:ascii="微软雅黑" w:hAnsi="微软雅黑" w:cs="微软雅黑"/>
                <w:sz w:val="20"/>
                <w:szCs w:val="20"/>
                <w:highlight w:val="yellow"/>
              </w:rPr>
            </w:pPr>
            <w:r>
              <w:rPr>
                <w:rFonts w:hint="eastAsia" w:ascii="微软雅黑" w:hAnsi="微软雅黑" w:cs="微软雅黑"/>
                <w:sz w:val="20"/>
                <w:szCs w:val="20"/>
                <w:highlight w:val="yellow"/>
              </w:rPr>
              <w:t>帐  号：</w:t>
            </w:r>
            <w:r>
              <w:rPr>
                <w:rFonts w:hint="eastAsia" w:ascii="宋体" w:hAnsi="宋体"/>
                <w:sz w:val="21"/>
                <w:szCs w:val="21"/>
                <w:highlight w:val="yellow"/>
              </w:rPr>
              <w:t>9550 8802 0090 0000 188</w:t>
            </w:r>
          </w:p>
          <w:p>
            <w:pPr>
              <w:spacing w:line="380" w:lineRule="exact"/>
              <w:ind w:left="337" w:leftChars="153"/>
              <w:rPr>
                <w:rFonts w:ascii="微软雅黑" w:hAnsi="微软雅黑" w:cs="微软雅黑"/>
                <w:sz w:val="20"/>
                <w:szCs w:val="20"/>
              </w:rPr>
            </w:pPr>
            <w:r>
              <w:rPr>
                <w:rFonts w:hint="eastAsia" w:ascii="微软雅黑" w:hAnsi="微软雅黑" w:cs="微软雅黑"/>
                <w:sz w:val="20"/>
                <w:szCs w:val="20"/>
                <w:highlight w:val="yellow"/>
              </w:rPr>
              <w:t>开户行：广发银行广州龙洞支行</w:t>
            </w:r>
          </w:p>
          <w:p>
            <w:pPr>
              <w:spacing w:line="360" w:lineRule="auto"/>
              <w:ind w:left="337" w:leftChars="153"/>
              <w:rPr>
                <w:rFonts w:ascii="微软雅黑" w:hAnsi="微软雅黑" w:cs="微软雅黑"/>
                <w:b/>
                <w:sz w:val="20"/>
                <w:szCs w:val="20"/>
              </w:rPr>
            </w:pPr>
            <w:r>
              <w:rPr>
                <w:rFonts w:hint="eastAsia" w:ascii="微软雅黑" w:hAnsi="微软雅黑" w:cs="微软雅黑"/>
                <w:b/>
                <w:sz w:val="20"/>
                <w:szCs w:val="20"/>
              </w:rPr>
              <w:t>注：</w:t>
            </w:r>
            <w:r>
              <w:rPr>
                <w:rFonts w:hint="eastAsia" w:ascii="微软雅黑" w:hAnsi="微软雅黑" w:cs="微软雅黑"/>
                <w:b/>
                <w:sz w:val="20"/>
                <w:szCs w:val="20"/>
                <w:lang w:val="zh-CN"/>
              </w:rPr>
              <w:t>投标人请在缴款凭证"备注"栏写明</w:t>
            </w:r>
            <w:r>
              <w:rPr>
                <w:rFonts w:hint="eastAsia" w:ascii="微软雅黑" w:hAnsi="微软雅黑" w:cs="微软雅黑"/>
                <w:b/>
                <w:sz w:val="20"/>
                <w:szCs w:val="20"/>
                <w:u w:val="single"/>
                <w:lang w:val="zh-CN"/>
              </w:rPr>
              <w:t>GZBC21HG11004</w:t>
            </w:r>
            <w:r>
              <w:rPr>
                <w:rFonts w:hint="eastAsia" w:ascii="微软雅黑" w:hAnsi="微软雅黑" w:cs="微软雅黑"/>
                <w:b/>
                <w:sz w:val="20"/>
                <w:szCs w:val="20"/>
                <w:u w:val="single"/>
              </w:rPr>
              <w:t>+项目简称</w:t>
            </w:r>
            <w:r>
              <w:rPr>
                <w:rFonts w:hint="eastAsia" w:ascii="微软雅黑" w:hAnsi="微软雅黑" w:cs="微软雅黑"/>
                <w:b/>
                <w:sz w:val="20"/>
                <w:szCs w:val="20"/>
                <w:lang w:val="zh-CN"/>
              </w:rPr>
              <w:t>，以便查询。</w:t>
            </w:r>
          </w:p>
          <w:p>
            <w:pPr>
              <w:spacing w:line="380" w:lineRule="exact"/>
              <w:ind w:left="300" w:hanging="300" w:hangingChars="150"/>
              <w:rPr>
                <w:rFonts w:ascii="微软雅黑" w:hAnsi="微软雅黑" w:cs="微软雅黑"/>
                <w:sz w:val="20"/>
                <w:szCs w:val="20"/>
              </w:rPr>
            </w:pPr>
            <w:r>
              <w:rPr>
                <w:rFonts w:hint="eastAsia" w:ascii="微软雅黑" w:hAnsi="微软雅黑" w:cs="微软雅黑"/>
                <w:sz w:val="20"/>
                <w:szCs w:val="20"/>
              </w:rPr>
              <w:t>3、有效期：投标保证金应在投标有效期内有效。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3.5</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投标有效期：90天。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3.6</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投标文件份数：正本一份，副本</w:t>
            </w:r>
            <w:r>
              <w:rPr>
                <w:rFonts w:hint="eastAsia" w:ascii="微软雅黑" w:hAnsi="微软雅黑" w:cs="微软雅黑"/>
                <w:color w:val="000000"/>
                <w:sz w:val="20"/>
                <w:szCs w:val="20"/>
                <w:lang w:val="en-US" w:eastAsia="zh-CN"/>
              </w:rPr>
              <w:t>6</w:t>
            </w:r>
            <w:r>
              <w:rPr>
                <w:rFonts w:hint="eastAsia" w:ascii="微软雅黑" w:hAnsi="微软雅黑" w:cs="微软雅黑"/>
                <w:color w:val="000000"/>
                <w:sz w:val="20"/>
                <w:szCs w:val="20"/>
              </w:rPr>
              <w:t>份，电子文件一份。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四、投标文件的递交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4.1</w:t>
            </w:r>
          </w:p>
        </w:tc>
        <w:tc>
          <w:tcPr>
            <w:tcW w:w="8793" w:type="dxa"/>
            <w:tcBorders>
              <w:top w:val="single" w:color="auto" w:sz="6" w:space="0"/>
              <w:left w:val="single" w:color="auto" w:sz="6" w:space="0"/>
              <w:bottom w:val="single" w:color="auto" w:sz="6" w:space="0"/>
              <w:right w:val="single" w:color="auto" w:sz="12" w:space="0"/>
            </w:tcBorders>
            <w:vAlign w:val="center"/>
          </w:tcPr>
          <w:p>
            <w:pPr>
              <w:ind w:left="100" w:hanging="100" w:hangingChars="50"/>
              <w:rPr>
                <w:rFonts w:ascii="微软雅黑" w:hAnsi="微软雅黑" w:cs="微软雅黑"/>
                <w:color w:val="000000"/>
                <w:sz w:val="20"/>
                <w:szCs w:val="20"/>
              </w:rPr>
            </w:pPr>
            <w:r>
              <w:rPr>
                <w:rFonts w:hint="eastAsia" w:ascii="微软雅黑" w:hAnsi="微软雅黑" w:cs="微软雅黑"/>
                <w:color w:val="000000"/>
                <w:sz w:val="20"/>
                <w:szCs w:val="20"/>
              </w:rPr>
              <w:t>投标文件递交地址：按招标文件投标邀请中规定。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4.2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开标日期、时间和地点：按招标文件投标邀请中规定。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color w:val="000000"/>
                <w:sz w:val="20"/>
                <w:szCs w:val="20"/>
              </w:rPr>
            </w:pPr>
            <w:r>
              <w:rPr>
                <w:rFonts w:hint="eastAsia" w:ascii="微软雅黑" w:hAnsi="微软雅黑" w:cs="微软雅黑"/>
                <w:b/>
                <w:color w:val="000000"/>
                <w:sz w:val="20"/>
                <w:szCs w:val="20"/>
              </w:rPr>
              <w:t>五、开标与评标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5.1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sz w:val="20"/>
                <w:szCs w:val="20"/>
              </w:rPr>
            </w:pPr>
            <w:r>
              <w:rPr>
                <w:rFonts w:hint="eastAsia" w:ascii="微软雅黑" w:hAnsi="微软雅黑" w:cs="微软雅黑"/>
                <w:sz w:val="20"/>
                <w:szCs w:val="20"/>
                <w:lang w:val="zh-CN"/>
              </w:rPr>
              <w:t>评委委员会由</w:t>
            </w:r>
            <w:r>
              <w:rPr>
                <w:rFonts w:hint="eastAsia" w:ascii="微软雅黑" w:hAnsi="微软雅黑" w:cs="微软雅黑"/>
                <w:sz w:val="20"/>
                <w:szCs w:val="20"/>
                <w:lang w:val="en-US" w:eastAsia="zh-CN"/>
              </w:rPr>
              <w:t>7</w:t>
            </w:r>
            <w:r>
              <w:rPr>
                <w:rFonts w:hint="eastAsia" w:ascii="微软雅黑" w:hAnsi="微软雅黑" w:cs="微软雅黑"/>
                <w:sz w:val="20"/>
                <w:szCs w:val="20"/>
                <w:lang w:val="zh-CN"/>
              </w:rPr>
              <w:t>名单数组成 ，若有业主代表参与评标则由专家库抽取的专家与采购人代表组成</w:t>
            </w:r>
            <w:r>
              <w:rPr>
                <w:rFonts w:hint="eastAsia" w:ascii="微软雅黑" w:hAnsi="微软雅黑" w:cs="微软雅黑"/>
                <w:sz w:val="20"/>
                <w:szCs w:val="20"/>
              </w:rPr>
              <w:t>；</w:t>
            </w:r>
            <w:r>
              <w:rPr>
                <w:rFonts w:hint="eastAsia" w:ascii="微软雅黑" w:hAnsi="微软雅黑" w:cs="微软雅黑"/>
                <w:sz w:val="20"/>
                <w:szCs w:val="20"/>
                <w:lang w:val="zh-CN"/>
              </w:rPr>
              <w:t>若无采购人代表参与评标，则由从专家库随机抽取的专家组成评标委员会。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5.2</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bCs/>
                <w:color w:val="000000"/>
                <w:sz w:val="20"/>
                <w:szCs w:val="20"/>
              </w:rPr>
            </w:pPr>
            <w:r>
              <w:rPr>
                <w:rFonts w:hint="eastAsia" w:ascii="微软雅黑" w:hAnsi="微软雅黑" w:cs="微软雅黑"/>
                <w:bCs/>
                <w:color w:val="000000"/>
                <w:sz w:val="20"/>
                <w:szCs w:val="20"/>
              </w:rPr>
              <w:t xml:space="preserve">评标方法：采用综合评分法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5.3</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bCs/>
                <w:sz w:val="20"/>
                <w:szCs w:val="20"/>
              </w:rPr>
            </w:pPr>
            <w:r>
              <w:rPr>
                <w:rFonts w:hint="eastAsia" w:ascii="微软雅黑" w:hAnsi="微软雅黑" w:cs="微软雅黑"/>
                <w:bCs/>
                <w:sz w:val="20"/>
                <w:szCs w:val="20"/>
              </w:rPr>
              <w:t>评标原则：</w:t>
            </w:r>
          </w:p>
          <w:p>
            <w:pPr>
              <w:spacing w:line="360" w:lineRule="auto"/>
              <w:rPr>
                <w:rFonts w:ascii="微软雅黑" w:hAnsi="微软雅黑" w:cs="微软雅黑"/>
                <w:bCs/>
                <w:color w:val="000000"/>
                <w:sz w:val="20"/>
                <w:szCs w:val="20"/>
              </w:rPr>
            </w:pPr>
            <w:r>
              <w:rPr>
                <w:rFonts w:hint="eastAsia" w:ascii="微软雅黑" w:hAnsi="微软雅黑" w:cs="微软雅黑"/>
                <w:sz w:val="20"/>
                <w:szCs w:val="20"/>
              </w:rPr>
              <w:t>本项目确定三家供应商。本项目共分</w:t>
            </w:r>
            <w:r>
              <w:rPr>
                <w:rFonts w:hint="eastAsia" w:ascii="微软雅黑" w:hAnsi="微软雅黑" w:cs="微软雅黑"/>
                <w:sz w:val="20"/>
                <w:szCs w:val="20"/>
                <w:lang w:val="en-US" w:eastAsia="zh-Hans"/>
              </w:rPr>
              <w:t>三</w:t>
            </w:r>
            <w:r>
              <w:rPr>
                <w:rFonts w:hint="eastAsia" w:ascii="微软雅黑" w:hAnsi="微软雅黑" w:cs="微软雅黑"/>
                <w:sz w:val="20"/>
                <w:szCs w:val="20"/>
              </w:rPr>
              <w:t>个子包，每个子包设一名中标候选人。投标人必须兼投但不可兼中。综合得分第一的投标人自动成为子包一的中标候选人，综合得分第二的投标人为子包二的中标候选人，综合得分第三的投标人为子包三的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sz w:val="20"/>
                <w:szCs w:val="20"/>
              </w:rPr>
            </w:pPr>
            <w:r>
              <w:rPr>
                <w:rFonts w:hint="eastAsia" w:ascii="微软雅黑" w:hAnsi="微软雅黑" w:cs="微软雅黑"/>
                <w:b/>
                <w:sz w:val="20"/>
                <w:szCs w:val="20"/>
              </w:rPr>
              <w:t>六、授予合同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6.1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00" w:lineRule="auto"/>
              <w:rPr>
                <w:rFonts w:ascii="微软雅黑" w:hAnsi="微软雅黑" w:cs="微软雅黑"/>
                <w:color w:val="000000"/>
                <w:sz w:val="20"/>
                <w:szCs w:val="20"/>
              </w:rPr>
            </w:pPr>
            <w:r>
              <w:rPr>
                <w:rFonts w:hint="eastAsia" w:ascii="微软雅黑" w:hAnsi="微软雅黑" w:cs="微软雅黑"/>
                <w:color w:val="000000"/>
                <w:sz w:val="20"/>
                <w:szCs w:val="20"/>
              </w:rPr>
              <w:t>合同签订时间：自《中标通知书》发出之日起三十个日历天内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6.2</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履约担保（履约保证金等）：详见用户需求书、合同条款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spacing w:line="380" w:lineRule="exact"/>
              <w:rPr>
                <w:rFonts w:ascii="微软雅黑" w:hAnsi="微软雅黑" w:cs="微软雅黑"/>
                <w:color w:val="FF0000"/>
                <w:sz w:val="20"/>
                <w:szCs w:val="20"/>
              </w:rPr>
            </w:pPr>
            <w:r>
              <w:rPr>
                <w:rFonts w:hint="eastAsia" w:ascii="微软雅黑" w:hAnsi="微软雅黑" w:cs="微软雅黑"/>
                <w:sz w:val="20"/>
                <w:szCs w:val="20"/>
              </w:rPr>
              <w:t>《合同通用条款》仅供参考，合同具体细则以采购人及中标人双方协定为准。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12" w:space="0"/>
              <w:right w:val="single" w:color="auto" w:sz="12" w:space="0"/>
            </w:tcBorders>
            <w:vAlign w:val="center"/>
          </w:tcPr>
          <w:p>
            <w:pPr>
              <w:spacing w:line="380" w:lineRule="exact"/>
              <w:rPr>
                <w:rFonts w:ascii="微软雅黑" w:hAnsi="微软雅黑" w:cs="微软雅黑"/>
                <w:color w:val="FF0000"/>
                <w:sz w:val="20"/>
                <w:szCs w:val="20"/>
              </w:rPr>
            </w:pPr>
            <w:r>
              <w:rPr>
                <w:rFonts w:hint="eastAsia" w:ascii="微软雅黑" w:hAnsi="微软雅黑" w:cs="微软雅黑"/>
                <w:sz w:val="20"/>
                <w:szCs w:val="20"/>
              </w:rPr>
              <w:t>补充条款：评审结果确定后，采购人根据需要通知评标委员会推荐的</w:t>
            </w:r>
            <w:r>
              <w:rPr>
                <w:rFonts w:hint="eastAsia" w:ascii="微软雅黑" w:hAnsi="微软雅黑" w:cs="微软雅黑"/>
                <w:color w:val="FF0000"/>
                <w:sz w:val="20"/>
                <w:szCs w:val="20"/>
              </w:rPr>
              <w:t>子包一中标候选人、子包二中标候选人、子包三中标候选人</w:t>
            </w:r>
            <w:r>
              <w:rPr>
                <w:rFonts w:hint="eastAsia" w:ascii="微软雅黑" w:hAnsi="微软雅黑" w:cs="微软雅黑"/>
                <w:sz w:val="20"/>
                <w:szCs w:val="20"/>
              </w:rPr>
              <w:t>在2个工作日内，按投标文件中所列清单中的相关证件、证明文件、合同等文件的原件送采购人核对与投标人投标文件中的复印件是否一致。采购人在接到原件之日起3个工作日内，核对没有不一致的，须确认中标人；核对发现有不一致或第一中标候选人无正当理由不按时提供原件的，书面向采购代理机构提出，并报同级或上级主管部门核实后按投标无效处理。</w:t>
            </w:r>
          </w:p>
        </w:tc>
      </w:tr>
    </w:tbl>
    <w:p>
      <w:pPr>
        <w:spacing w:line="360" w:lineRule="auto"/>
        <w:jc w:val="center"/>
        <w:outlineLvl w:val="0"/>
        <w:rPr>
          <w:rFonts w:ascii="黑体" w:hAnsi="华文中宋" w:eastAsia="黑体" w:cs="华文中宋"/>
          <w:b/>
          <w:bCs/>
          <w:sz w:val="32"/>
          <w:szCs w:val="32"/>
        </w:rPr>
      </w:pPr>
      <w:r>
        <w:br w:type="page"/>
      </w:r>
      <w:bookmarkStart w:id="2" w:name="_Toc453957423"/>
      <w:bookmarkStart w:id="3" w:name="_Toc453956663"/>
      <w:r>
        <w:rPr>
          <w:rFonts w:hint="eastAsia" w:ascii="黑体" w:hAnsi="华文中宋" w:eastAsia="黑体" w:cs="华文中宋"/>
          <w:b/>
          <w:bCs/>
          <w:sz w:val="32"/>
          <w:szCs w:val="32"/>
        </w:rPr>
        <w:t>第三章  用户需求书</w:t>
      </w:r>
      <w:bookmarkEnd w:id="2"/>
      <w:bookmarkEnd w:id="3"/>
    </w:p>
    <w:p>
      <w:pPr>
        <w:spacing w:line="360" w:lineRule="auto"/>
        <w:ind w:left="-525" w:firstLine="269" w:firstLineChars="128"/>
        <w:jc w:val="center"/>
        <w:rPr>
          <w:rFonts w:ascii="宋体"/>
          <w:b/>
          <w:sz w:val="21"/>
          <w:szCs w:val="21"/>
        </w:rPr>
      </w:pPr>
      <w:bookmarkStart w:id="4" w:name="_Toc481572857"/>
      <w:bookmarkEnd w:id="4"/>
      <w:bookmarkStart w:id="5" w:name="_Toc481571987"/>
      <w:bookmarkEnd w:id="5"/>
      <w:bookmarkStart w:id="6" w:name="_Toc462231890"/>
      <w:bookmarkEnd w:id="6"/>
      <w:bookmarkStart w:id="7" w:name="_Toc485024019"/>
      <w:bookmarkEnd w:id="7"/>
      <w:bookmarkStart w:id="8" w:name="_Toc485024262"/>
      <w:bookmarkEnd w:id="8"/>
      <w:bookmarkStart w:id="9" w:name="_Toc481573436"/>
      <w:bookmarkEnd w:id="9"/>
      <w:bookmarkStart w:id="10" w:name="_Toc481572318"/>
      <w:bookmarkEnd w:id="10"/>
      <w:bookmarkStart w:id="11" w:name="_Toc481501751"/>
      <w:bookmarkEnd w:id="11"/>
      <w:bookmarkStart w:id="12" w:name="_Toc481573618"/>
      <w:bookmarkEnd w:id="12"/>
      <w:bookmarkStart w:id="13" w:name="_Toc481572205"/>
      <w:bookmarkEnd w:id="13"/>
      <w:bookmarkStart w:id="14" w:name="_Toc481568952"/>
      <w:bookmarkEnd w:id="14"/>
      <w:bookmarkStart w:id="15" w:name="_Toc481572039"/>
      <w:bookmarkEnd w:id="15"/>
      <w:bookmarkStart w:id="16" w:name="_Toc485023212"/>
      <w:bookmarkEnd w:id="16"/>
      <w:bookmarkStart w:id="17" w:name="_Toc481572505"/>
      <w:bookmarkEnd w:id="17"/>
      <w:bookmarkStart w:id="18" w:name="_Toc481571925"/>
      <w:bookmarkEnd w:id="18"/>
      <w:bookmarkStart w:id="19" w:name="_Toc485023181"/>
      <w:bookmarkEnd w:id="19"/>
      <w:bookmarkStart w:id="20" w:name="_Toc481572434"/>
      <w:bookmarkEnd w:id="20"/>
      <w:bookmarkStart w:id="21" w:name="_Toc484792382"/>
      <w:bookmarkEnd w:id="21"/>
      <w:bookmarkStart w:id="22" w:name="_Toc484792441"/>
      <w:bookmarkEnd w:id="22"/>
      <w:bookmarkStart w:id="23" w:name="_Toc484792750"/>
      <w:bookmarkEnd w:id="23"/>
      <w:bookmarkStart w:id="24" w:name="_Toc481566537"/>
      <w:bookmarkEnd w:id="24"/>
      <w:bookmarkStart w:id="25" w:name="_Toc484792439"/>
      <w:bookmarkEnd w:id="25"/>
      <w:bookmarkStart w:id="26" w:name="_Toc481573149"/>
      <w:bookmarkEnd w:id="26"/>
      <w:bookmarkStart w:id="27" w:name="_Toc481572795"/>
      <w:bookmarkEnd w:id="27"/>
      <w:bookmarkStart w:id="28" w:name="_Toc485023768"/>
      <w:bookmarkEnd w:id="28"/>
      <w:bookmarkStart w:id="29" w:name="_Toc485024366"/>
      <w:bookmarkEnd w:id="29"/>
      <w:bookmarkStart w:id="30" w:name="_Toc417814839"/>
      <w:bookmarkEnd w:id="30"/>
      <w:bookmarkStart w:id="31" w:name="_Toc485022415"/>
      <w:bookmarkEnd w:id="31"/>
      <w:bookmarkStart w:id="32" w:name="_Toc485022016"/>
      <w:bookmarkEnd w:id="32"/>
      <w:bookmarkStart w:id="33" w:name="_Toc485023249"/>
      <w:bookmarkEnd w:id="33"/>
      <w:bookmarkStart w:id="34" w:name="_Toc481566367"/>
      <w:bookmarkEnd w:id="34"/>
      <w:bookmarkStart w:id="35" w:name="_Toc484792638"/>
      <w:bookmarkEnd w:id="35"/>
      <w:bookmarkStart w:id="36" w:name="_Toc481572220"/>
      <w:bookmarkEnd w:id="36"/>
      <w:bookmarkStart w:id="37" w:name="_Toc417327486"/>
      <w:bookmarkEnd w:id="37"/>
      <w:bookmarkStart w:id="38" w:name="_Toc481573323"/>
      <w:bookmarkEnd w:id="38"/>
      <w:bookmarkStart w:id="39" w:name="_Toc485023897"/>
      <w:bookmarkEnd w:id="39"/>
      <w:bookmarkStart w:id="40" w:name="_Toc417814840"/>
      <w:bookmarkEnd w:id="40"/>
      <w:bookmarkStart w:id="41" w:name="_Toc481572624"/>
      <w:bookmarkEnd w:id="41"/>
      <w:bookmarkStart w:id="42" w:name="_Toc485023995"/>
      <w:bookmarkEnd w:id="42"/>
      <w:bookmarkStart w:id="43" w:name="_Toc481572792"/>
      <w:bookmarkEnd w:id="43"/>
      <w:bookmarkStart w:id="44" w:name="_Toc481573653"/>
      <w:bookmarkEnd w:id="44"/>
      <w:bookmarkStart w:id="45" w:name="_Toc462071084"/>
      <w:bookmarkEnd w:id="45"/>
      <w:bookmarkStart w:id="46" w:name="_Toc485024106"/>
      <w:bookmarkEnd w:id="46"/>
      <w:bookmarkStart w:id="47" w:name="_Toc481573624"/>
      <w:bookmarkEnd w:id="47"/>
      <w:bookmarkStart w:id="48" w:name="_Toc485023200"/>
      <w:bookmarkEnd w:id="48"/>
      <w:bookmarkStart w:id="49" w:name="_Toc481572879"/>
      <w:bookmarkEnd w:id="49"/>
      <w:bookmarkStart w:id="50" w:name="_Toc485023873"/>
      <w:bookmarkEnd w:id="50"/>
      <w:bookmarkStart w:id="51" w:name="_Toc485024207"/>
      <w:bookmarkEnd w:id="51"/>
      <w:bookmarkStart w:id="52" w:name="_Toc485022618"/>
      <w:bookmarkEnd w:id="52"/>
      <w:bookmarkStart w:id="53" w:name="_Toc481572544"/>
      <w:bookmarkEnd w:id="53"/>
      <w:bookmarkStart w:id="54" w:name="_Toc485023737"/>
      <w:bookmarkEnd w:id="54"/>
      <w:bookmarkStart w:id="55" w:name="_Toc481572918"/>
      <w:bookmarkEnd w:id="55"/>
      <w:bookmarkStart w:id="56" w:name="_Toc485021671"/>
      <w:bookmarkEnd w:id="56"/>
      <w:bookmarkStart w:id="57" w:name="_Toc417815136"/>
      <w:bookmarkEnd w:id="57"/>
      <w:bookmarkStart w:id="58" w:name="_Toc485022702"/>
      <w:bookmarkEnd w:id="58"/>
      <w:bookmarkStart w:id="59" w:name="_Toc485022413"/>
      <w:bookmarkEnd w:id="59"/>
      <w:bookmarkStart w:id="60" w:name="_Toc485022450"/>
      <w:bookmarkEnd w:id="60"/>
      <w:bookmarkStart w:id="61" w:name="_Toc481573599"/>
      <w:bookmarkEnd w:id="61"/>
      <w:bookmarkStart w:id="62" w:name="_Toc485024199"/>
      <w:bookmarkEnd w:id="62"/>
      <w:bookmarkStart w:id="63" w:name="_Toc485024371"/>
      <w:bookmarkEnd w:id="63"/>
      <w:bookmarkStart w:id="64" w:name="_Toc485023153"/>
      <w:bookmarkEnd w:id="64"/>
      <w:bookmarkStart w:id="65" w:name="_Toc481566366"/>
      <w:bookmarkEnd w:id="65"/>
      <w:bookmarkStart w:id="66" w:name="_Toc484792448"/>
      <w:bookmarkEnd w:id="66"/>
      <w:bookmarkStart w:id="67" w:name="_Toc396921860"/>
      <w:bookmarkEnd w:id="67"/>
      <w:bookmarkStart w:id="68" w:name="_Toc485024208"/>
      <w:bookmarkEnd w:id="68"/>
      <w:bookmarkStart w:id="69" w:name="_Toc481566376"/>
      <w:bookmarkEnd w:id="69"/>
      <w:bookmarkStart w:id="70" w:name="_Toc484792512"/>
      <w:bookmarkEnd w:id="70"/>
      <w:bookmarkStart w:id="71" w:name="_Toc481573453"/>
      <w:bookmarkEnd w:id="71"/>
      <w:bookmarkStart w:id="72" w:name="_Toc417327432"/>
      <w:bookmarkEnd w:id="72"/>
      <w:bookmarkStart w:id="73" w:name="_Toc485024269"/>
      <w:bookmarkEnd w:id="73"/>
      <w:bookmarkStart w:id="74" w:name="_Toc417514018"/>
      <w:bookmarkEnd w:id="74"/>
      <w:bookmarkStart w:id="75" w:name="_Toc481571984"/>
      <w:bookmarkEnd w:id="75"/>
      <w:bookmarkStart w:id="76" w:name="_Toc481573025"/>
      <w:bookmarkEnd w:id="76"/>
      <w:bookmarkStart w:id="77" w:name="_Toc481573751"/>
      <w:bookmarkEnd w:id="77"/>
      <w:bookmarkStart w:id="78" w:name="_Toc481573578"/>
      <w:bookmarkEnd w:id="78"/>
      <w:bookmarkStart w:id="79" w:name="_Toc481573366"/>
      <w:bookmarkEnd w:id="79"/>
      <w:bookmarkStart w:id="80" w:name="_Toc485024231"/>
      <w:bookmarkEnd w:id="80"/>
      <w:bookmarkStart w:id="81" w:name="_Toc484792509"/>
      <w:bookmarkEnd w:id="81"/>
      <w:bookmarkStart w:id="82" w:name="_Toc485021628"/>
      <w:bookmarkEnd w:id="82"/>
      <w:bookmarkStart w:id="83" w:name="_Toc481572097"/>
      <w:bookmarkEnd w:id="83"/>
      <w:bookmarkStart w:id="84" w:name="_Toc485022613"/>
      <w:bookmarkEnd w:id="84"/>
      <w:bookmarkStart w:id="85" w:name="_Toc417514037"/>
      <w:bookmarkEnd w:id="85"/>
      <w:bookmarkStart w:id="86" w:name="_Toc484792603"/>
      <w:bookmarkEnd w:id="86"/>
      <w:bookmarkStart w:id="87" w:name="_Toc481571947"/>
      <w:bookmarkEnd w:id="87"/>
      <w:bookmarkStart w:id="88" w:name="_Toc484792656"/>
      <w:bookmarkEnd w:id="88"/>
      <w:bookmarkStart w:id="89" w:name="_Toc417637280"/>
      <w:bookmarkEnd w:id="89"/>
      <w:bookmarkStart w:id="90" w:name="_Toc417637129"/>
      <w:bookmarkEnd w:id="90"/>
      <w:bookmarkStart w:id="91" w:name="_Toc417814693"/>
      <w:bookmarkEnd w:id="91"/>
      <w:bookmarkStart w:id="92" w:name="_Toc481572721"/>
      <w:bookmarkEnd w:id="92"/>
      <w:bookmarkStart w:id="93" w:name="_Toc481571993"/>
      <w:bookmarkEnd w:id="93"/>
      <w:bookmarkStart w:id="94" w:name="_Toc481572957"/>
      <w:bookmarkEnd w:id="94"/>
      <w:bookmarkStart w:id="95" w:name="_Toc485023936"/>
      <w:bookmarkEnd w:id="95"/>
      <w:bookmarkStart w:id="96" w:name="_Toc485023351"/>
      <w:bookmarkEnd w:id="96"/>
      <w:bookmarkStart w:id="97" w:name="_Toc417401611"/>
      <w:bookmarkEnd w:id="97"/>
      <w:bookmarkStart w:id="98" w:name="_Toc481572254"/>
      <w:bookmarkEnd w:id="98"/>
      <w:bookmarkStart w:id="99" w:name="_Toc481572165"/>
      <w:bookmarkEnd w:id="99"/>
      <w:bookmarkStart w:id="100" w:name="_Toc417513856"/>
      <w:bookmarkEnd w:id="100"/>
      <w:bookmarkStart w:id="101" w:name="_Toc417514049"/>
      <w:bookmarkEnd w:id="101"/>
      <w:bookmarkStart w:id="102" w:name="_Toc481572954"/>
      <w:bookmarkEnd w:id="102"/>
      <w:bookmarkStart w:id="103" w:name="_Toc481569074"/>
      <w:bookmarkEnd w:id="103"/>
      <w:bookmarkStart w:id="104" w:name="_Toc481573152"/>
      <w:bookmarkEnd w:id="104"/>
      <w:bookmarkStart w:id="105" w:name="_Toc484792690"/>
      <w:bookmarkEnd w:id="105"/>
      <w:bookmarkStart w:id="106" w:name="_Toc485022453"/>
      <w:bookmarkEnd w:id="106"/>
      <w:bookmarkStart w:id="107" w:name="_Toc481566580"/>
      <w:bookmarkEnd w:id="107"/>
      <w:bookmarkStart w:id="108" w:name="_Toc417818575"/>
      <w:bookmarkEnd w:id="108"/>
      <w:bookmarkStart w:id="109" w:name="_Toc481568915"/>
      <w:bookmarkEnd w:id="109"/>
      <w:bookmarkStart w:id="110" w:name="_Toc417818740"/>
      <w:bookmarkEnd w:id="110"/>
      <w:bookmarkStart w:id="111" w:name="_Toc481572724"/>
      <w:bookmarkEnd w:id="111"/>
      <w:bookmarkStart w:id="112" w:name="_Toc417327283"/>
      <w:bookmarkEnd w:id="112"/>
      <w:bookmarkStart w:id="113" w:name="_Toc481572905"/>
      <w:bookmarkEnd w:id="113"/>
      <w:bookmarkStart w:id="114" w:name="_Toc485024041"/>
      <w:bookmarkEnd w:id="114"/>
      <w:bookmarkStart w:id="115" w:name="_Toc485023972"/>
      <w:bookmarkEnd w:id="115"/>
      <w:bookmarkStart w:id="116" w:name="_Toc485021784"/>
      <w:bookmarkEnd w:id="116"/>
      <w:bookmarkStart w:id="117" w:name="_Toc485023155"/>
      <w:bookmarkEnd w:id="117"/>
      <w:bookmarkStart w:id="118" w:name="_Toc481572449"/>
      <w:bookmarkEnd w:id="118"/>
      <w:bookmarkStart w:id="119" w:name="_Toc481572970"/>
      <w:bookmarkEnd w:id="119"/>
      <w:bookmarkStart w:id="120" w:name="_Toc481502021"/>
      <w:bookmarkEnd w:id="120"/>
      <w:bookmarkStart w:id="121" w:name="_Toc481573382"/>
      <w:bookmarkEnd w:id="121"/>
      <w:bookmarkStart w:id="122" w:name="_Toc481573687"/>
      <w:bookmarkEnd w:id="122"/>
      <w:bookmarkStart w:id="123" w:name="_Toc485022414"/>
      <w:bookmarkEnd w:id="123"/>
      <w:bookmarkStart w:id="124" w:name="_Toc485024035"/>
      <w:bookmarkEnd w:id="124"/>
      <w:bookmarkStart w:id="125" w:name="_Toc481573148"/>
      <w:bookmarkEnd w:id="125"/>
      <w:bookmarkStart w:id="126" w:name="_Toc481566521"/>
      <w:bookmarkEnd w:id="126"/>
      <w:bookmarkStart w:id="127" w:name="_Toc481573365"/>
      <w:bookmarkEnd w:id="127"/>
      <w:bookmarkStart w:id="128" w:name="_Toc417814889"/>
      <w:bookmarkEnd w:id="128"/>
      <w:bookmarkStart w:id="129" w:name="_Toc485022593"/>
      <w:bookmarkEnd w:id="129"/>
      <w:bookmarkStart w:id="130" w:name="_Toc481568975"/>
      <w:bookmarkEnd w:id="130"/>
      <w:bookmarkStart w:id="131" w:name="_Toc481573302"/>
      <w:bookmarkEnd w:id="131"/>
      <w:bookmarkStart w:id="132" w:name="_Toc485022501"/>
      <w:bookmarkEnd w:id="132"/>
      <w:bookmarkStart w:id="133" w:name="_Toc485022449"/>
      <w:bookmarkEnd w:id="133"/>
      <w:bookmarkStart w:id="134" w:name="_Toc481568954"/>
      <w:bookmarkEnd w:id="134"/>
      <w:bookmarkStart w:id="135" w:name="_Toc485022200"/>
      <w:bookmarkEnd w:id="135"/>
      <w:bookmarkStart w:id="136" w:name="_Toc481572202"/>
      <w:bookmarkEnd w:id="136"/>
      <w:bookmarkStart w:id="137" w:name="_Toc417632660"/>
      <w:bookmarkEnd w:id="137"/>
      <w:bookmarkStart w:id="138" w:name="_Toc484792534"/>
      <w:bookmarkEnd w:id="138"/>
      <w:bookmarkStart w:id="139" w:name="_Toc484792663"/>
      <w:bookmarkEnd w:id="139"/>
      <w:bookmarkStart w:id="140" w:name="_Toc485024030"/>
      <w:bookmarkEnd w:id="140"/>
      <w:bookmarkStart w:id="141" w:name="_Toc484792594"/>
      <w:bookmarkEnd w:id="141"/>
      <w:bookmarkStart w:id="142" w:name="_Toc484792520"/>
      <w:bookmarkEnd w:id="142"/>
      <w:bookmarkStart w:id="143" w:name="_Toc485024085"/>
      <w:bookmarkEnd w:id="143"/>
      <w:bookmarkStart w:id="144" w:name="_Toc481572258"/>
      <w:bookmarkEnd w:id="144"/>
      <w:bookmarkStart w:id="145" w:name="_Toc481572900"/>
      <w:bookmarkEnd w:id="145"/>
      <w:bookmarkStart w:id="146" w:name="_Toc485022077"/>
      <w:bookmarkEnd w:id="146"/>
      <w:bookmarkStart w:id="147" w:name="_Toc481572288"/>
      <w:bookmarkEnd w:id="147"/>
      <w:bookmarkStart w:id="148" w:name="_Toc481572755"/>
      <w:bookmarkEnd w:id="148"/>
      <w:bookmarkStart w:id="149" w:name="_Toc484792753"/>
      <w:bookmarkEnd w:id="149"/>
      <w:bookmarkStart w:id="150" w:name="_Toc485023762"/>
      <w:bookmarkEnd w:id="150"/>
      <w:bookmarkStart w:id="151" w:name="_Toc485022197"/>
      <w:bookmarkEnd w:id="151"/>
      <w:bookmarkStart w:id="152" w:name="_Toc485023970"/>
      <w:bookmarkEnd w:id="152"/>
      <w:bookmarkStart w:id="153" w:name="_Toc481572158"/>
      <w:bookmarkEnd w:id="153"/>
      <w:bookmarkStart w:id="154" w:name="_Toc485021980"/>
      <w:bookmarkEnd w:id="154"/>
      <w:bookmarkStart w:id="155" w:name="_Toc481566535"/>
      <w:bookmarkEnd w:id="155"/>
      <w:bookmarkStart w:id="156" w:name="_Toc481572200"/>
      <w:bookmarkEnd w:id="156"/>
      <w:bookmarkStart w:id="157" w:name="_Toc417637387"/>
      <w:bookmarkEnd w:id="157"/>
      <w:bookmarkStart w:id="158" w:name="_Toc485022494"/>
      <w:bookmarkEnd w:id="158"/>
      <w:bookmarkStart w:id="159" w:name="_Toc417815036"/>
      <w:bookmarkEnd w:id="159"/>
      <w:bookmarkStart w:id="160" w:name="_Toc485022412"/>
      <w:bookmarkEnd w:id="160"/>
      <w:bookmarkStart w:id="161" w:name="_Toc485023178"/>
      <w:bookmarkEnd w:id="161"/>
      <w:bookmarkStart w:id="162" w:name="_Toc485022294"/>
      <w:bookmarkEnd w:id="162"/>
      <w:bookmarkStart w:id="163" w:name="_Toc481573220"/>
      <w:bookmarkEnd w:id="163"/>
      <w:bookmarkStart w:id="164" w:name="_Toc481572391"/>
      <w:bookmarkEnd w:id="164"/>
      <w:bookmarkStart w:id="165" w:name="_Toc481572915"/>
      <w:bookmarkEnd w:id="165"/>
      <w:bookmarkStart w:id="166" w:name="_Toc485023898"/>
      <w:bookmarkEnd w:id="166"/>
      <w:bookmarkStart w:id="167" w:name="_Toc481572793"/>
      <w:bookmarkEnd w:id="167"/>
      <w:bookmarkStart w:id="168" w:name="_Toc484792728"/>
      <w:bookmarkEnd w:id="168"/>
      <w:bookmarkStart w:id="169" w:name="_Toc481502320"/>
      <w:bookmarkEnd w:id="169"/>
      <w:bookmarkStart w:id="170" w:name="_Toc485023899"/>
      <w:bookmarkEnd w:id="170"/>
      <w:bookmarkStart w:id="171" w:name="_Toc485022051"/>
      <w:bookmarkEnd w:id="171"/>
      <w:bookmarkStart w:id="172" w:name="_Toc484792493"/>
      <w:bookmarkEnd w:id="172"/>
      <w:bookmarkStart w:id="173" w:name="_Toc485022614"/>
      <w:bookmarkEnd w:id="173"/>
      <w:bookmarkStart w:id="174" w:name="_Toc485022139"/>
      <w:bookmarkEnd w:id="174"/>
      <w:bookmarkStart w:id="175" w:name="_Toc485022701"/>
      <w:bookmarkEnd w:id="175"/>
      <w:bookmarkStart w:id="176" w:name="_Toc481573370"/>
      <w:bookmarkEnd w:id="176"/>
      <w:bookmarkStart w:id="177" w:name="_Toc481502133"/>
      <w:bookmarkEnd w:id="177"/>
      <w:bookmarkStart w:id="178" w:name="_Toc485024004"/>
      <w:bookmarkEnd w:id="178"/>
      <w:bookmarkStart w:id="179" w:name="_Toc484792527"/>
      <w:bookmarkEnd w:id="179"/>
      <w:bookmarkStart w:id="180" w:name="_Toc481573088"/>
      <w:bookmarkEnd w:id="180"/>
      <w:bookmarkStart w:id="181" w:name="_Toc485022510"/>
      <w:bookmarkEnd w:id="181"/>
      <w:bookmarkStart w:id="182" w:name="_Toc485022362"/>
      <w:bookmarkEnd w:id="182"/>
      <w:bookmarkStart w:id="183" w:name="_Toc484792511"/>
      <w:bookmarkEnd w:id="183"/>
      <w:bookmarkStart w:id="184" w:name="_Toc485023295"/>
      <w:bookmarkEnd w:id="184"/>
      <w:bookmarkStart w:id="185" w:name="_Toc462071064"/>
      <w:bookmarkEnd w:id="185"/>
      <w:bookmarkStart w:id="186" w:name="_Toc417637368"/>
      <w:bookmarkEnd w:id="186"/>
      <w:bookmarkStart w:id="187" w:name="_Toc485021758"/>
      <w:bookmarkEnd w:id="187"/>
      <w:bookmarkStart w:id="188" w:name="_Toc417815089"/>
      <w:bookmarkEnd w:id="188"/>
      <w:bookmarkStart w:id="189" w:name="_Toc485024230"/>
      <w:bookmarkEnd w:id="189"/>
      <w:bookmarkStart w:id="190" w:name="_Toc481568950"/>
      <w:bookmarkEnd w:id="190"/>
      <w:bookmarkStart w:id="191" w:name="_Toc481501817"/>
      <w:bookmarkEnd w:id="191"/>
      <w:bookmarkStart w:id="192" w:name="_Toc481572902"/>
      <w:bookmarkEnd w:id="192"/>
      <w:bookmarkStart w:id="193" w:name="_Toc481571967"/>
      <w:bookmarkEnd w:id="193"/>
      <w:bookmarkStart w:id="194" w:name="_Toc481566427"/>
      <w:bookmarkEnd w:id="194"/>
      <w:bookmarkStart w:id="195" w:name="_Toc485022578"/>
      <w:bookmarkEnd w:id="195"/>
      <w:bookmarkStart w:id="196" w:name="_Toc417513902"/>
      <w:bookmarkEnd w:id="196"/>
      <w:bookmarkStart w:id="197" w:name="_Toc484792595"/>
      <w:bookmarkEnd w:id="197"/>
      <w:bookmarkStart w:id="198" w:name="_Toc485022402"/>
      <w:bookmarkEnd w:id="198"/>
      <w:bookmarkStart w:id="199" w:name="_Toc481566465"/>
      <w:bookmarkEnd w:id="199"/>
      <w:bookmarkStart w:id="200" w:name="_Toc485022568"/>
      <w:bookmarkEnd w:id="200"/>
      <w:bookmarkStart w:id="201" w:name="_Toc485022416"/>
      <w:bookmarkEnd w:id="201"/>
      <w:bookmarkStart w:id="202" w:name="_Toc481572563"/>
      <w:bookmarkEnd w:id="202"/>
      <w:bookmarkStart w:id="203" w:name="_Toc481569021"/>
      <w:bookmarkEnd w:id="203"/>
      <w:bookmarkStart w:id="204" w:name="_Toc485022704"/>
      <w:bookmarkEnd w:id="204"/>
      <w:bookmarkStart w:id="205" w:name="_Toc484792657"/>
      <w:bookmarkEnd w:id="205"/>
      <w:bookmarkStart w:id="206" w:name="_Toc481573535"/>
      <w:bookmarkEnd w:id="206"/>
      <w:bookmarkStart w:id="207" w:name="_Toc484792380"/>
      <w:bookmarkEnd w:id="207"/>
      <w:bookmarkStart w:id="208" w:name="_Toc484792438"/>
      <w:bookmarkEnd w:id="208"/>
      <w:bookmarkStart w:id="209" w:name="_Toc417819026"/>
      <w:bookmarkEnd w:id="209"/>
      <w:bookmarkStart w:id="210" w:name="_Toc485024001"/>
      <w:bookmarkEnd w:id="210"/>
      <w:bookmarkStart w:id="211" w:name="_Toc485022320"/>
      <w:bookmarkEnd w:id="211"/>
      <w:bookmarkStart w:id="212" w:name="_Toc485021689"/>
      <w:bookmarkEnd w:id="212"/>
      <w:bookmarkStart w:id="213" w:name="_Toc481573491"/>
      <w:bookmarkEnd w:id="213"/>
      <w:bookmarkStart w:id="214" w:name="_Toc481501971"/>
      <w:bookmarkEnd w:id="214"/>
      <w:bookmarkStart w:id="215" w:name="_Toc484792708"/>
      <w:bookmarkEnd w:id="215"/>
      <w:bookmarkStart w:id="216" w:name="_Toc484792536"/>
      <w:bookmarkEnd w:id="216"/>
      <w:bookmarkStart w:id="217" w:name="_Toc484792379"/>
      <w:bookmarkEnd w:id="217"/>
      <w:bookmarkStart w:id="218" w:name="_Toc417637333"/>
      <w:bookmarkEnd w:id="218"/>
      <w:bookmarkStart w:id="219" w:name="_Toc481502243"/>
      <w:bookmarkEnd w:id="219"/>
      <w:bookmarkStart w:id="220" w:name="_Toc485022734"/>
      <w:bookmarkEnd w:id="220"/>
      <w:bookmarkStart w:id="221" w:name="_Toc481501946"/>
      <w:bookmarkEnd w:id="221"/>
      <w:bookmarkStart w:id="222" w:name="_Toc485021944"/>
      <w:bookmarkEnd w:id="222"/>
      <w:bookmarkStart w:id="223" w:name="_Toc485023202"/>
      <w:bookmarkEnd w:id="223"/>
      <w:bookmarkStart w:id="224" w:name="_Toc481573250"/>
      <w:bookmarkEnd w:id="224"/>
      <w:bookmarkStart w:id="225" w:name="_Toc484792389"/>
      <w:bookmarkEnd w:id="225"/>
      <w:bookmarkStart w:id="226" w:name="_Toc462231845"/>
      <w:bookmarkEnd w:id="226"/>
      <w:bookmarkStart w:id="227" w:name="_Toc481502214"/>
      <w:bookmarkEnd w:id="227"/>
      <w:bookmarkStart w:id="228" w:name="_Toc481573419"/>
      <w:bookmarkEnd w:id="228"/>
      <w:bookmarkStart w:id="229" w:name="_Toc484792604"/>
      <w:bookmarkEnd w:id="229"/>
      <w:bookmarkStart w:id="230" w:name="_Toc481572558"/>
      <w:bookmarkEnd w:id="230"/>
      <w:bookmarkStart w:id="231" w:name="_Toc485022632"/>
      <w:bookmarkEnd w:id="231"/>
      <w:bookmarkStart w:id="232" w:name="_Toc485022399"/>
      <w:bookmarkEnd w:id="232"/>
      <w:bookmarkStart w:id="233" w:name="_Toc485021650"/>
      <w:bookmarkEnd w:id="233"/>
      <w:bookmarkStart w:id="234" w:name="_Toc481572901"/>
      <w:bookmarkEnd w:id="234"/>
      <w:bookmarkStart w:id="235" w:name="_Toc485021965"/>
      <w:bookmarkEnd w:id="235"/>
      <w:bookmarkStart w:id="236" w:name="_Toc481573564"/>
      <w:bookmarkEnd w:id="236"/>
      <w:bookmarkStart w:id="237" w:name="_Toc485021786"/>
      <w:bookmarkEnd w:id="237"/>
      <w:bookmarkStart w:id="238" w:name="_Toc417327236"/>
      <w:bookmarkEnd w:id="238"/>
      <w:bookmarkStart w:id="239" w:name="_Toc481573455"/>
      <w:bookmarkEnd w:id="239"/>
      <w:bookmarkStart w:id="240" w:name="_Toc417818902"/>
      <w:bookmarkEnd w:id="240"/>
      <w:bookmarkStart w:id="241" w:name="_Toc417814838"/>
      <w:bookmarkEnd w:id="241"/>
      <w:bookmarkStart w:id="242" w:name="_Toc485023765"/>
      <w:bookmarkEnd w:id="242"/>
      <w:bookmarkStart w:id="243" w:name="_Toc485022085"/>
      <w:bookmarkEnd w:id="243"/>
      <w:bookmarkStart w:id="244" w:name="_Toc417632572"/>
      <w:bookmarkEnd w:id="244"/>
      <w:bookmarkStart w:id="245" w:name="_Toc481569067"/>
      <w:bookmarkEnd w:id="245"/>
      <w:bookmarkStart w:id="246" w:name="_Toc485023771"/>
      <w:bookmarkEnd w:id="246"/>
      <w:bookmarkStart w:id="247" w:name="_Toc485022666"/>
      <w:bookmarkEnd w:id="247"/>
      <w:bookmarkStart w:id="248" w:name="_Toc481572625"/>
      <w:bookmarkEnd w:id="248"/>
      <w:bookmarkStart w:id="249" w:name="_Toc481566411"/>
      <w:bookmarkEnd w:id="249"/>
      <w:bookmarkStart w:id="250" w:name="_Toc481573186"/>
      <w:bookmarkEnd w:id="250"/>
      <w:bookmarkStart w:id="251" w:name="_Toc481572683"/>
      <w:bookmarkEnd w:id="251"/>
      <w:bookmarkStart w:id="252" w:name="_Toc485024352"/>
      <w:bookmarkEnd w:id="252"/>
      <w:bookmarkStart w:id="253" w:name="_Toc481572459"/>
      <w:bookmarkEnd w:id="253"/>
      <w:bookmarkStart w:id="254" w:name="_Toc481573723"/>
      <w:bookmarkEnd w:id="254"/>
      <w:bookmarkStart w:id="255" w:name="_Toc485023285"/>
      <w:bookmarkEnd w:id="255"/>
      <w:bookmarkStart w:id="256" w:name="_Toc485023197"/>
      <w:bookmarkEnd w:id="256"/>
      <w:bookmarkStart w:id="257" w:name="_Toc481572586"/>
      <w:bookmarkEnd w:id="257"/>
      <w:bookmarkStart w:id="258" w:name="_Toc417327351"/>
      <w:bookmarkEnd w:id="258"/>
      <w:bookmarkStart w:id="259" w:name="_Toc417632600"/>
      <w:bookmarkEnd w:id="259"/>
      <w:bookmarkStart w:id="260" w:name="_Toc396921760"/>
      <w:bookmarkEnd w:id="260"/>
      <w:bookmarkStart w:id="261" w:name="_Toc481568968"/>
      <w:bookmarkEnd w:id="261"/>
      <w:bookmarkStart w:id="262" w:name="_Toc485024140"/>
      <w:bookmarkEnd w:id="262"/>
      <w:bookmarkStart w:id="263" w:name="_Toc485022334"/>
      <w:bookmarkEnd w:id="263"/>
      <w:bookmarkStart w:id="264" w:name="_Toc417513854"/>
      <w:bookmarkEnd w:id="264"/>
      <w:bookmarkStart w:id="265" w:name="_Toc481572272"/>
      <w:bookmarkEnd w:id="265"/>
      <w:bookmarkStart w:id="266" w:name="_Toc417818981"/>
      <w:bookmarkEnd w:id="266"/>
      <w:bookmarkStart w:id="267" w:name="_Toc481573670"/>
      <w:bookmarkEnd w:id="267"/>
      <w:bookmarkStart w:id="268" w:name="_Toc481566481"/>
      <w:bookmarkEnd w:id="268"/>
      <w:bookmarkStart w:id="269" w:name="_Toc481573726"/>
      <w:bookmarkEnd w:id="269"/>
      <w:bookmarkStart w:id="270" w:name="_Toc481572991"/>
      <w:bookmarkEnd w:id="270"/>
      <w:bookmarkStart w:id="271" w:name="_Toc485021969"/>
      <w:bookmarkEnd w:id="271"/>
      <w:bookmarkStart w:id="272" w:name="_Toc485022081"/>
      <w:bookmarkEnd w:id="272"/>
      <w:bookmarkStart w:id="273" w:name="_Toc481573224"/>
      <w:bookmarkEnd w:id="273"/>
      <w:bookmarkStart w:id="274" w:name="_Toc485023267"/>
      <w:bookmarkEnd w:id="274"/>
      <w:bookmarkStart w:id="275" w:name="_Toc481501836"/>
      <w:bookmarkEnd w:id="275"/>
      <w:bookmarkStart w:id="276" w:name="_Toc481572093"/>
      <w:bookmarkEnd w:id="276"/>
      <w:bookmarkStart w:id="277" w:name="_Toc481573137"/>
      <w:bookmarkEnd w:id="277"/>
      <w:bookmarkStart w:id="278" w:name="_Toc485024138"/>
      <w:bookmarkEnd w:id="278"/>
      <w:bookmarkStart w:id="279" w:name="_Toc481573614"/>
      <w:bookmarkEnd w:id="279"/>
      <w:bookmarkStart w:id="280" w:name="_Toc481572671"/>
      <w:bookmarkEnd w:id="280"/>
      <w:bookmarkStart w:id="281" w:name="_Toc485023800"/>
      <w:bookmarkEnd w:id="281"/>
      <w:bookmarkStart w:id="282" w:name="_Toc485021930"/>
      <w:bookmarkEnd w:id="282"/>
      <w:bookmarkStart w:id="283" w:name="_Toc484792475"/>
      <w:bookmarkEnd w:id="283"/>
      <w:bookmarkStart w:id="284" w:name="_Toc484792641"/>
      <w:bookmarkEnd w:id="284"/>
      <w:bookmarkStart w:id="285" w:name="_Toc485024375"/>
      <w:bookmarkEnd w:id="285"/>
      <w:bookmarkStart w:id="286" w:name="_Toc485023782"/>
      <w:bookmarkEnd w:id="286"/>
      <w:bookmarkStart w:id="287" w:name="_Toc481572253"/>
      <w:bookmarkEnd w:id="287"/>
      <w:bookmarkStart w:id="288" w:name="_Toc481572180"/>
      <w:bookmarkEnd w:id="288"/>
      <w:bookmarkStart w:id="289" w:name="_Toc485022448"/>
      <w:bookmarkEnd w:id="289"/>
      <w:bookmarkStart w:id="290" w:name="_Toc481572864"/>
      <w:bookmarkEnd w:id="290"/>
      <w:bookmarkStart w:id="291" w:name="_Toc485023162"/>
      <w:bookmarkEnd w:id="291"/>
      <w:bookmarkStart w:id="292" w:name="_Toc485022485"/>
      <w:bookmarkEnd w:id="292"/>
      <w:bookmarkStart w:id="293" w:name="_Toc485022630"/>
      <w:bookmarkEnd w:id="293"/>
      <w:bookmarkStart w:id="294" w:name="_Toc485024331"/>
      <w:bookmarkEnd w:id="294"/>
      <w:bookmarkStart w:id="295" w:name="_Toc485023922"/>
      <w:bookmarkEnd w:id="295"/>
      <w:bookmarkStart w:id="296" w:name="_Toc485024248"/>
      <w:bookmarkEnd w:id="296"/>
      <w:bookmarkStart w:id="297" w:name="_Toc481573652"/>
      <w:bookmarkEnd w:id="297"/>
      <w:bookmarkStart w:id="298" w:name="_Toc481573028"/>
      <w:bookmarkEnd w:id="298"/>
      <w:bookmarkStart w:id="299" w:name="_Toc485024297"/>
      <w:bookmarkEnd w:id="299"/>
      <w:bookmarkStart w:id="300" w:name="_Toc481572448"/>
      <w:bookmarkEnd w:id="300"/>
      <w:bookmarkStart w:id="301" w:name="_Toc417327264"/>
      <w:bookmarkEnd w:id="301"/>
      <w:bookmarkStart w:id="302" w:name="_Toc481568906"/>
      <w:bookmarkEnd w:id="302"/>
      <w:bookmarkStart w:id="303" w:name="_Toc481572865"/>
      <w:bookmarkEnd w:id="303"/>
      <w:bookmarkStart w:id="304" w:name="_Toc481568907"/>
      <w:bookmarkEnd w:id="304"/>
      <w:bookmarkStart w:id="305" w:name="_Toc481573385"/>
      <w:bookmarkEnd w:id="305"/>
      <w:bookmarkStart w:id="306" w:name="_Toc485023154"/>
      <w:bookmarkEnd w:id="306"/>
      <w:bookmarkStart w:id="307" w:name="_Toc481573732"/>
      <w:bookmarkEnd w:id="307"/>
      <w:bookmarkStart w:id="308" w:name="_Toc481573259"/>
      <w:bookmarkEnd w:id="308"/>
      <w:bookmarkStart w:id="309" w:name="_Toc481572562"/>
      <w:bookmarkEnd w:id="309"/>
      <w:bookmarkStart w:id="310" w:name="_Toc481572217"/>
      <w:bookmarkEnd w:id="310"/>
      <w:bookmarkStart w:id="311" w:name="_Toc485022396"/>
      <w:bookmarkEnd w:id="311"/>
      <w:bookmarkStart w:id="312" w:name="_Toc485023887"/>
      <w:bookmarkEnd w:id="312"/>
      <w:bookmarkStart w:id="313" w:name="_Toc481572672"/>
      <w:bookmarkEnd w:id="313"/>
      <w:bookmarkStart w:id="314" w:name="_Toc484792777"/>
      <w:bookmarkEnd w:id="314"/>
      <w:bookmarkStart w:id="315" w:name="_Toc485021674"/>
      <w:bookmarkEnd w:id="315"/>
      <w:bookmarkStart w:id="316" w:name="_Toc481572059"/>
      <w:bookmarkEnd w:id="316"/>
      <w:bookmarkStart w:id="317" w:name="_Toc417327246"/>
      <w:bookmarkEnd w:id="317"/>
      <w:bookmarkStart w:id="318" w:name="_Toc484792596"/>
      <w:bookmarkEnd w:id="318"/>
      <w:bookmarkStart w:id="319" w:name="_Toc481573135"/>
      <w:bookmarkEnd w:id="319"/>
      <w:bookmarkStart w:id="320" w:name="_Toc481572095"/>
      <w:bookmarkEnd w:id="320"/>
      <w:bookmarkStart w:id="321" w:name="_Toc485024086"/>
      <w:bookmarkEnd w:id="321"/>
      <w:bookmarkStart w:id="322" w:name="_Toc417818694"/>
      <w:bookmarkEnd w:id="322"/>
      <w:bookmarkStart w:id="323" w:name="_Toc485024300"/>
      <w:bookmarkEnd w:id="323"/>
      <w:bookmarkStart w:id="324" w:name="_Toc481572399"/>
      <w:bookmarkEnd w:id="324"/>
      <w:bookmarkStart w:id="325" w:name="_Toc485021929"/>
      <w:bookmarkEnd w:id="325"/>
      <w:bookmarkStart w:id="326" w:name="_Toc484792642"/>
      <w:bookmarkEnd w:id="326"/>
      <w:bookmarkStart w:id="327" w:name="_Toc485023785"/>
      <w:bookmarkEnd w:id="327"/>
      <w:bookmarkStart w:id="328" w:name="_Toc481573423"/>
      <w:bookmarkEnd w:id="328"/>
      <w:bookmarkStart w:id="329" w:name="_Toc485022597"/>
      <w:bookmarkEnd w:id="329"/>
      <w:bookmarkStart w:id="330" w:name="_Toc485022145"/>
      <w:bookmarkEnd w:id="330"/>
      <w:bookmarkStart w:id="331" w:name="_Toc485022196"/>
      <w:bookmarkEnd w:id="331"/>
      <w:bookmarkStart w:id="332" w:name="_Toc481573494"/>
      <w:bookmarkEnd w:id="332"/>
      <w:bookmarkStart w:id="333" w:name="_Toc485022400"/>
      <w:bookmarkEnd w:id="333"/>
      <w:bookmarkStart w:id="334" w:name="_Toc481569007"/>
      <w:bookmarkEnd w:id="334"/>
      <w:bookmarkStart w:id="335" w:name="_Toc485023869"/>
      <w:bookmarkEnd w:id="335"/>
      <w:bookmarkStart w:id="336" w:name="_Toc481572631"/>
      <w:bookmarkEnd w:id="336"/>
      <w:bookmarkStart w:id="337" w:name="_Toc481571983"/>
      <w:bookmarkEnd w:id="337"/>
      <w:bookmarkStart w:id="338" w:name="_Toc481573285"/>
      <w:bookmarkEnd w:id="338"/>
      <w:bookmarkStart w:id="339" w:name="_Toc485023835"/>
      <w:bookmarkEnd w:id="339"/>
      <w:bookmarkStart w:id="340" w:name="_Toc417637164"/>
      <w:bookmarkEnd w:id="340"/>
      <w:bookmarkStart w:id="341" w:name="_Toc485022592"/>
      <w:bookmarkEnd w:id="341"/>
      <w:bookmarkStart w:id="342" w:name="_Toc481573017"/>
      <w:bookmarkEnd w:id="342"/>
      <w:bookmarkStart w:id="343" w:name="_Toc481572157"/>
      <w:bookmarkEnd w:id="343"/>
      <w:bookmarkStart w:id="344" w:name="_Toc417815090"/>
      <w:bookmarkEnd w:id="344"/>
      <w:bookmarkStart w:id="345" w:name="_Toc481573221"/>
      <w:bookmarkEnd w:id="345"/>
      <w:bookmarkStart w:id="346" w:name="_Toc481566436"/>
      <w:bookmarkEnd w:id="346"/>
      <w:bookmarkStart w:id="347" w:name="_Toc481502430"/>
      <w:bookmarkEnd w:id="347"/>
      <w:bookmarkStart w:id="348" w:name="_Toc417818682"/>
      <w:bookmarkEnd w:id="348"/>
      <w:bookmarkStart w:id="349" w:name="_Toc481572216"/>
      <w:bookmarkEnd w:id="349"/>
      <w:bookmarkStart w:id="350" w:name="_Toc481572092"/>
      <w:bookmarkEnd w:id="350"/>
      <w:bookmarkStart w:id="351" w:name="_Toc485021722"/>
      <w:bookmarkEnd w:id="351"/>
      <w:bookmarkStart w:id="352" w:name="_Toc485023201"/>
      <w:bookmarkEnd w:id="352"/>
      <w:bookmarkStart w:id="353" w:name="_Toc481569083"/>
      <w:bookmarkEnd w:id="353"/>
      <w:bookmarkStart w:id="354" w:name="_Toc485022186"/>
      <w:bookmarkEnd w:id="354"/>
      <w:bookmarkStart w:id="355" w:name="_Toc481568905"/>
      <w:bookmarkEnd w:id="355"/>
      <w:bookmarkStart w:id="356" w:name="_Toc485024021"/>
      <w:bookmarkEnd w:id="356"/>
      <w:bookmarkStart w:id="357" w:name="_Toc485024232"/>
      <w:bookmarkEnd w:id="357"/>
      <w:bookmarkStart w:id="358" w:name="_Toc481572101"/>
      <w:bookmarkEnd w:id="358"/>
      <w:bookmarkStart w:id="359" w:name="_Toc481572201"/>
      <w:bookmarkEnd w:id="359"/>
      <w:bookmarkStart w:id="360" w:name="_Toc484792427"/>
      <w:bookmarkEnd w:id="360"/>
      <w:bookmarkStart w:id="361" w:name="_Toc481568964"/>
      <w:bookmarkEnd w:id="361"/>
      <w:bookmarkStart w:id="362" w:name="_Toc417327449"/>
      <w:bookmarkEnd w:id="362"/>
      <w:bookmarkStart w:id="363" w:name="_Toc485021696"/>
      <w:bookmarkEnd w:id="363"/>
      <w:bookmarkStart w:id="364" w:name="_Toc485022118"/>
      <w:bookmarkEnd w:id="364"/>
      <w:bookmarkStart w:id="365" w:name="_Toc481573709"/>
      <w:bookmarkEnd w:id="365"/>
      <w:bookmarkStart w:id="366" w:name="_Toc481572398"/>
      <w:bookmarkEnd w:id="366"/>
      <w:bookmarkStart w:id="367" w:name="_Toc484792640"/>
      <w:bookmarkEnd w:id="367"/>
      <w:bookmarkStart w:id="368" w:name="_Toc481502027"/>
      <w:bookmarkEnd w:id="368"/>
      <w:bookmarkStart w:id="369" w:name="_Toc481566426"/>
      <w:bookmarkEnd w:id="369"/>
      <w:bookmarkStart w:id="370" w:name="_Toc481572523"/>
      <w:bookmarkEnd w:id="370"/>
      <w:bookmarkStart w:id="371" w:name="_Toc417819142"/>
      <w:bookmarkEnd w:id="371"/>
      <w:bookmarkStart w:id="372" w:name="_Toc481573187"/>
      <w:bookmarkEnd w:id="372"/>
      <w:bookmarkStart w:id="373" w:name="_Toc417818741"/>
      <w:bookmarkEnd w:id="373"/>
      <w:bookmarkStart w:id="374" w:name="_Toc484792654"/>
      <w:bookmarkEnd w:id="374"/>
      <w:bookmarkStart w:id="375" w:name="_Toc485022136"/>
      <w:bookmarkEnd w:id="375"/>
      <w:bookmarkStart w:id="376" w:name="_Toc485023183"/>
      <w:bookmarkEnd w:id="376"/>
      <w:bookmarkStart w:id="377" w:name="_Toc485023337"/>
      <w:bookmarkEnd w:id="377"/>
      <w:bookmarkStart w:id="378" w:name="_Toc485022054"/>
      <w:bookmarkEnd w:id="378"/>
      <w:bookmarkStart w:id="379" w:name="_Toc485023971"/>
      <w:bookmarkEnd w:id="379"/>
      <w:bookmarkStart w:id="380" w:name="_Toc481572436"/>
      <w:bookmarkEnd w:id="380"/>
      <w:bookmarkStart w:id="381" w:name="_Toc485022616"/>
      <w:bookmarkEnd w:id="381"/>
      <w:bookmarkStart w:id="382" w:name="_Toc481572204"/>
      <w:bookmarkEnd w:id="382"/>
      <w:bookmarkStart w:id="383" w:name="_Toc485023903"/>
      <w:bookmarkEnd w:id="383"/>
      <w:bookmarkStart w:id="384" w:name="_Toc485023998"/>
      <w:bookmarkEnd w:id="384"/>
      <w:bookmarkStart w:id="385" w:name="_Toc481571932"/>
      <w:bookmarkEnd w:id="385"/>
      <w:bookmarkStart w:id="386" w:name="_Toc481573418"/>
      <w:bookmarkEnd w:id="386"/>
      <w:bookmarkStart w:id="387" w:name="_Toc481572452"/>
      <w:bookmarkEnd w:id="387"/>
      <w:bookmarkStart w:id="388" w:name="_Toc485023268"/>
      <w:bookmarkEnd w:id="388"/>
      <w:bookmarkStart w:id="389" w:name="_Toc481573203"/>
      <w:bookmarkEnd w:id="389"/>
      <w:bookmarkStart w:id="390" w:name="_Toc484792381"/>
      <w:bookmarkEnd w:id="390"/>
      <w:bookmarkStart w:id="391" w:name="_Toc485022267"/>
      <w:bookmarkEnd w:id="391"/>
      <w:bookmarkStart w:id="392" w:name="_Toc417637350"/>
      <w:bookmarkEnd w:id="392"/>
      <w:bookmarkStart w:id="393" w:name="_Toc485022017"/>
      <w:bookmarkEnd w:id="393"/>
      <w:bookmarkStart w:id="394" w:name="_Toc485022569"/>
      <w:bookmarkEnd w:id="394"/>
      <w:bookmarkStart w:id="395" w:name="_Toc485021966"/>
      <w:bookmarkEnd w:id="395"/>
      <w:bookmarkStart w:id="396" w:name="_Toc485024002"/>
      <w:bookmarkEnd w:id="396"/>
      <w:bookmarkStart w:id="397" w:name="_Toc481572668"/>
      <w:bookmarkEnd w:id="397"/>
      <w:bookmarkStart w:id="398" w:name="_Toc481572289"/>
      <w:bookmarkEnd w:id="398"/>
      <w:bookmarkStart w:id="399" w:name="_Toc484792689"/>
      <w:bookmarkEnd w:id="399"/>
      <w:bookmarkStart w:id="400" w:name="_Toc481573727"/>
      <w:bookmarkEnd w:id="400"/>
      <w:bookmarkStart w:id="401" w:name="_Toc481573097"/>
      <w:bookmarkEnd w:id="401"/>
      <w:bookmarkStart w:id="402" w:name="_Toc485024223"/>
      <w:bookmarkEnd w:id="402"/>
      <w:bookmarkStart w:id="403" w:name="_Toc481573600"/>
      <w:bookmarkEnd w:id="403"/>
      <w:bookmarkStart w:id="404" w:name="_Toc485024330"/>
      <w:bookmarkEnd w:id="404"/>
      <w:bookmarkStart w:id="405" w:name="_Toc481572603"/>
      <w:bookmarkEnd w:id="405"/>
      <w:bookmarkStart w:id="406" w:name="_Toc396921850"/>
      <w:bookmarkEnd w:id="406"/>
      <w:bookmarkStart w:id="407" w:name="_Toc481566540"/>
      <w:bookmarkEnd w:id="407"/>
      <w:bookmarkStart w:id="408" w:name="_Toc481572904"/>
      <w:bookmarkEnd w:id="408"/>
      <w:bookmarkStart w:id="409" w:name="_Toc417815271"/>
      <w:bookmarkEnd w:id="409"/>
      <w:bookmarkStart w:id="410" w:name="_Toc485023895"/>
      <w:bookmarkEnd w:id="410"/>
      <w:bookmarkStart w:id="411" w:name="_Toc485021670"/>
      <w:bookmarkEnd w:id="411"/>
      <w:bookmarkStart w:id="412" w:name="_Toc417637146"/>
      <w:bookmarkEnd w:id="412"/>
      <w:bookmarkStart w:id="413" w:name="_Toc485023761"/>
      <w:bookmarkEnd w:id="413"/>
      <w:bookmarkStart w:id="414" w:name="_Toc481572437"/>
      <w:bookmarkEnd w:id="414"/>
      <w:bookmarkStart w:id="415" w:name="_Toc481566428"/>
      <w:bookmarkEnd w:id="415"/>
      <w:bookmarkStart w:id="416" w:name="_Toc485021690"/>
      <w:bookmarkEnd w:id="416"/>
      <w:bookmarkStart w:id="417" w:name="_Toc485024102"/>
      <w:bookmarkEnd w:id="417"/>
      <w:bookmarkStart w:id="418" w:name="_Toc481568955"/>
      <w:bookmarkEnd w:id="418"/>
      <w:bookmarkStart w:id="419" w:name="_Toc481573495"/>
      <w:bookmarkEnd w:id="419"/>
      <w:bookmarkStart w:id="420" w:name="_Toc485022511"/>
      <w:bookmarkEnd w:id="420"/>
      <w:bookmarkStart w:id="421" w:name="_Toc417818814"/>
      <w:bookmarkEnd w:id="421"/>
      <w:bookmarkStart w:id="422" w:name="_Toc481573557"/>
      <w:bookmarkEnd w:id="422"/>
      <w:bookmarkStart w:id="423" w:name="_Toc481573262"/>
      <w:bookmarkEnd w:id="423"/>
      <w:bookmarkStart w:id="424" w:name="_Toc481572055"/>
      <w:bookmarkEnd w:id="424"/>
      <w:bookmarkStart w:id="425" w:name="_Toc485022069"/>
      <w:bookmarkEnd w:id="425"/>
      <w:bookmarkStart w:id="426" w:name="_Toc485023309"/>
      <w:bookmarkEnd w:id="426"/>
      <w:bookmarkStart w:id="427" w:name="_Toc485022354"/>
      <w:bookmarkEnd w:id="427"/>
      <w:bookmarkStart w:id="428" w:name="_Toc484792791"/>
      <w:bookmarkEnd w:id="428"/>
      <w:bookmarkStart w:id="429" w:name="_Toc481573266"/>
      <w:bookmarkEnd w:id="429"/>
      <w:bookmarkStart w:id="430" w:name="_Toc481573010"/>
      <w:bookmarkEnd w:id="430"/>
      <w:bookmarkStart w:id="431" w:name="_Toc485022018"/>
      <w:bookmarkEnd w:id="431"/>
      <w:bookmarkStart w:id="432" w:name="_Toc484792422"/>
      <w:bookmarkEnd w:id="432"/>
      <w:bookmarkStart w:id="433" w:name="_Toc485022599"/>
      <w:bookmarkEnd w:id="433"/>
      <w:bookmarkStart w:id="434" w:name="_Toc417818500"/>
      <w:bookmarkEnd w:id="434"/>
      <w:bookmarkStart w:id="435" w:name="_Toc484792751"/>
      <w:bookmarkEnd w:id="435"/>
      <w:bookmarkStart w:id="436" w:name="_Toc485021675"/>
      <w:bookmarkEnd w:id="436"/>
      <w:bookmarkStart w:id="437" w:name="_Toc481572486"/>
      <w:bookmarkEnd w:id="437"/>
      <w:bookmarkStart w:id="438" w:name="_Toc481572020"/>
      <w:bookmarkEnd w:id="438"/>
      <w:bookmarkStart w:id="439" w:name="_Toc481573686"/>
      <w:bookmarkEnd w:id="439"/>
      <w:bookmarkStart w:id="440" w:name="_Toc481573454"/>
      <w:bookmarkEnd w:id="440"/>
      <w:bookmarkStart w:id="441" w:name="_Toc484792617"/>
      <w:bookmarkEnd w:id="441"/>
      <w:bookmarkStart w:id="442" w:name="_Toc481572796"/>
      <w:bookmarkEnd w:id="442"/>
      <w:bookmarkStart w:id="443" w:name="_Toc485021923"/>
      <w:bookmarkEnd w:id="443"/>
      <w:bookmarkStart w:id="444" w:name="_Toc485024016"/>
      <w:bookmarkEnd w:id="444"/>
      <w:bookmarkStart w:id="445" w:name="_Toc481502208"/>
      <w:bookmarkEnd w:id="445"/>
      <w:bookmarkStart w:id="446" w:name="_Toc481573371"/>
      <w:bookmarkEnd w:id="446"/>
      <w:bookmarkStart w:id="447" w:name="_Toc417818980"/>
      <w:bookmarkEnd w:id="447"/>
      <w:bookmarkStart w:id="448" w:name="_Toc481572487"/>
      <w:bookmarkEnd w:id="448"/>
      <w:bookmarkStart w:id="449" w:name="_Toc484792562"/>
      <w:bookmarkEnd w:id="449"/>
      <w:bookmarkStart w:id="450" w:name="_Toc485022184"/>
      <w:bookmarkEnd w:id="450"/>
      <w:bookmarkStart w:id="451" w:name="_Toc481573150"/>
      <w:bookmarkEnd w:id="451"/>
      <w:bookmarkStart w:id="452" w:name="_Toc481572666"/>
      <w:bookmarkEnd w:id="452"/>
      <w:bookmarkStart w:id="453" w:name="_Toc481573456"/>
      <w:bookmarkEnd w:id="453"/>
      <w:bookmarkStart w:id="454" w:name="_Toc485021824"/>
      <w:bookmarkEnd w:id="454"/>
      <w:bookmarkStart w:id="455" w:name="_Toc481566415"/>
      <w:bookmarkEnd w:id="455"/>
      <w:bookmarkStart w:id="456" w:name="_Toc485023251"/>
      <w:bookmarkEnd w:id="456"/>
      <w:bookmarkStart w:id="457" w:name="_Toc481572682"/>
      <w:bookmarkEnd w:id="457"/>
      <w:bookmarkStart w:id="458" w:name="_Toc485022292"/>
      <w:bookmarkEnd w:id="458"/>
      <w:bookmarkStart w:id="459" w:name="_Toc417327176"/>
      <w:bookmarkEnd w:id="459"/>
      <w:bookmarkStart w:id="460" w:name="_Toc484792424"/>
      <w:bookmarkEnd w:id="460"/>
      <w:bookmarkStart w:id="461" w:name="_Toc485021968"/>
      <w:bookmarkEnd w:id="461"/>
      <w:bookmarkStart w:id="462" w:name="_Toc481573601"/>
      <w:bookmarkEnd w:id="462"/>
      <w:bookmarkStart w:id="463" w:name="_Toc481572392"/>
      <w:bookmarkEnd w:id="463"/>
      <w:bookmarkStart w:id="464" w:name="_Toc481572056"/>
      <w:bookmarkEnd w:id="464"/>
      <w:bookmarkStart w:id="465" w:name="_Toc485021673"/>
      <w:bookmarkEnd w:id="465"/>
      <w:bookmarkStart w:id="466" w:name="_Toc481573138"/>
      <w:bookmarkEnd w:id="466"/>
      <w:bookmarkStart w:id="467" w:name="_Toc481572038"/>
      <w:bookmarkEnd w:id="467"/>
      <w:bookmarkStart w:id="468" w:name="_Toc417815086"/>
      <w:bookmarkEnd w:id="468"/>
      <w:bookmarkStart w:id="469" w:name="_Toc481566502"/>
      <w:bookmarkEnd w:id="469"/>
      <w:bookmarkStart w:id="470" w:name="_Toc485022639"/>
      <w:bookmarkEnd w:id="470"/>
      <w:bookmarkStart w:id="471" w:name="_Toc481572952"/>
      <w:bookmarkEnd w:id="471"/>
      <w:bookmarkStart w:id="472" w:name="_Toc481571971"/>
      <w:bookmarkEnd w:id="472"/>
      <w:bookmarkStart w:id="473" w:name="_Toc485024018"/>
      <w:bookmarkEnd w:id="473"/>
      <w:bookmarkStart w:id="474" w:name="_Toc485021920"/>
      <w:bookmarkEnd w:id="474"/>
      <w:bookmarkStart w:id="475" w:name="_Toc485024000"/>
      <w:bookmarkEnd w:id="475"/>
      <w:bookmarkStart w:id="476" w:name="_Toc485024259"/>
      <w:bookmarkEnd w:id="476"/>
      <w:bookmarkStart w:id="477" w:name="_Toc485021759"/>
      <w:bookmarkEnd w:id="477"/>
      <w:bookmarkStart w:id="478" w:name="_Toc417632653"/>
      <w:bookmarkEnd w:id="478"/>
      <w:bookmarkStart w:id="479" w:name="_Toc462231760"/>
      <w:bookmarkEnd w:id="479"/>
      <w:bookmarkStart w:id="480" w:name="_Toc481571968"/>
      <w:bookmarkEnd w:id="480"/>
      <w:bookmarkStart w:id="481" w:name="_Toc485022683"/>
      <w:bookmarkEnd w:id="481"/>
      <w:bookmarkStart w:id="482" w:name="_Toc481571973"/>
      <w:bookmarkEnd w:id="482"/>
      <w:bookmarkStart w:id="483" w:name="_Toc485023769"/>
      <w:bookmarkEnd w:id="483"/>
      <w:bookmarkStart w:id="484" w:name="_Toc485022055"/>
      <w:bookmarkEnd w:id="484"/>
      <w:bookmarkStart w:id="485" w:name="_Toc485023739"/>
      <w:bookmarkEnd w:id="485"/>
      <w:bookmarkStart w:id="486" w:name="_Toc485022725"/>
      <w:bookmarkEnd w:id="486"/>
      <w:bookmarkStart w:id="487" w:name="_Toc481573069"/>
      <w:bookmarkEnd w:id="487"/>
      <w:bookmarkStart w:id="488" w:name="_Toc485022595"/>
      <w:bookmarkEnd w:id="488"/>
      <w:bookmarkStart w:id="489" w:name="_Toc485021791"/>
      <w:bookmarkEnd w:id="489"/>
      <w:bookmarkStart w:id="490" w:name="_Toc481502158"/>
      <w:bookmarkEnd w:id="490"/>
      <w:bookmarkStart w:id="491" w:name="_Toc481569040"/>
      <w:bookmarkEnd w:id="491"/>
      <w:bookmarkStart w:id="492" w:name="_Toc484792637"/>
      <w:bookmarkEnd w:id="492"/>
      <w:bookmarkStart w:id="493" w:name="_Toc485023799"/>
      <w:bookmarkEnd w:id="493"/>
      <w:bookmarkStart w:id="494" w:name="_Toc484792758"/>
      <w:bookmarkEnd w:id="494"/>
      <w:bookmarkStart w:id="495" w:name="_Toc485022376"/>
      <w:bookmarkEnd w:id="495"/>
      <w:bookmarkStart w:id="496" w:name="_Toc481572159"/>
      <w:bookmarkEnd w:id="496"/>
      <w:bookmarkStart w:id="497" w:name="_Toc481572899"/>
      <w:bookmarkEnd w:id="497"/>
      <w:bookmarkStart w:id="498" w:name="_Toc485022718"/>
      <w:bookmarkEnd w:id="498"/>
      <w:bookmarkStart w:id="499" w:name="_Toc396921843"/>
      <w:bookmarkEnd w:id="499"/>
      <w:bookmarkStart w:id="500" w:name="_Toc485021982"/>
      <w:bookmarkEnd w:id="500"/>
      <w:bookmarkStart w:id="501" w:name="_Toc481502401"/>
      <w:bookmarkEnd w:id="501"/>
      <w:bookmarkStart w:id="502" w:name="_Toc481572334"/>
      <w:bookmarkEnd w:id="502"/>
      <w:bookmarkStart w:id="503" w:name="_Toc484792513"/>
      <w:bookmarkEnd w:id="503"/>
      <w:bookmarkStart w:id="504" w:name="_Toc481572686"/>
      <w:bookmarkEnd w:id="504"/>
      <w:bookmarkStart w:id="505" w:name="_Toc485022078"/>
      <w:bookmarkEnd w:id="505"/>
      <w:bookmarkStart w:id="506" w:name="_Toc485022206"/>
      <w:bookmarkEnd w:id="506"/>
      <w:bookmarkStart w:id="507" w:name="_Toc481573033"/>
      <w:bookmarkEnd w:id="507"/>
      <w:bookmarkStart w:id="508" w:name="_Toc485022270"/>
      <w:bookmarkEnd w:id="508"/>
      <w:bookmarkStart w:id="509" w:name="_Toc484792442"/>
      <w:bookmarkEnd w:id="509"/>
      <w:bookmarkStart w:id="510" w:name="_Toc481569079"/>
      <w:bookmarkEnd w:id="510"/>
      <w:bookmarkStart w:id="511" w:name="_Toc485022138"/>
      <w:bookmarkEnd w:id="511"/>
      <w:bookmarkStart w:id="512" w:name="_Toc485022052"/>
      <w:bookmarkEnd w:id="512"/>
      <w:bookmarkStart w:id="513" w:name="_Toc481573367"/>
      <w:bookmarkEnd w:id="513"/>
      <w:bookmarkStart w:id="514" w:name="_Toc481502073"/>
      <w:bookmarkEnd w:id="514"/>
      <w:bookmarkStart w:id="515" w:name="_Toc417513855"/>
      <w:bookmarkEnd w:id="515"/>
      <w:bookmarkStart w:id="516" w:name="_Toc481571933"/>
      <w:bookmarkEnd w:id="516"/>
      <w:bookmarkStart w:id="517" w:name="_Toc485024247"/>
      <w:bookmarkEnd w:id="517"/>
      <w:bookmarkStart w:id="518" w:name="_Toc481502224"/>
      <w:bookmarkEnd w:id="518"/>
      <w:bookmarkStart w:id="519" w:name="_Toc485022237"/>
      <w:bookmarkEnd w:id="519"/>
      <w:bookmarkStart w:id="520" w:name="_Toc485023199"/>
      <w:bookmarkEnd w:id="520"/>
      <w:bookmarkStart w:id="521" w:name="_Toc481572096"/>
      <w:bookmarkEnd w:id="521"/>
      <w:bookmarkStart w:id="522" w:name="_Toc485024394"/>
      <w:bookmarkEnd w:id="522"/>
      <w:bookmarkStart w:id="523" w:name="_Toc485023313"/>
      <w:bookmarkEnd w:id="523"/>
      <w:bookmarkStart w:id="524" w:name="_Toc485024200"/>
      <w:bookmarkEnd w:id="524"/>
      <w:bookmarkStart w:id="525" w:name="_Toc485024225"/>
      <w:bookmarkEnd w:id="525"/>
      <w:bookmarkStart w:id="526" w:name="_Toc481572521"/>
      <w:bookmarkEnd w:id="526"/>
      <w:bookmarkStart w:id="527" w:name="_Toc481566563"/>
      <w:bookmarkEnd w:id="527"/>
      <w:bookmarkStart w:id="528" w:name="_Toc417814836"/>
      <w:bookmarkEnd w:id="528"/>
      <w:bookmarkStart w:id="529" w:name="_Toc481566369"/>
      <w:bookmarkEnd w:id="529"/>
      <w:bookmarkStart w:id="530" w:name="_Toc485022355"/>
      <w:bookmarkEnd w:id="530"/>
      <w:bookmarkStart w:id="531" w:name="_Toc485021979"/>
      <w:bookmarkEnd w:id="531"/>
      <w:bookmarkStart w:id="532" w:name="_Toc485022684"/>
      <w:bookmarkEnd w:id="532"/>
      <w:bookmarkStart w:id="533" w:name="_Toc481569076"/>
      <w:bookmarkEnd w:id="533"/>
      <w:bookmarkStart w:id="534" w:name="_Toc481572632"/>
      <w:bookmarkEnd w:id="534"/>
      <w:bookmarkStart w:id="535" w:name="_Toc485023784"/>
      <w:bookmarkEnd w:id="535"/>
      <w:bookmarkStart w:id="536" w:name="_Toc485022180"/>
      <w:bookmarkEnd w:id="536"/>
      <w:bookmarkStart w:id="537" w:name="_Toc481569119"/>
      <w:bookmarkEnd w:id="537"/>
      <w:bookmarkStart w:id="538" w:name="_Toc485024228"/>
      <w:bookmarkEnd w:id="538"/>
      <w:bookmarkStart w:id="539" w:name="_Toc485021990"/>
      <w:bookmarkEnd w:id="539"/>
      <w:bookmarkStart w:id="540" w:name="_Toc481573492"/>
      <w:bookmarkEnd w:id="540"/>
      <w:bookmarkStart w:id="541" w:name="_Toc485022278"/>
      <w:bookmarkEnd w:id="541"/>
      <w:bookmarkStart w:id="542" w:name="_Toc417814710"/>
      <w:bookmarkEnd w:id="542"/>
      <w:bookmarkStart w:id="543" w:name="_Toc417632670"/>
      <w:bookmarkEnd w:id="543"/>
      <w:bookmarkStart w:id="544" w:name="_Toc481572919"/>
      <w:bookmarkEnd w:id="544"/>
      <w:bookmarkStart w:id="545" w:name="_Toc481573190"/>
      <w:bookmarkEnd w:id="545"/>
      <w:bookmarkStart w:id="546" w:name="_Toc396921895"/>
      <w:bookmarkEnd w:id="546"/>
      <w:bookmarkStart w:id="547" w:name="_Toc485023302"/>
      <w:bookmarkEnd w:id="547"/>
      <w:bookmarkStart w:id="548" w:name="_Toc481566482"/>
      <w:bookmarkEnd w:id="548"/>
      <w:bookmarkStart w:id="549" w:name="_Toc481572078"/>
      <w:bookmarkEnd w:id="549"/>
      <w:bookmarkStart w:id="550" w:name="_Toc485022703"/>
      <w:bookmarkEnd w:id="550"/>
      <w:bookmarkStart w:id="551" w:name="_Toc481573615"/>
      <w:bookmarkEnd w:id="551"/>
      <w:bookmarkStart w:id="552" w:name="_Toc417637136"/>
      <w:bookmarkEnd w:id="552"/>
      <w:bookmarkStart w:id="553" w:name="_Toc485022598"/>
      <w:bookmarkEnd w:id="553"/>
      <w:bookmarkStart w:id="554" w:name="_Toc481568966"/>
      <w:bookmarkEnd w:id="554"/>
      <w:bookmarkStart w:id="555" w:name="_Toc481572120"/>
      <w:bookmarkEnd w:id="555"/>
      <w:bookmarkStart w:id="556" w:name="_Toc481569038"/>
      <w:bookmarkEnd w:id="556"/>
      <w:bookmarkStart w:id="557" w:name="_Toc481572488"/>
      <w:bookmarkEnd w:id="557"/>
      <w:bookmarkStart w:id="558" w:name="_Toc481502345"/>
      <w:bookmarkEnd w:id="558"/>
      <w:bookmarkStart w:id="559" w:name="_Toc481502037"/>
      <w:bookmarkEnd w:id="559"/>
      <w:bookmarkStart w:id="560" w:name="_Toc485024003"/>
      <w:bookmarkEnd w:id="560"/>
      <w:bookmarkStart w:id="561" w:name="_Toc481569060"/>
      <w:bookmarkEnd w:id="561"/>
      <w:bookmarkStart w:id="562" w:name="_Toc417327379"/>
      <w:bookmarkEnd w:id="562"/>
      <w:bookmarkStart w:id="563" w:name="_Toc481573132"/>
      <w:bookmarkEnd w:id="563"/>
      <w:bookmarkStart w:id="564" w:name="_Toc485024165"/>
      <w:bookmarkEnd w:id="564"/>
      <w:bookmarkStart w:id="565" w:name="_Toc485022571"/>
      <w:bookmarkEnd w:id="565"/>
      <w:bookmarkStart w:id="566" w:name="_Toc481572450"/>
      <w:bookmarkEnd w:id="566"/>
      <w:bookmarkStart w:id="567" w:name="_Toc481502260"/>
      <w:bookmarkEnd w:id="567"/>
      <w:bookmarkStart w:id="568" w:name="_Toc481573384"/>
      <w:bookmarkEnd w:id="568"/>
      <w:bookmarkStart w:id="569" w:name="_Toc481573331"/>
      <w:bookmarkEnd w:id="569"/>
      <w:bookmarkStart w:id="570" w:name="_Toc485024137"/>
      <w:bookmarkEnd w:id="570"/>
      <w:bookmarkStart w:id="571" w:name="_Toc485022080"/>
      <w:bookmarkEnd w:id="571"/>
      <w:bookmarkStart w:id="572" w:name="_Toc481572990"/>
      <w:bookmarkEnd w:id="572"/>
      <w:bookmarkStart w:id="573" w:name="_Toc485024224"/>
      <w:bookmarkEnd w:id="573"/>
      <w:bookmarkStart w:id="574" w:name="_Toc481566390"/>
      <w:bookmarkEnd w:id="574"/>
      <w:bookmarkStart w:id="575" w:name="_Toc485022577"/>
      <w:bookmarkEnd w:id="575"/>
      <w:bookmarkStart w:id="576" w:name="_Toc485021783"/>
      <w:bookmarkEnd w:id="576"/>
      <w:bookmarkStart w:id="577" w:name="_Toc417818635"/>
      <w:bookmarkEnd w:id="577"/>
      <w:bookmarkStart w:id="578" w:name="_Toc481572719"/>
      <w:bookmarkEnd w:id="578"/>
      <w:bookmarkStart w:id="579" w:name="_Toc485023747"/>
      <w:bookmarkEnd w:id="579"/>
      <w:bookmarkStart w:id="580" w:name="_Toc417815283"/>
      <w:bookmarkEnd w:id="580"/>
      <w:bookmarkStart w:id="581" w:name="_Toc417818663"/>
      <w:bookmarkEnd w:id="581"/>
      <w:bookmarkStart w:id="582" w:name="_Toc485022730"/>
      <w:bookmarkEnd w:id="582"/>
      <w:bookmarkStart w:id="583" w:name="_Toc417814612"/>
      <w:bookmarkEnd w:id="583"/>
      <w:bookmarkStart w:id="584" w:name="_Toc481566498"/>
      <w:bookmarkEnd w:id="584"/>
      <w:bookmarkStart w:id="585" w:name="_Toc485023787"/>
      <w:bookmarkEnd w:id="585"/>
      <w:bookmarkStart w:id="586" w:name="_Toc481573368"/>
      <w:bookmarkEnd w:id="586"/>
      <w:bookmarkStart w:id="587" w:name="_Toc417513449"/>
      <w:bookmarkEnd w:id="587"/>
      <w:bookmarkStart w:id="588" w:name="_Toc417814700"/>
      <w:bookmarkEnd w:id="588"/>
      <w:bookmarkStart w:id="589" w:name="_Toc485024245"/>
      <w:bookmarkEnd w:id="589"/>
      <w:bookmarkStart w:id="590" w:name="_Toc481573669"/>
      <w:bookmarkEnd w:id="590"/>
      <w:bookmarkStart w:id="591" w:name="_Toc481573380"/>
      <w:bookmarkEnd w:id="591"/>
      <w:bookmarkStart w:id="592" w:name="_Toc481572720"/>
      <w:bookmarkEnd w:id="592"/>
      <w:bookmarkStart w:id="593" w:name="_Toc485022726"/>
      <w:bookmarkEnd w:id="593"/>
      <w:bookmarkStart w:id="594" w:name="_Toc485024313"/>
      <w:bookmarkEnd w:id="594"/>
      <w:bookmarkStart w:id="595" w:name="_Toc485022411"/>
      <w:bookmarkEnd w:id="595"/>
      <w:bookmarkStart w:id="596" w:name="_Toc481572855"/>
      <w:bookmarkEnd w:id="596"/>
      <w:bookmarkStart w:id="597" w:name="_Toc481572390"/>
      <w:bookmarkEnd w:id="597"/>
      <w:bookmarkStart w:id="598" w:name="_Toc481572058"/>
      <w:bookmarkEnd w:id="598"/>
      <w:bookmarkStart w:id="599" w:name="_Toc485021785"/>
      <w:bookmarkEnd w:id="599"/>
      <w:bookmarkStart w:id="600" w:name="_Toc417818867"/>
      <w:bookmarkEnd w:id="600"/>
      <w:bookmarkStart w:id="601" w:name="_Toc484792752"/>
      <w:bookmarkEnd w:id="601"/>
      <w:bookmarkStart w:id="602" w:name="_Toc485023213"/>
      <w:bookmarkEnd w:id="602"/>
      <w:bookmarkStart w:id="603" w:name="_Toc481573555"/>
      <w:bookmarkEnd w:id="603"/>
      <w:bookmarkStart w:id="604" w:name="_Toc485022271"/>
      <w:bookmarkEnd w:id="604"/>
      <w:bookmarkStart w:id="605" w:name="_Toc484792425"/>
      <w:bookmarkEnd w:id="605"/>
      <w:bookmarkStart w:id="606" w:name="_Toc485022137"/>
      <w:bookmarkEnd w:id="606"/>
      <w:bookmarkStart w:id="607" w:name="_Toc481572670"/>
      <w:bookmarkEnd w:id="607"/>
      <w:bookmarkStart w:id="608" w:name="_Toc417815085"/>
      <w:bookmarkEnd w:id="608"/>
      <w:bookmarkStart w:id="609" w:name="_Toc481568951"/>
      <w:bookmarkEnd w:id="609"/>
      <w:bookmarkStart w:id="610" w:name="_Toc481572971"/>
      <w:bookmarkEnd w:id="610"/>
      <w:bookmarkStart w:id="611" w:name="_Toc417818645"/>
      <w:bookmarkEnd w:id="611"/>
      <w:bookmarkStart w:id="612" w:name="_Toc481569077"/>
      <w:bookmarkEnd w:id="612"/>
      <w:bookmarkStart w:id="613" w:name="_Toc481572794"/>
      <w:bookmarkEnd w:id="613"/>
      <w:bookmarkStart w:id="614" w:name="_Toc485022596"/>
      <w:bookmarkEnd w:id="614"/>
      <w:bookmarkStart w:id="615" w:name="_Toc417637076"/>
      <w:bookmarkEnd w:id="615"/>
      <w:bookmarkStart w:id="616" w:name="_Toc485021672"/>
      <w:bookmarkEnd w:id="616"/>
      <w:bookmarkStart w:id="617" w:name="_Toc481573483"/>
      <w:bookmarkEnd w:id="617"/>
      <w:bookmarkStart w:id="618" w:name="_Toc481573768"/>
      <w:bookmarkEnd w:id="618"/>
      <w:bookmarkStart w:id="619" w:name="_Toc484792694"/>
      <w:bookmarkEnd w:id="619"/>
      <w:bookmarkStart w:id="620" w:name="_Toc481572567"/>
      <w:bookmarkEnd w:id="620"/>
      <w:bookmarkStart w:id="621" w:name="_Toc481502395"/>
      <w:bookmarkEnd w:id="621"/>
      <w:bookmarkStart w:id="622" w:name="_Toc417814843"/>
      <w:bookmarkEnd w:id="622"/>
      <w:bookmarkStart w:id="623" w:name="_Toc481573369"/>
      <w:bookmarkEnd w:id="623"/>
      <w:bookmarkStart w:id="624" w:name="_Toc485024333"/>
      <w:bookmarkEnd w:id="624"/>
      <w:bookmarkStart w:id="625" w:name="_Toc481572623"/>
      <w:bookmarkEnd w:id="625"/>
      <w:bookmarkStart w:id="626" w:name="_Toc481572330"/>
      <w:bookmarkEnd w:id="626"/>
      <w:bookmarkStart w:id="627" w:name="_Toc481572756"/>
      <w:bookmarkEnd w:id="627"/>
      <w:bookmarkStart w:id="628" w:name="_Toc485024032"/>
      <w:bookmarkEnd w:id="628"/>
      <w:bookmarkStart w:id="629" w:name="_Toc485022487"/>
      <w:bookmarkEnd w:id="629"/>
      <w:bookmarkStart w:id="630" w:name="_Toc484792539"/>
      <w:bookmarkEnd w:id="630"/>
      <w:bookmarkStart w:id="631" w:name="_Toc485024104"/>
      <w:bookmarkEnd w:id="631"/>
      <w:bookmarkStart w:id="632" w:name="_Toc485022234"/>
      <w:bookmarkEnd w:id="632"/>
      <w:bookmarkStart w:id="633" w:name="_Toc417513983"/>
      <w:bookmarkEnd w:id="633"/>
      <w:bookmarkStart w:id="634" w:name="_Toc417814747"/>
      <w:bookmarkEnd w:id="634"/>
      <w:bookmarkStart w:id="635" w:name="_Toc485023801"/>
      <w:bookmarkEnd w:id="635"/>
      <w:bookmarkStart w:id="636" w:name="_Toc481573158"/>
      <w:bookmarkEnd w:id="636"/>
      <w:bookmarkStart w:id="637" w:name="_Toc485023310"/>
      <w:bookmarkEnd w:id="637"/>
      <w:bookmarkStart w:id="638" w:name="_Toc485022667"/>
      <w:bookmarkEnd w:id="638"/>
      <w:bookmarkStart w:id="639" w:name="_Toc485022053"/>
      <w:bookmarkEnd w:id="639"/>
      <w:bookmarkStart w:id="640" w:name="_Toc481572389"/>
      <w:bookmarkEnd w:id="640"/>
      <w:bookmarkStart w:id="641" w:name="_Toc484792388"/>
      <w:bookmarkEnd w:id="641"/>
      <w:bookmarkStart w:id="642" w:name="_Toc485023314"/>
      <w:bookmarkEnd w:id="642"/>
      <w:bookmarkStart w:id="643" w:name="_Toc481502056"/>
      <w:bookmarkEnd w:id="643"/>
      <w:bookmarkStart w:id="644" w:name="_Toc485021921"/>
      <w:bookmarkEnd w:id="644"/>
      <w:bookmarkStart w:id="645" w:name="_Toc485021768"/>
      <w:bookmarkEnd w:id="645"/>
      <w:bookmarkStart w:id="646" w:name="_Toc485023186"/>
      <w:bookmarkEnd w:id="646"/>
      <w:bookmarkStart w:id="647" w:name="_Toc481573258"/>
      <w:bookmarkEnd w:id="647"/>
      <w:bookmarkStart w:id="648" w:name="_Toc417401593"/>
      <w:bookmarkEnd w:id="648"/>
      <w:bookmarkStart w:id="649" w:name="_Toc417514000"/>
      <w:bookmarkEnd w:id="649"/>
      <w:bookmarkStart w:id="650" w:name="_Toc485022422"/>
      <w:bookmarkEnd w:id="650"/>
      <w:bookmarkStart w:id="651" w:name="_Toc485022509"/>
      <w:bookmarkEnd w:id="651"/>
      <w:bookmarkStart w:id="652" w:name="_Toc481568949"/>
      <w:bookmarkEnd w:id="652"/>
      <w:bookmarkStart w:id="653" w:name="_Toc462231873"/>
      <w:bookmarkEnd w:id="653"/>
      <w:bookmarkStart w:id="654" w:name="_Toc485022711"/>
      <w:bookmarkEnd w:id="654"/>
      <w:bookmarkStart w:id="655" w:name="_Toc417814835"/>
      <w:bookmarkEnd w:id="655"/>
      <w:bookmarkStart w:id="656" w:name="_Toc484792655"/>
      <w:bookmarkEnd w:id="656"/>
      <w:bookmarkStart w:id="657" w:name="_Toc417818628"/>
      <w:bookmarkEnd w:id="657"/>
      <w:bookmarkStart w:id="658" w:name="_Toc481566412"/>
      <w:bookmarkEnd w:id="658"/>
      <w:bookmarkStart w:id="659" w:name="_Toc485024370"/>
      <w:bookmarkEnd w:id="659"/>
      <w:bookmarkStart w:id="660" w:name="_Toc485022195"/>
      <w:bookmarkEnd w:id="660"/>
      <w:bookmarkStart w:id="661" w:name="_Toc481572525"/>
      <w:bookmarkEnd w:id="661"/>
      <w:bookmarkStart w:id="662" w:name="_Toc485022517"/>
      <w:bookmarkEnd w:id="662"/>
      <w:bookmarkStart w:id="663" w:name="_Toc485024359"/>
      <w:bookmarkEnd w:id="663"/>
      <w:bookmarkStart w:id="664" w:name="_Toc481572791"/>
      <w:bookmarkEnd w:id="664"/>
      <w:bookmarkStart w:id="665" w:name="_Toc481566500"/>
      <w:bookmarkEnd w:id="665"/>
      <w:bookmarkStart w:id="666" w:name="_Toc481572989"/>
      <w:bookmarkEnd w:id="666"/>
      <w:bookmarkStart w:id="667" w:name="_Toc485023764"/>
      <w:bookmarkEnd w:id="667"/>
      <w:bookmarkStart w:id="668" w:name="_Toc485023798"/>
      <w:bookmarkEnd w:id="668"/>
      <w:bookmarkStart w:id="669" w:name="_Toc485024249"/>
      <w:bookmarkEnd w:id="669"/>
      <w:bookmarkStart w:id="670" w:name="_Toc481572758"/>
      <w:bookmarkEnd w:id="670"/>
      <w:bookmarkStart w:id="671" w:name="_Toc485021981"/>
      <w:bookmarkEnd w:id="671"/>
      <w:bookmarkStart w:id="672" w:name="_Toc485023808"/>
      <w:bookmarkEnd w:id="672"/>
      <w:bookmarkStart w:id="673" w:name="_Toc485024034"/>
      <w:bookmarkEnd w:id="673"/>
      <w:bookmarkStart w:id="674" w:name="_Toc485023312"/>
      <w:bookmarkEnd w:id="674"/>
      <w:bookmarkStart w:id="675" w:name="_Toc481573026"/>
      <w:bookmarkEnd w:id="675"/>
      <w:bookmarkStart w:id="676" w:name="_Toc417815224"/>
      <w:bookmarkEnd w:id="676"/>
      <w:bookmarkStart w:id="677" w:name="_Toc481572561"/>
      <w:bookmarkEnd w:id="677"/>
      <w:bookmarkStart w:id="678" w:name="_Toc481573324"/>
      <w:bookmarkEnd w:id="678"/>
      <w:bookmarkStart w:id="679" w:name="_Toc485024146"/>
      <w:bookmarkEnd w:id="679"/>
      <w:bookmarkStart w:id="680" w:name="_Toc481572858"/>
      <w:bookmarkEnd w:id="680"/>
      <w:bookmarkStart w:id="681" w:name="_Toc485023177"/>
      <w:bookmarkEnd w:id="681"/>
      <w:bookmarkStart w:id="682" w:name="_Toc417815088"/>
      <w:bookmarkEnd w:id="682"/>
      <w:bookmarkStart w:id="683" w:name="_Toc485022034"/>
      <w:bookmarkEnd w:id="683"/>
      <w:bookmarkStart w:id="684" w:name="_Toc481573613"/>
      <w:bookmarkEnd w:id="684"/>
      <w:bookmarkStart w:id="685" w:name="_Toc481566501"/>
      <w:bookmarkEnd w:id="685"/>
      <w:bookmarkStart w:id="686" w:name="_Toc481568908"/>
      <w:bookmarkEnd w:id="686"/>
      <w:bookmarkStart w:id="687" w:name="_Toc485024179"/>
      <w:bookmarkEnd w:id="687"/>
      <w:bookmarkStart w:id="688" w:name="_Toc484792440"/>
      <w:bookmarkEnd w:id="688"/>
      <w:bookmarkStart w:id="689" w:name="_Toc481572166"/>
      <w:bookmarkEnd w:id="689"/>
      <w:bookmarkStart w:id="690" w:name="_Toc481573243"/>
      <w:bookmarkEnd w:id="690"/>
      <w:bookmarkStart w:id="691" w:name="_Toc484792725"/>
      <w:bookmarkEnd w:id="691"/>
      <w:bookmarkStart w:id="692" w:name="_Toc417814987"/>
      <w:bookmarkEnd w:id="692"/>
      <w:bookmarkStart w:id="693" w:name="_Toc481566538"/>
      <w:bookmarkEnd w:id="693"/>
      <w:bookmarkStart w:id="694" w:name="_Toc485022700"/>
      <w:bookmarkEnd w:id="694"/>
      <w:bookmarkStart w:id="695" w:name="_Toc485022512"/>
      <w:bookmarkEnd w:id="695"/>
      <w:bookmarkStart w:id="696" w:name="_Toc481569078"/>
      <w:bookmarkEnd w:id="696"/>
      <w:bookmarkStart w:id="697" w:name="_Toc485024332"/>
      <w:bookmarkEnd w:id="697"/>
      <w:bookmarkStart w:id="698" w:name="_Toc485023870"/>
      <w:bookmarkEnd w:id="698"/>
      <w:bookmarkStart w:id="699" w:name="_Toc485024067"/>
      <w:bookmarkEnd w:id="699"/>
      <w:bookmarkStart w:id="700" w:name="_Toc481573147"/>
      <w:bookmarkEnd w:id="700"/>
      <w:bookmarkStart w:id="701" w:name="_Toc485022076"/>
      <w:bookmarkEnd w:id="701"/>
      <w:bookmarkStart w:id="702" w:name="_Toc481572353"/>
      <w:bookmarkEnd w:id="702"/>
      <w:bookmarkStart w:id="703" w:name="_Toc485022601"/>
      <w:bookmarkEnd w:id="703"/>
      <w:bookmarkStart w:id="704" w:name="_Toc481573381"/>
      <w:bookmarkEnd w:id="704"/>
      <w:bookmarkStart w:id="705" w:name="_Toc481566468"/>
      <w:bookmarkEnd w:id="705"/>
      <w:bookmarkStart w:id="706" w:name="_Toc481573725"/>
      <w:bookmarkEnd w:id="706"/>
      <w:bookmarkStart w:id="707" w:name="_Toc481566375"/>
      <w:bookmarkEnd w:id="707"/>
      <w:bookmarkStart w:id="708" w:name="_Toc485022079"/>
      <w:bookmarkEnd w:id="708"/>
      <w:bookmarkStart w:id="709" w:name="_Toc481573490"/>
      <w:bookmarkEnd w:id="709"/>
      <w:bookmarkStart w:id="710" w:name="_Toc485023738"/>
      <w:bookmarkEnd w:id="710"/>
      <w:bookmarkStart w:id="711" w:name="_Toc481572819"/>
      <w:bookmarkEnd w:id="711"/>
      <w:bookmarkStart w:id="712" w:name="_Toc485023853"/>
      <w:bookmarkEnd w:id="712"/>
      <w:bookmarkStart w:id="713" w:name="_Toc481572504"/>
      <w:bookmarkEnd w:id="713"/>
      <w:bookmarkStart w:id="714" w:name="_Toc484792474"/>
      <w:bookmarkEnd w:id="714"/>
      <w:bookmarkStart w:id="715" w:name="_Toc481572433"/>
      <w:bookmarkEnd w:id="715"/>
      <w:bookmarkStart w:id="716" w:name="_Toc481573689"/>
      <w:bookmarkEnd w:id="716"/>
      <w:bookmarkStart w:id="717" w:name="_Toc485024198"/>
      <w:bookmarkEnd w:id="717"/>
      <w:bookmarkStart w:id="718" w:name="_Toc417818933"/>
      <w:bookmarkEnd w:id="718"/>
      <w:bookmarkStart w:id="719" w:name="_Toc417632707"/>
      <w:bookmarkEnd w:id="719"/>
      <w:bookmarkStart w:id="720" w:name="_Toc485022467"/>
      <w:bookmarkEnd w:id="720"/>
      <w:bookmarkStart w:id="721" w:name="_Toc481569075"/>
      <w:bookmarkEnd w:id="721"/>
      <w:bookmarkStart w:id="722" w:name="_Toc485021688"/>
      <w:bookmarkEnd w:id="722"/>
      <w:bookmarkStart w:id="723" w:name="_Toc485021686"/>
      <w:bookmarkEnd w:id="723"/>
      <w:bookmarkStart w:id="724" w:name="_Toc481501853"/>
      <w:bookmarkEnd w:id="724"/>
      <w:bookmarkStart w:id="725" w:name="_Toc485023896"/>
      <w:bookmarkEnd w:id="725"/>
      <w:bookmarkStart w:id="726" w:name="_Toc485024244"/>
      <w:bookmarkEnd w:id="726"/>
      <w:bookmarkStart w:id="727" w:name="_Toc417815217"/>
      <w:bookmarkEnd w:id="727"/>
      <w:bookmarkStart w:id="728" w:name="_Toc481572255"/>
      <w:bookmarkEnd w:id="728"/>
      <w:bookmarkStart w:id="729" w:name="_Toc481572226"/>
      <w:bookmarkEnd w:id="729"/>
      <w:bookmarkStart w:id="730" w:name="_Toc481501801"/>
      <w:bookmarkEnd w:id="730"/>
      <w:bookmarkStart w:id="731" w:name="_Toc485023797"/>
      <w:bookmarkEnd w:id="731"/>
      <w:bookmarkStart w:id="732" w:name="_Toc481572836"/>
      <w:bookmarkEnd w:id="732"/>
      <w:bookmarkStart w:id="733" w:name="_Toc485023287"/>
      <w:bookmarkEnd w:id="733"/>
      <w:bookmarkStart w:id="734" w:name="_Toc485023979"/>
      <w:bookmarkEnd w:id="734"/>
      <w:bookmarkStart w:id="735" w:name="_Toc485023788"/>
      <w:bookmarkEnd w:id="735"/>
      <w:bookmarkStart w:id="736" w:name="_Toc481566416"/>
      <w:bookmarkEnd w:id="736"/>
      <w:bookmarkStart w:id="737" w:name="_Toc485023980"/>
      <w:bookmarkEnd w:id="737"/>
      <w:bookmarkStart w:id="738" w:name="_Toc481572311"/>
      <w:bookmarkEnd w:id="738"/>
      <w:bookmarkStart w:id="739" w:name="_Toc485024015"/>
      <w:bookmarkEnd w:id="739"/>
      <w:bookmarkStart w:id="740" w:name="_Toc481566368"/>
      <w:bookmarkEnd w:id="740"/>
      <w:bookmarkStart w:id="741" w:name="_Toc417513930"/>
      <w:bookmarkEnd w:id="741"/>
      <w:bookmarkStart w:id="742" w:name="_Toc484792476"/>
      <w:bookmarkEnd w:id="742"/>
      <w:bookmarkStart w:id="743" w:name="_Toc485023284"/>
      <w:bookmarkEnd w:id="743"/>
      <w:bookmarkStart w:id="744" w:name="_Toc485022233"/>
      <w:bookmarkEnd w:id="744"/>
      <w:bookmarkStart w:id="745" w:name="_Toc481569020"/>
      <w:bookmarkEnd w:id="745"/>
      <w:bookmarkStart w:id="746" w:name="_Toc485023223"/>
      <w:bookmarkEnd w:id="746"/>
      <w:bookmarkStart w:id="747" w:name="_Toc485022629"/>
      <w:bookmarkEnd w:id="747"/>
      <w:bookmarkStart w:id="748" w:name="_Toc485022550"/>
      <w:bookmarkEnd w:id="748"/>
      <w:bookmarkStart w:id="749" w:name="_Toc485024142"/>
      <w:bookmarkEnd w:id="749"/>
      <w:bookmarkStart w:id="750" w:name="_Toc481572290"/>
      <w:bookmarkEnd w:id="750"/>
      <w:bookmarkStart w:id="751" w:name="_Toc481572681"/>
      <w:bookmarkEnd w:id="751"/>
      <w:bookmarkStart w:id="752" w:name="_Toc485022602"/>
      <w:bookmarkEnd w:id="752"/>
      <w:bookmarkStart w:id="753" w:name="_Toc485021775"/>
      <w:bookmarkEnd w:id="753"/>
      <w:bookmarkStart w:id="754" w:name="_Toc485022466"/>
      <w:bookmarkEnd w:id="754"/>
      <w:bookmarkStart w:id="755" w:name="_Toc485021787"/>
      <w:bookmarkEnd w:id="755"/>
      <w:bookmarkStart w:id="756" w:name="_Toc481571982"/>
      <w:bookmarkEnd w:id="756"/>
      <w:bookmarkStart w:id="757" w:name="_Toc485022513"/>
      <w:bookmarkEnd w:id="757"/>
      <w:bookmarkStart w:id="758" w:name="_Toc485022617"/>
      <w:bookmarkEnd w:id="758"/>
      <w:bookmarkStart w:id="759" w:name="_Toc485024141"/>
      <w:bookmarkEnd w:id="759"/>
      <w:bookmarkStart w:id="760" w:name="_Toc481573322"/>
      <w:bookmarkEnd w:id="760"/>
      <w:bookmarkStart w:id="761" w:name="_Toc481569102"/>
      <w:bookmarkEnd w:id="761"/>
      <w:bookmarkStart w:id="762" w:name="_Toc481573556"/>
      <w:bookmarkEnd w:id="762"/>
      <w:bookmarkStart w:id="763" w:name="_Toc485021630"/>
      <w:bookmarkEnd w:id="763"/>
      <w:bookmarkStart w:id="764" w:name="_Toc484792726"/>
      <w:bookmarkEnd w:id="764"/>
      <w:bookmarkStart w:id="765" w:name="_Toc481571985"/>
      <w:bookmarkEnd w:id="765"/>
      <w:bookmarkStart w:id="766" w:name="_Toc485022293"/>
      <w:bookmarkEnd w:id="766"/>
      <w:bookmarkStart w:id="767" w:name="_Toc485022035"/>
      <w:bookmarkEnd w:id="767"/>
      <w:bookmarkStart w:id="768" w:name="_Toc485023176"/>
      <w:bookmarkEnd w:id="768"/>
      <w:bookmarkStart w:id="769" w:name="_Toc485024105"/>
      <w:bookmarkEnd w:id="769"/>
      <w:bookmarkStart w:id="770" w:name="_Toc485024260"/>
      <w:bookmarkEnd w:id="770"/>
      <w:bookmarkStart w:id="771" w:name="_Toc481571970"/>
      <w:bookmarkEnd w:id="771"/>
      <w:bookmarkStart w:id="772" w:name="_Toc485023770"/>
      <w:bookmarkEnd w:id="772"/>
      <w:bookmarkStart w:id="773" w:name="_Toc485024222"/>
      <w:bookmarkEnd w:id="773"/>
      <w:bookmarkStart w:id="774" w:name="_Toc481572917"/>
      <w:bookmarkEnd w:id="774"/>
      <w:bookmarkStart w:id="775" w:name="_Toc481573688"/>
      <w:bookmarkEnd w:id="775"/>
      <w:bookmarkStart w:id="776" w:name="_Toc481566536"/>
      <w:bookmarkEnd w:id="776"/>
      <w:bookmarkStart w:id="777" w:name="_Toc481573690"/>
      <w:bookmarkEnd w:id="777"/>
      <w:bookmarkStart w:id="778" w:name="_Toc485023179"/>
      <w:bookmarkEnd w:id="778"/>
      <w:bookmarkStart w:id="779" w:name="_Toc485022398"/>
      <w:bookmarkEnd w:id="779"/>
      <w:bookmarkStart w:id="780" w:name="_Toc485021760"/>
      <w:bookmarkEnd w:id="780"/>
      <w:bookmarkStart w:id="781" w:name="_Toc484792691"/>
      <w:bookmarkEnd w:id="781"/>
      <w:bookmarkStart w:id="782" w:name="_Toc485024296"/>
      <w:bookmarkEnd w:id="782"/>
      <w:bookmarkStart w:id="783" w:name="_Toc417637252"/>
      <w:bookmarkEnd w:id="783"/>
      <w:bookmarkStart w:id="784" w:name="_Toc417818921"/>
      <w:bookmarkEnd w:id="784"/>
      <w:bookmarkStart w:id="785" w:name="_Toc481572292"/>
      <w:bookmarkEnd w:id="785"/>
      <w:bookmarkStart w:id="786" w:name="_Toc485023802"/>
      <w:bookmarkEnd w:id="786"/>
      <w:bookmarkStart w:id="787" w:name="_Toc481572326"/>
      <w:bookmarkEnd w:id="787"/>
      <w:bookmarkStart w:id="788" w:name="_Toc417814842"/>
      <w:bookmarkEnd w:id="788"/>
      <w:bookmarkStart w:id="789" w:name="_Toc481572914"/>
      <w:bookmarkEnd w:id="789"/>
      <w:bookmarkStart w:id="790" w:name="_Toc481572328"/>
      <w:bookmarkEnd w:id="790"/>
      <w:bookmarkStart w:id="791" w:name="_Toc485024017"/>
      <w:bookmarkEnd w:id="791"/>
      <w:bookmarkStart w:id="792" w:name="_Toc485021676"/>
      <w:bookmarkEnd w:id="792"/>
      <w:bookmarkStart w:id="793" w:name="_Toc484792428"/>
      <w:bookmarkEnd w:id="793"/>
      <w:bookmarkStart w:id="794" w:name="_Toc485022185"/>
      <w:bookmarkEnd w:id="794"/>
      <w:bookmarkStart w:id="795" w:name="_Toc485023783"/>
      <w:bookmarkEnd w:id="795"/>
      <w:bookmarkStart w:id="796" w:name="_Toc485022619"/>
      <w:bookmarkEnd w:id="796"/>
      <w:bookmarkStart w:id="797" w:name="_Toc485022285"/>
      <w:bookmarkEnd w:id="797"/>
      <w:bookmarkStart w:id="798" w:name="_Toc481572094"/>
      <w:bookmarkEnd w:id="798"/>
      <w:bookmarkStart w:id="799" w:name="_Toc481571924"/>
      <w:bookmarkEnd w:id="799"/>
      <w:bookmarkStart w:id="800" w:name="_Toc485022062"/>
      <w:bookmarkEnd w:id="800"/>
      <w:bookmarkStart w:id="801" w:name="_Toc462071136"/>
      <w:bookmarkEnd w:id="801"/>
      <w:bookmarkStart w:id="802" w:name="_Toc485024369"/>
      <w:bookmarkEnd w:id="802"/>
      <w:bookmarkStart w:id="803" w:name="_Toc485023836"/>
      <w:bookmarkEnd w:id="803"/>
      <w:bookmarkStart w:id="804" w:name="_Toc417814640"/>
      <w:bookmarkEnd w:id="804"/>
      <w:bookmarkStart w:id="805" w:name="_Toc485022670"/>
      <w:bookmarkEnd w:id="805"/>
      <w:bookmarkStart w:id="806" w:name="_Toc485023250"/>
      <w:bookmarkEnd w:id="806"/>
      <w:bookmarkStart w:id="807" w:name="_Toc481573261"/>
      <w:bookmarkEnd w:id="807"/>
      <w:bookmarkStart w:id="808" w:name="_Toc484792639"/>
      <w:bookmarkEnd w:id="808"/>
      <w:bookmarkStart w:id="809" w:name="_Toc485023852"/>
      <w:bookmarkEnd w:id="809"/>
      <w:bookmarkStart w:id="810" w:name="_Toc481573391"/>
      <w:bookmarkEnd w:id="810"/>
      <w:bookmarkStart w:id="811" w:name="_Toc484792597"/>
      <w:bookmarkEnd w:id="811"/>
      <w:bookmarkStart w:id="812" w:name="_Toc481571923"/>
      <w:bookmarkEnd w:id="812"/>
      <w:bookmarkStart w:id="813" w:name="_Toc485023215"/>
      <w:bookmarkEnd w:id="813"/>
      <w:bookmarkStart w:id="814" w:name="_Toc481573222"/>
      <w:bookmarkEnd w:id="814"/>
      <w:bookmarkStart w:id="815" w:name="_Toc484792653"/>
      <w:bookmarkEnd w:id="815"/>
      <w:bookmarkStart w:id="816" w:name="_Toc481566410"/>
      <w:bookmarkEnd w:id="816"/>
      <w:bookmarkStart w:id="817" w:name="_Toc481569003"/>
      <w:bookmarkEnd w:id="817"/>
      <w:bookmarkStart w:id="818" w:name="_Toc485024069"/>
      <w:bookmarkEnd w:id="818"/>
      <w:bookmarkStart w:id="819" w:name="_Toc417513248"/>
      <w:bookmarkEnd w:id="819"/>
      <w:bookmarkStart w:id="820" w:name="_Toc485022570"/>
      <w:bookmarkEnd w:id="820"/>
      <w:bookmarkStart w:id="821" w:name="_Toc484792437"/>
      <w:bookmarkEnd w:id="821"/>
      <w:bookmarkStart w:id="822" w:name="_Toc484792724"/>
      <w:bookmarkEnd w:id="822"/>
      <w:bookmarkStart w:id="823" w:name="_Toc481572451"/>
      <w:bookmarkEnd w:id="823"/>
      <w:bookmarkStart w:id="824" w:name="_Toc417819114"/>
      <w:bookmarkEnd w:id="824"/>
      <w:bookmarkStart w:id="825" w:name="_Toc485023871"/>
      <w:bookmarkEnd w:id="825"/>
      <w:bookmarkStart w:id="826" w:name="_Toc481572560"/>
      <w:bookmarkEnd w:id="826"/>
      <w:bookmarkStart w:id="827" w:name="_Toc417401583"/>
      <w:bookmarkEnd w:id="827"/>
      <w:bookmarkStart w:id="828" w:name="_Toc481573651"/>
      <w:bookmarkEnd w:id="828"/>
      <w:bookmarkStart w:id="829" w:name="_Toc481573457"/>
      <w:bookmarkEnd w:id="829"/>
      <w:bookmarkStart w:id="830" w:name="_Toc485024130"/>
      <w:bookmarkEnd w:id="830"/>
      <w:bookmarkStart w:id="831" w:name="_Toc485023203"/>
      <w:bookmarkEnd w:id="831"/>
      <w:bookmarkStart w:id="832" w:name="_Toc485021629"/>
      <w:bookmarkEnd w:id="832"/>
      <w:bookmarkStart w:id="833" w:name="_Toc485021724"/>
      <w:bookmarkEnd w:id="833"/>
      <w:bookmarkStart w:id="834" w:name="_Toc481572491"/>
      <w:bookmarkEnd w:id="834"/>
      <w:bookmarkStart w:id="835" w:name="_Toc481572203"/>
      <w:bookmarkEnd w:id="835"/>
      <w:bookmarkStart w:id="836" w:name="_Toc485022160"/>
      <w:bookmarkEnd w:id="836"/>
      <w:bookmarkStart w:id="837" w:name="_Toc417815024"/>
      <w:bookmarkEnd w:id="837"/>
      <w:bookmarkStart w:id="838" w:name="_Toc481573089"/>
      <w:bookmarkEnd w:id="838"/>
      <w:bookmarkStart w:id="839" w:name="_Toc481573204"/>
      <w:bookmarkEnd w:id="839"/>
      <w:bookmarkStart w:id="840" w:name="_Toc481569004"/>
      <w:bookmarkEnd w:id="840"/>
      <w:bookmarkStart w:id="841" w:name="_Toc484792492"/>
      <w:bookmarkEnd w:id="841"/>
      <w:bookmarkStart w:id="842" w:name="_Toc485023996"/>
      <w:bookmarkEnd w:id="842"/>
      <w:bookmarkStart w:id="843" w:name="_Toc485023286"/>
      <w:bookmarkEnd w:id="843"/>
      <w:bookmarkStart w:id="844" w:name="_Toc485021983"/>
      <w:bookmarkEnd w:id="844"/>
      <w:bookmarkStart w:id="845" w:name="_Toc417818501"/>
      <w:bookmarkEnd w:id="845"/>
      <w:bookmarkStart w:id="846" w:name="_Toc485023997"/>
      <w:bookmarkEnd w:id="846"/>
      <w:bookmarkStart w:id="847" w:name="_Toc485023184"/>
      <w:bookmarkEnd w:id="847"/>
      <w:bookmarkStart w:id="848" w:name="_Toc485022268"/>
      <w:bookmarkEnd w:id="848"/>
      <w:bookmarkStart w:id="849" w:name="_Toc481572784"/>
      <w:bookmarkEnd w:id="849"/>
      <w:bookmarkStart w:id="850" w:name="_Toc485021741"/>
      <w:bookmarkEnd w:id="850"/>
      <w:bookmarkStart w:id="851" w:name="_Toc417819054"/>
      <w:bookmarkEnd w:id="851"/>
      <w:bookmarkStart w:id="852" w:name="_Toc485024033"/>
      <w:bookmarkEnd w:id="852"/>
      <w:bookmarkStart w:id="853" w:name="_Toc417818547"/>
      <w:bookmarkEnd w:id="853"/>
      <w:bookmarkStart w:id="854" w:name="_Toc485023254"/>
      <w:bookmarkEnd w:id="854"/>
      <w:bookmarkStart w:id="855" w:name="_Toc481572669"/>
      <w:bookmarkEnd w:id="855"/>
      <w:bookmarkStart w:id="856" w:name="_Toc481573603"/>
      <w:bookmarkEnd w:id="856"/>
      <w:bookmarkStart w:id="857" w:name="_Toc481572738"/>
      <w:bookmarkEnd w:id="857"/>
      <w:bookmarkStart w:id="858" w:name="_Toc417815005"/>
      <w:bookmarkEnd w:id="858"/>
      <w:bookmarkStart w:id="859" w:name="_Toc417401523"/>
      <w:bookmarkEnd w:id="859"/>
      <w:bookmarkStart w:id="860" w:name="_Toc485023185"/>
      <w:bookmarkEnd w:id="860"/>
      <w:bookmarkStart w:id="861" w:name="_Toc481573499"/>
      <w:bookmarkEnd w:id="861"/>
      <w:bookmarkStart w:id="862" w:name="_Toc484792543"/>
      <w:bookmarkEnd w:id="862"/>
      <w:bookmarkStart w:id="863" w:name="_Toc485021627"/>
      <w:bookmarkEnd w:id="863"/>
      <w:bookmarkStart w:id="864" w:name="_Toc485023973"/>
      <w:bookmarkEnd w:id="864"/>
      <w:bookmarkStart w:id="865" w:name="_Toc484792643"/>
      <w:bookmarkEnd w:id="865"/>
      <w:bookmarkStart w:id="866" w:name="_Toc481569002"/>
      <w:bookmarkEnd w:id="866"/>
      <w:bookmarkStart w:id="867" w:name="_Toc481572327"/>
      <w:bookmarkEnd w:id="867"/>
      <w:bookmarkStart w:id="868" w:name="_Toc417814728"/>
      <w:bookmarkEnd w:id="868"/>
      <w:bookmarkStart w:id="869" w:name="_Toc485021727"/>
      <w:bookmarkEnd w:id="869"/>
      <w:bookmarkStart w:id="870" w:name="_Toc417819107"/>
      <w:bookmarkEnd w:id="870"/>
      <w:bookmarkStart w:id="871" w:name="_Toc485021723"/>
      <w:bookmarkEnd w:id="871"/>
      <w:bookmarkStart w:id="872" w:name="_Toc485022628"/>
      <w:bookmarkEnd w:id="872"/>
      <w:bookmarkStart w:id="873" w:name="_Toc417814977"/>
      <w:bookmarkEnd w:id="873"/>
      <w:bookmarkStart w:id="874" w:name="_Toc417819159"/>
      <w:bookmarkEnd w:id="874"/>
      <w:bookmarkStart w:id="875" w:name="_Toc417818884"/>
      <w:bookmarkEnd w:id="875"/>
      <w:bookmarkStart w:id="876" w:name="_Toc485024246"/>
      <w:bookmarkEnd w:id="876"/>
      <w:bookmarkStart w:id="877" w:name="_Toc485022728"/>
      <w:bookmarkEnd w:id="877"/>
      <w:bookmarkStart w:id="878" w:name="_Toc485024226"/>
      <w:bookmarkEnd w:id="878"/>
      <w:bookmarkStart w:id="879" w:name="_Toc481573134"/>
      <w:bookmarkEnd w:id="879"/>
      <w:bookmarkStart w:id="880" w:name="_Toc481568965"/>
      <w:bookmarkEnd w:id="880"/>
      <w:bookmarkStart w:id="881" w:name="_Toc485021964"/>
      <w:bookmarkEnd w:id="881"/>
      <w:bookmarkStart w:id="882" w:name="_Toc481572438"/>
      <w:bookmarkEnd w:id="882"/>
      <w:bookmarkStart w:id="883" w:name="_Toc481572684"/>
      <w:bookmarkEnd w:id="883"/>
      <w:bookmarkStart w:id="884" w:name="_Toc485023198"/>
      <w:bookmarkEnd w:id="884"/>
      <w:bookmarkStart w:id="885" w:name="_Toc485023880"/>
      <w:bookmarkEnd w:id="885"/>
      <w:bookmarkStart w:id="886" w:name="_Toc417513250"/>
      <w:bookmarkEnd w:id="886"/>
      <w:bookmarkStart w:id="887" w:name="_Toc481573420"/>
      <w:bookmarkEnd w:id="887"/>
      <w:bookmarkStart w:id="888" w:name="_Toc481572435"/>
      <w:bookmarkEnd w:id="888"/>
      <w:bookmarkStart w:id="889" w:name="_Toc485023872"/>
      <w:bookmarkEnd w:id="889"/>
      <w:bookmarkStart w:id="890" w:name="_Toc485021740"/>
      <w:bookmarkEnd w:id="890"/>
      <w:bookmarkStart w:id="891" w:name="_Toc485024068"/>
      <w:bookmarkEnd w:id="891"/>
      <w:bookmarkStart w:id="892" w:name="_Toc481572206"/>
      <w:bookmarkEnd w:id="892"/>
      <w:bookmarkStart w:id="893" w:name="_Toc417401576"/>
      <w:bookmarkEnd w:id="893"/>
      <w:bookmarkStart w:id="894" w:name="_Toc481572057"/>
      <w:bookmarkEnd w:id="894"/>
      <w:bookmarkStart w:id="895" w:name="_Toc417815234"/>
      <w:bookmarkEnd w:id="895"/>
      <w:bookmarkStart w:id="896" w:name="_Toc417818786"/>
      <w:bookmarkEnd w:id="896"/>
      <w:bookmarkStart w:id="897" w:name="_Toc485022361"/>
      <w:bookmarkEnd w:id="897"/>
      <w:bookmarkStart w:id="898" w:name="_Toc462231839"/>
      <w:bookmarkEnd w:id="898"/>
      <w:bookmarkStart w:id="899" w:name="_Toc481572987"/>
      <w:bookmarkEnd w:id="899"/>
      <w:bookmarkStart w:id="900" w:name="_Toc484792727"/>
      <w:bookmarkEnd w:id="900"/>
      <w:bookmarkStart w:id="901" w:name="_Toc485023318"/>
      <w:bookmarkEnd w:id="901"/>
      <w:bookmarkStart w:id="902" w:name="_Toc484792535"/>
      <w:bookmarkEnd w:id="902"/>
      <w:bookmarkStart w:id="903" w:name="_Toc481573345"/>
      <w:bookmarkEnd w:id="903"/>
      <w:bookmarkStart w:id="904" w:name="_Toc481573090"/>
      <w:bookmarkEnd w:id="904"/>
      <w:bookmarkStart w:id="905" w:name="_Toc485024334"/>
      <w:bookmarkEnd w:id="905"/>
      <w:bookmarkStart w:id="906" w:name="_Toc485021782"/>
      <w:bookmarkEnd w:id="906"/>
      <w:bookmarkStart w:id="907" w:name="_Toc481572218"/>
      <w:bookmarkEnd w:id="907"/>
      <w:bookmarkStart w:id="908" w:name="_Toc485022484"/>
      <w:bookmarkEnd w:id="908"/>
      <w:bookmarkStart w:id="909" w:name="_Toc485021637"/>
      <w:bookmarkEnd w:id="909"/>
      <w:bookmarkStart w:id="910" w:name="_Toc417327439"/>
      <w:bookmarkEnd w:id="910"/>
      <w:bookmarkStart w:id="911" w:name="_Toc485023311"/>
      <w:bookmarkEnd w:id="911"/>
      <w:bookmarkStart w:id="912" w:name="_Toc481566464"/>
      <w:bookmarkEnd w:id="912"/>
      <w:bookmarkStart w:id="913" w:name="_Toc481572622"/>
      <w:bookmarkEnd w:id="913"/>
      <w:bookmarkStart w:id="914" w:name="_Toc481502411"/>
      <w:bookmarkEnd w:id="914"/>
      <w:bookmarkStart w:id="915" w:name="_Toc481572903"/>
      <w:bookmarkEnd w:id="915"/>
      <w:bookmarkStart w:id="916" w:name="_Toc485022146"/>
      <w:bookmarkEnd w:id="916"/>
      <w:bookmarkStart w:id="917" w:name="_Toc481573185"/>
      <w:bookmarkEnd w:id="917"/>
      <w:bookmarkStart w:id="918" w:name="_Toc485022753"/>
      <w:bookmarkEnd w:id="918"/>
      <w:bookmarkStart w:id="919" w:name="_Toc485021757"/>
      <w:bookmarkEnd w:id="919"/>
      <w:bookmarkStart w:id="920" w:name="_Toc485024123"/>
      <w:bookmarkEnd w:id="920"/>
      <w:bookmarkStart w:id="921" w:name="_Toc417818874"/>
      <w:bookmarkEnd w:id="921"/>
      <w:bookmarkStart w:id="922" w:name="_Toc417513990"/>
      <w:bookmarkEnd w:id="922"/>
      <w:bookmarkStart w:id="923" w:name="_Toc485023767"/>
      <w:bookmarkEnd w:id="923"/>
      <w:bookmarkStart w:id="924" w:name="_Toc485024201"/>
      <w:bookmarkEnd w:id="924"/>
      <w:bookmarkStart w:id="925" w:name="_Toc481501807"/>
      <w:bookmarkEnd w:id="925"/>
      <w:bookmarkStart w:id="926" w:name="_Toc485022198"/>
      <w:bookmarkEnd w:id="926"/>
      <w:bookmarkStart w:id="927" w:name="_Toc485024295"/>
      <w:bookmarkEnd w:id="927"/>
      <w:bookmarkStart w:id="928" w:name="_Toc481572453"/>
      <w:bookmarkEnd w:id="928"/>
      <w:bookmarkStart w:id="929" w:name="_Toc485024261"/>
      <w:bookmarkEnd w:id="929"/>
      <w:bookmarkStart w:id="930" w:name="_Toc485023763"/>
      <w:bookmarkEnd w:id="930"/>
      <w:bookmarkStart w:id="931" w:name="_Toc485023994"/>
      <w:bookmarkEnd w:id="931"/>
      <w:bookmarkStart w:id="932" w:name="_Toc481573091"/>
      <w:bookmarkEnd w:id="932"/>
      <w:bookmarkStart w:id="933" w:name="_Toc481573724"/>
      <w:bookmarkEnd w:id="933"/>
      <w:bookmarkStart w:id="934" w:name="_Toc485022251"/>
      <w:bookmarkEnd w:id="934"/>
      <w:bookmarkStart w:id="935" w:name="_Toc481572757"/>
      <w:bookmarkEnd w:id="935"/>
      <w:bookmarkStart w:id="936" w:name="_Toc485023766"/>
      <w:bookmarkEnd w:id="936"/>
      <w:bookmarkStart w:id="937" w:name="_Toc484792742"/>
      <w:bookmarkEnd w:id="937"/>
      <w:bookmarkStart w:id="938" w:name="_Toc481566499"/>
      <w:bookmarkEnd w:id="938"/>
      <w:bookmarkStart w:id="939" w:name="_Toc417401495"/>
      <w:bookmarkEnd w:id="939"/>
      <w:bookmarkStart w:id="940" w:name="_Toc462231787"/>
      <w:bookmarkEnd w:id="940"/>
      <w:bookmarkStart w:id="941" w:name="_Toc481566463"/>
      <w:bookmarkEnd w:id="941"/>
      <w:bookmarkStart w:id="942" w:name="_Toc485022767"/>
      <w:bookmarkEnd w:id="942"/>
      <w:bookmarkStart w:id="943" w:name="_Toc417814970"/>
      <w:bookmarkEnd w:id="943"/>
      <w:bookmarkStart w:id="944" w:name="_Toc484792652"/>
      <w:bookmarkEnd w:id="944"/>
      <w:bookmarkStart w:id="945" w:name="_Toc481572025"/>
      <w:bookmarkEnd w:id="945"/>
      <w:bookmarkStart w:id="946" w:name="_Toc485024229"/>
      <w:bookmarkEnd w:id="946"/>
      <w:bookmarkStart w:id="947" w:name="_Toc485023288"/>
      <w:bookmarkEnd w:id="947"/>
      <w:bookmarkStart w:id="948" w:name="_Toc481573321"/>
      <w:bookmarkEnd w:id="948"/>
      <w:bookmarkStart w:id="949" w:name="_Toc417815082"/>
      <w:bookmarkEnd w:id="949"/>
      <w:bookmarkStart w:id="950" w:name="_Toc485023740"/>
      <w:bookmarkEnd w:id="950"/>
      <w:bookmarkStart w:id="951" w:name="_Toc485024408"/>
      <w:bookmarkEnd w:id="951"/>
      <w:bookmarkStart w:id="952" w:name="_Toc485023894"/>
      <w:bookmarkEnd w:id="952"/>
      <w:bookmarkStart w:id="953" w:name="_Toc485022199"/>
      <w:bookmarkEnd w:id="953"/>
      <w:bookmarkStart w:id="954" w:name="_Toc396921878"/>
      <w:bookmarkEnd w:id="954"/>
      <w:bookmarkStart w:id="955" w:name="_Toc481572777"/>
      <w:bookmarkEnd w:id="955"/>
      <w:bookmarkStart w:id="956" w:name="_Toc485022021"/>
      <w:bookmarkEnd w:id="956"/>
      <w:bookmarkStart w:id="957" w:name="_Toc481566544"/>
      <w:bookmarkEnd w:id="957"/>
      <w:bookmarkStart w:id="958" w:name="_Toc485022615"/>
      <w:bookmarkEnd w:id="958"/>
      <w:bookmarkStart w:id="959" w:name="_Toc485022297"/>
      <w:bookmarkEnd w:id="959"/>
      <w:bookmarkStart w:id="960" w:name="_Toc481572022"/>
      <w:bookmarkEnd w:id="960"/>
      <w:bookmarkStart w:id="961" w:name="_Toc484792426"/>
      <w:bookmarkEnd w:id="961"/>
      <w:bookmarkStart w:id="962" w:name="_Toc485022232"/>
      <w:bookmarkEnd w:id="962"/>
      <w:bookmarkStart w:id="963" w:name="_Toc481573257"/>
      <w:bookmarkEnd w:id="963"/>
      <w:bookmarkStart w:id="964" w:name="_Toc481571972"/>
      <w:bookmarkEnd w:id="964"/>
      <w:bookmarkStart w:id="965" w:name="_Toc484792423"/>
      <w:bookmarkEnd w:id="965"/>
      <w:bookmarkStart w:id="966" w:name="_Toc481573493"/>
      <w:bookmarkEnd w:id="966"/>
      <w:bookmarkStart w:id="967" w:name="_Toc485024103"/>
      <w:bookmarkEnd w:id="967"/>
      <w:bookmarkStart w:id="968" w:name="_Toc417814841"/>
      <w:bookmarkEnd w:id="968"/>
      <w:bookmarkStart w:id="969" w:name="_Toc481566413"/>
      <w:bookmarkEnd w:id="969"/>
      <w:bookmarkStart w:id="970" w:name="_Toc485022301"/>
      <w:bookmarkEnd w:id="970"/>
      <w:bookmarkStart w:id="971" w:name="_Toc417819124"/>
      <w:bookmarkEnd w:id="971"/>
      <w:bookmarkStart w:id="972" w:name="_Toc481573112"/>
      <w:bookmarkEnd w:id="972"/>
      <w:bookmarkStart w:id="973" w:name="_Toc481572215"/>
      <w:bookmarkEnd w:id="973"/>
      <w:bookmarkStart w:id="974" w:name="_Toc481568929"/>
      <w:bookmarkEnd w:id="974"/>
      <w:bookmarkStart w:id="975" w:name="_Toc485022397"/>
      <w:bookmarkEnd w:id="975"/>
      <w:bookmarkStart w:id="976" w:name="_Toc481573260"/>
      <w:bookmarkEnd w:id="976"/>
      <w:bookmarkStart w:id="977" w:name="_Toc417815252"/>
      <w:bookmarkEnd w:id="977"/>
      <w:bookmarkStart w:id="978" w:name="_Toc481573024"/>
      <w:bookmarkEnd w:id="978"/>
      <w:bookmarkStart w:id="979" w:name="_Toc485022250"/>
      <w:bookmarkEnd w:id="979"/>
      <w:bookmarkStart w:id="980" w:name="_Toc481572988"/>
      <w:bookmarkEnd w:id="980"/>
      <w:bookmarkStart w:id="981" w:name="_Toc481501726"/>
      <w:bookmarkEnd w:id="981"/>
      <w:bookmarkStart w:id="982" w:name="_Toc417632688"/>
      <w:bookmarkEnd w:id="982"/>
      <w:bookmarkStart w:id="983" w:name="_Toc484792707"/>
      <w:bookmarkEnd w:id="983"/>
      <w:bookmarkStart w:id="984" w:name="_Toc481572413"/>
      <w:bookmarkEnd w:id="984"/>
      <w:bookmarkStart w:id="985" w:name="_Toc462071142"/>
      <w:bookmarkEnd w:id="985"/>
      <w:bookmarkStart w:id="986" w:name="_Toc462071187"/>
      <w:bookmarkEnd w:id="986"/>
      <w:bookmarkStart w:id="987" w:name="_Toc417819171"/>
      <w:bookmarkEnd w:id="987"/>
      <w:bookmarkStart w:id="988" w:name="_Toc485022727"/>
      <w:bookmarkEnd w:id="988"/>
      <w:bookmarkStart w:id="989" w:name="_Toc417815083"/>
      <w:bookmarkEnd w:id="989"/>
      <w:bookmarkStart w:id="990" w:name="_Toc485022181"/>
      <w:bookmarkEnd w:id="990"/>
      <w:bookmarkStart w:id="991" w:name="_Toc481573476"/>
      <w:bookmarkEnd w:id="991"/>
      <w:bookmarkStart w:id="992" w:name="_Toc481566528"/>
      <w:bookmarkEnd w:id="992"/>
      <w:bookmarkStart w:id="993" w:name="_Toc485022536"/>
      <w:bookmarkEnd w:id="993"/>
      <w:bookmarkStart w:id="994" w:name="_Toc481573437"/>
      <w:bookmarkEnd w:id="994"/>
      <w:bookmarkStart w:id="995" w:name="_Toc481573617"/>
      <w:bookmarkEnd w:id="995"/>
      <w:bookmarkStart w:id="996" w:name="_Toc481573133"/>
      <w:bookmarkEnd w:id="996"/>
      <w:bookmarkStart w:id="997" w:name="_Toc484792576"/>
      <w:bookmarkEnd w:id="997"/>
      <w:bookmarkStart w:id="998" w:name="_Toc481568914"/>
      <w:bookmarkEnd w:id="998"/>
      <w:bookmarkStart w:id="999" w:name="_Toc481572800"/>
      <w:bookmarkEnd w:id="999"/>
      <w:bookmarkStart w:id="1000" w:name="_Toc485022508"/>
      <w:bookmarkEnd w:id="1000"/>
      <w:bookmarkStart w:id="1001" w:name="_Toc417327229"/>
      <w:bookmarkEnd w:id="1001"/>
      <w:bookmarkStart w:id="1002" w:name="_Toc485024263"/>
      <w:bookmarkEnd w:id="1002"/>
      <w:bookmarkStart w:id="1003" w:name="_Toc481573518"/>
      <w:bookmarkEnd w:id="1003"/>
      <w:bookmarkStart w:id="1004" w:name="_Toc481573656"/>
      <w:bookmarkEnd w:id="1004"/>
      <w:bookmarkStart w:id="1005" w:name="_Toc481573602"/>
      <w:bookmarkEnd w:id="1005"/>
      <w:bookmarkStart w:id="1006" w:name="_Toc485024139"/>
      <w:bookmarkEnd w:id="1006"/>
      <w:bookmarkStart w:id="1007" w:name="_Toc485023182"/>
      <w:bookmarkEnd w:id="1007"/>
      <w:bookmarkStart w:id="1008" w:name="_Toc481573223"/>
      <w:bookmarkEnd w:id="1008"/>
      <w:bookmarkStart w:id="1009" w:name="_Toc417401630"/>
      <w:bookmarkEnd w:id="1009"/>
      <w:bookmarkStart w:id="1010" w:name="_Toc484792510"/>
      <w:bookmarkEnd w:id="1010"/>
      <w:bookmarkStart w:id="1011" w:name="_Toc462071152"/>
      <w:bookmarkEnd w:id="1011"/>
      <w:bookmarkStart w:id="1012" w:name="_Toc485021685"/>
      <w:bookmarkEnd w:id="1012"/>
      <w:bookmarkStart w:id="1013" w:name="_Toc481572085"/>
      <w:bookmarkEnd w:id="1013"/>
      <w:bookmarkStart w:id="1014" w:name="_Toc417815087"/>
      <w:bookmarkEnd w:id="1014"/>
      <w:bookmarkStart w:id="1015" w:name="_Toc481572325"/>
      <w:bookmarkEnd w:id="1015"/>
      <w:bookmarkStart w:id="1016" w:name="_Toc481572646"/>
      <w:bookmarkEnd w:id="1016"/>
      <w:bookmarkStart w:id="1017" w:name="_Toc485023214"/>
      <w:bookmarkEnd w:id="1017"/>
      <w:bookmarkStart w:id="1018" w:name="_Toc481572551"/>
      <w:bookmarkEnd w:id="1018"/>
      <w:bookmarkStart w:id="1019" w:name="_Toc481568967"/>
      <w:bookmarkEnd w:id="1019"/>
      <w:bookmarkStart w:id="1020" w:name="_Toc481572559"/>
      <w:bookmarkEnd w:id="1020"/>
      <w:bookmarkStart w:id="1021" w:name="_Toc485022729"/>
      <w:bookmarkEnd w:id="1021"/>
      <w:bookmarkStart w:id="1022" w:name="_Toc481572754"/>
      <w:bookmarkEnd w:id="1022"/>
      <w:bookmarkStart w:id="1023" w:name="_Toc485023839"/>
      <w:bookmarkEnd w:id="1023"/>
      <w:bookmarkStart w:id="1024" w:name="_Toc485023834"/>
      <w:bookmarkEnd w:id="1024"/>
      <w:bookmarkStart w:id="1025" w:name="_Toc481569037"/>
      <w:bookmarkEnd w:id="1025"/>
      <w:bookmarkStart w:id="1026" w:name="_Toc417815164"/>
      <w:bookmarkEnd w:id="1026"/>
      <w:bookmarkStart w:id="1027" w:name="_Toc485023216"/>
      <w:bookmarkEnd w:id="1027"/>
      <w:bookmarkStart w:id="1028" w:name="_Toc485022633"/>
      <w:bookmarkEnd w:id="1028"/>
      <w:bookmarkStart w:id="1029" w:name="_Toc481572667"/>
      <w:bookmarkEnd w:id="1029"/>
      <w:bookmarkStart w:id="1030" w:name="_Toc481566429"/>
      <w:bookmarkEnd w:id="1030"/>
      <w:bookmarkStart w:id="1031" w:name="_Toc481572329"/>
      <w:bookmarkEnd w:id="1031"/>
      <w:bookmarkStart w:id="1032" w:name="_Toc481573563"/>
      <w:bookmarkEnd w:id="1032"/>
      <w:bookmarkStart w:id="1033" w:name="_Toc481573136"/>
      <w:bookmarkEnd w:id="1033"/>
      <w:bookmarkStart w:id="1034" w:name="_Toc481573027"/>
      <w:bookmarkEnd w:id="1034"/>
      <w:bookmarkStart w:id="1035" w:name="_Toc481572021"/>
      <w:bookmarkEnd w:id="1035"/>
      <w:bookmarkStart w:id="1036" w:name="_Toc485023180"/>
      <w:bookmarkEnd w:id="1036"/>
      <w:bookmarkStart w:id="1037" w:name="_Toc485021636"/>
      <w:bookmarkEnd w:id="1037"/>
      <w:bookmarkStart w:id="1038" w:name="_Toc481566425"/>
      <w:bookmarkEnd w:id="1038"/>
      <w:bookmarkStart w:id="1039" w:name="_Toc481571986"/>
      <w:bookmarkEnd w:id="1039"/>
      <w:bookmarkStart w:id="1040" w:name="_Toc481572271"/>
      <w:bookmarkEnd w:id="1040"/>
      <w:bookmarkStart w:id="1041" w:name="_Toc481572925"/>
      <w:bookmarkEnd w:id="1041"/>
      <w:bookmarkStart w:id="1042" w:name="_Toc481572685"/>
      <w:bookmarkEnd w:id="1042"/>
      <w:bookmarkStart w:id="1043" w:name="_Toc417637183"/>
      <w:bookmarkEnd w:id="1043"/>
      <w:bookmarkStart w:id="1044" w:name="_Toc485023161"/>
      <w:bookmarkEnd w:id="1044"/>
      <w:bookmarkStart w:id="1045" w:name="_Toc481573383"/>
      <w:bookmarkEnd w:id="1045"/>
      <w:bookmarkStart w:id="1046" w:name="_Toc485021984"/>
      <w:bookmarkEnd w:id="1046"/>
      <w:bookmarkStart w:id="1047" w:name="_Toc485024072"/>
      <w:bookmarkEnd w:id="1047"/>
      <w:bookmarkStart w:id="1048" w:name="_Toc485022631"/>
      <w:bookmarkEnd w:id="1048"/>
      <w:bookmarkStart w:id="1049" w:name="_Toc481573604"/>
      <w:bookmarkEnd w:id="1049"/>
      <w:bookmarkStart w:id="1050" w:name="_Toc485024031"/>
      <w:bookmarkEnd w:id="1050"/>
      <w:bookmarkStart w:id="1051" w:name="_Toc485024368"/>
      <w:bookmarkEnd w:id="1051"/>
      <w:bookmarkStart w:id="1052" w:name="_Toc481572692"/>
      <w:bookmarkEnd w:id="1052"/>
      <w:bookmarkStart w:id="1053" w:name="_Toc481573616"/>
      <w:bookmarkEnd w:id="1053"/>
      <w:bookmarkStart w:id="1054" w:name="_Toc485022486"/>
      <w:bookmarkEnd w:id="1054"/>
      <w:bookmarkStart w:id="1055" w:name="_Toc485024258"/>
      <w:bookmarkEnd w:id="1055"/>
      <w:bookmarkStart w:id="1056" w:name="_Toc481573330"/>
      <w:bookmarkEnd w:id="1056"/>
      <w:bookmarkStart w:id="1057" w:name="_Toc481573554"/>
      <w:bookmarkEnd w:id="1057"/>
      <w:bookmarkStart w:id="1058" w:name="_Toc485022183"/>
      <w:bookmarkEnd w:id="1058"/>
      <w:bookmarkStart w:id="1059" w:name="_Toc484792479"/>
      <w:bookmarkEnd w:id="1059"/>
      <w:bookmarkStart w:id="1060" w:name="_Toc484792749"/>
      <w:bookmarkEnd w:id="1060"/>
      <w:bookmarkStart w:id="1061" w:name="_Toc485022594"/>
      <w:bookmarkEnd w:id="1061"/>
      <w:bookmarkStart w:id="1062" w:name="_Toc417637340"/>
      <w:bookmarkEnd w:id="1062"/>
      <w:bookmarkStart w:id="1063" w:name="_Toc485021810"/>
      <w:bookmarkEnd w:id="1063"/>
      <w:bookmarkStart w:id="1064" w:name="_Toc485024227"/>
      <w:bookmarkEnd w:id="1064"/>
      <w:bookmarkStart w:id="1065" w:name="_Toc481573052"/>
      <w:bookmarkEnd w:id="1065"/>
      <w:bookmarkStart w:id="1066" w:name="_Toc485023786"/>
      <w:bookmarkEnd w:id="1066"/>
      <w:bookmarkStart w:id="1067" w:name="_Toc481566414"/>
      <w:bookmarkEnd w:id="1067"/>
      <w:bookmarkStart w:id="1068" w:name="_Toc485022269"/>
      <w:bookmarkEnd w:id="1068"/>
      <w:bookmarkStart w:id="1069" w:name="_Toc481572370"/>
      <w:bookmarkEnd w:id="1069"/>
      <w:bookmarkStart w:id="1070" w:name="_Toc396921790"/>
      <w:bookmarkEnd w:id="1070"/>
      <w:bookmarkStart w:id="1071" w:name="_Toc417513251"/>
      <w:bookmarkEnd w:id="1071"/>
      <w:bookmarkStart w:id="1072" w:name="_Toc485023746"/>
      <w:bookmarkEnd w:id="1072"/>
      <w:bookmarkStart w:id="1073" w:name="_Toc481569041"/>
      <w:bookmarkEnd w:id="1073"/>
      <w:bookmarkStart w:id="1074" w:name="_Toc481572439"/>
      <w:bookmarkEnd w:id="1074"/>
      <w:bookmarkStart w:id="1075" w:name="_Toc484792538"/>
      <w:bookmarkEnd w:id="1075"/>
      <w:bookmarkStart w:id="1076" w:name="_Toc485022295"/>
      <w:bookmarkEnd w:id="1076"/>
      <w:bookmarkStart w:id="1077" w:name="_Toc481566430"/>
      <w:bookmarkEnd w:id="1077"/>
      <w:bookmarkStart w:id="1078" w:name="_Toc481568953"/>
      <w:bookmarkEnd w:id="1078"/>
      <w:bookmarkStart w:id="1079" w:name="_Toc485022401"/>
      <w:bookmarkEnd w:id="1079"/>
      <w:bookmarkStart w:id="1080" w:name="_Toc481573151"/>
      <w:bookmarkEnd w:id="1080"/>
      <w:bookmarkStart w:id="1081" w:name="_Toc417814917"/>
      <w:bookmarkEnd w:id="1081"/>
      <w:bookmarkStart w:id="1082" w:name="_Toc485021970"/>
      <w:bookmarkEnd w:id="1082"/>
      <w:bookmarkStart w:id="1083" w:name="_Toc481572156"/>
      <w:bookmarkEnd w:id="1083"/>
      <w:bookmarkStart w:id="1084" w:name="_Toc485022104"/>
      <w:bookmarkEnd w:id="1084"/>
      <w:bookmarkStart w:id="1085" w:name="_Toc485024314"/>
      <w:bookmarkEnd w:id="1085"/>
      <w:bookmarkStart w:id="1086" w:name="_Toc481572291"/>
      <w:bookmarkEnd w:id="1086"/>
      <w:bookmarkStart w:id="1087" w:name="_Toc485024020"/>
      <w:bookmarkEnd w:id="1087"/>
      <w:bookmarkStart w:id="1088" w:name="_Toc417513247"/>
      <w:bookmarkEnd w:id="1088"/>
      <w:bookmarkStart w:id="1089" w:name="_Toc481572737"/>
      <w:bookmarkEnd w:id="1089"/>
      <w:bookmarkStart w:id="1090" w:name="_Toc485024243"/>
      <w:bookmarkEnd w:id="1090"/>
      <w:bookmarkStart w:id="1091" w:name="_Toc481573716"/>
      <w:bookmarkEnd w:id="1091"/>
      <w:bookmarkStart w:id="1092" w:name="_Toc485023999"/>
      <w:bookmarkEnd w:id="1092"/>
      <w:bookmarkStart w:id="1093" w:name="_Toc481568969"/>
      <w:bookmarkEnd w:id="1093"/>
      <w:bookmarkStart w:id="1094" w:name="_Toc485022600"/>
      <w:bookmarkEnd w:id="1094"/>
      <w:bookmarkStart w:id="1095" w:name="_Toc481573098"/>
      <w:bookmarkEnd w:id="1095"/>
      <w:bookmarkStart w:id="1096" w:name="_Toc485022483"/>
      <w:bookmarkEnd w:id="1096"/>
      <w:bookmarkStart w:id="1097" w:name="_Toc417327467"/>
      <w:bookmarkEnd w:id="1097"/>
      <w:bookmarkStart w:id="1098" w:name="_Toc481573598"/>
      <w:bookmarkEnd w:id="1098"/>
      <w:bookmarkStart w:id="1099" w:name="_Toc485021687"/>
      <w:bookmarkEnd w:id="1099"/>
      <w:bookmarkStart w:id="1100" w:name="_Toc485022353"/>
      <w:bookmarkEnd w:id="1100"/>
      <w:bookmarkStart w:id="1101" w:name="_Toc484792754"/>
      <w:bookmarkEnd w:id="1101"/>
      <w:bookmarkStart w:id="1102" w:name="_Toc462071170"/>
      <w:bookmarkEnd w:id="1102"/>
      <w:bookmarkStart w:id="1103" w:name="_Toc484792537"/>
      <w:bookmarkEnd w:id="1103"/>
      <w:bookmarkStart w:id="1104" w:name="_Toc485022352"/>
      <w:bookmarkEnd w:id="1104"/>
      <w:bookmarkStart w:id="1105" w:name="_Toc485023152"/>
      <w:bookmarkEnd w:id="1105"/>
      <w:bookmarkStart w:id="1106" w:name="_Toc485021761"/>
      <w:bookmarkEnd w:id="1106"/>
      <w:bookmarkStart w:id="1107" w:name="_Toc462231855"/>
      <w:bookmarkEnd w:id="1107"/>
      <w:bookmarkStart w:id="1108" w:name="_Toc481572916"/>
      <w:bookmarkEnd w:id="1108"/>
      <w:bookmarkStart w:id="1109" w:name="_Toc481569039"/>
      <w:bookmarkEnd w:id="1109"/>
      <w:bookmarkStart w:id="1110" w:name="_Toc481566539"/>
      <w:bookmarkEnd w:id="1110"/>
      <w:bookmarkStart w:id="1111" w:name="_Toc481573728"/>
      <w:bookmarkEnd w:id="1111"/>
      <w:bookmarkStart w:id="1112" w:name="_Toc481571926"/>
      <w:bookmarkEnd w:id="1112"/>
      <w:bookmarkStart w:id="1113" w:name="_Toc481572522"/>
      <w:bookmarkEnd w:id="1113"/>
      <w:bookmarkStart w:id="1114" w:name="_Toc481573029"/>
      <w:bookmarkEnd w:id="1114"/>
      <w:bookmarkStart w:id="1115" w:name="_Toc484792402"/>
      <w:bookmarkEnd w:id="1115"/>
      <w:bookmarkStart w:id="1116" w:name="_Toc485022665"/>
      <w:bookmarkEnd w:id="1116"/>
      <w:bookmarkStart w:id="1117" w:name="_Toc481572953"/>
      <w:bookmarkEnd w:id="1117"/>
      <w:bookmarkStart w:id="1118" w:name="_Toc485024367"/>
      <w:bookmarkEnd w:id="1118"/>
      <w:bookmarkStart w:id="1119" w:name="_Toc484792735"/>
      <w:bookmarkEnd w:id="1119"/>
      <w:bookmarkStart w:id="1120" w:name="_Toc485023217"/>
      <w:bookmarkEnd w:id="1120"/>
      <w:bookmarkStart w:id="1121" w:name="_Toc481572856"/>
      <w:bookmarkEnd w:id="1121"/>
      <w:bookmarkStart w:id="1122" w:name="_Toc481571969"/>
      <w:bookmarkEnd w:id="1122"/>
      <w:bookmarkStart w:id="1123" w:name="_Toc417327148"/>
      <w:bookmarkEnd w:id="1123"/>
      <w:bookmarkStart w:id="1124" w:name="_Toc417637048"/>
      <w:bookmarkEnd w:id="1124"/>
      <w:bookmarkStart w:id="1125" w:name="_Toc485021967"/>
      <w:bookmarkEnd w:id="1125"/>
      <w:bookmarkStart w:id="1126" w:name="_Toc481572219"/>
      <w:bookmarkEnd w:id="1126"/>
      <w:bookmarkStart w:id="1127" w:name="_Toc481572137"/>
      <w:bookmarkEnd w:id="1127"/>
      <w:bookmarkStart w:id="1128" w:name="_Toc485022296"/>
      <w:bookmarkEnd w:id="1128"/>
      <w:bookmarkStart w:id="1129" w:name="_Toc485021922"/>
      <w:bookmarkEnd w:id="1129"/>
      <w:bookmarkStart w:id="1130" w:name="_Toc481502447"/>
      <w:bookmarkEnd w:id="1130"/>
      <w:bookmarkStart w:id="1131" w:name="_Toc485022182"/>
      <w:bookmarkEnd w:id="1131"/>
      <w:bookmarkStart w:id="1132" w:name="_Toc481572524"/>
      <w:bookmarkEnd w:id="1132"/>
      <w:r>
        <w:rPr>
          <w:rFonts w:hint="eastAsia" w:ascii="宋体"/>
          <w:b/>
          <w:sz w:val="21"/>
          <w:szCs w:val="21"/>
        </w:rPr>
        <w:t>说明：投标人须对本项目为单位的服务进行整体响应，任何只对其中一部分内容进行的响应都被视为无效响应。</w:t>
      </w:r>
    </w:p>
    <w:p>
      <w:pPr>
        <w:spacing w:line="360" w:lineRule="auto"/>
        <w:ind w:left="-525" w:firstLine="269" w:firstLineChars="128"/>
        <w:jc w:val="center"/>
        <w:rPr>
          <w:rFonts w:ascii="宋体"/>
          <w:b/>
          <w:color w:val="FF0000"/>
          <w:sz w:val="21"/>
          <w:szCs w:val="21"/>
        </w:rPr>
      </w:pPr>
      <w:r>
        <w:rPr>
          <w:rFonts w:hint="eastAsia" w:ascii="宋体"/>
          <w:b/>
          <w:color w:val="FF0000"/>
          <w:sz w:val="21"/>
          <w:szCs w:val="21"/>
        </w:rPr>
        <w:t>（带“★”的条款为实质性条款，投标人如有任何一条负偏离则导致投标无效。）</w:t>
      </w:r>
    </w:p>
    <w:tbl>
      <w:tblPr>
        <w:tblStyle w:val="18"/>
        <w:tblpPr w:leftFromText="180" w:rightFromText="180" w:vertAnchor="text" w:horzAnchor="page" w:tblpX="992" w:tblpY="139"/>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3787"/>
        <w:gridCol w:w="3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2652" w:type="dxa"/>
            <w:tcBorders>
              <w:top w:val="single" w:color="auto" w:sz="12" w:space="0"/>
              <w:left w:val="single" w:color="auto" w:sz="12"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项目内容</w:t>
            </w:r>
          </w:p>
        </w:tc>
        <w:tc>
          <w:tcPr>
            <w:tcW w:w="3787" w:type="dxa"/>
            <w:tcBorders>
              <w:top w:val="single" w:color="auto" w:sz="12" w:space="0"/>
              <w:left w:val="single" w:color="auto" w:sz="4"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供货期</w:t>
            </w:r>
          </w:p>
        </w:tc>
        <w:tc>
          <w:tcPr>
            <w:tcW w:w="3189" w:type="dxa"/>
            <w:tcBorders>
              <w:top w:val="single" w:color="auto" w:sz="12" w:space="0"/>
              <w:left w:val="single" w:color="auto" w:sz="4" w:space="0"/>
              <w:bottom w:val="double" w:color="auto" w:sz="4" w:space="0"/>
              <w:right w:val="single" w:color="auto" w:sz="12"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最高限价（人民币）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265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微软雅黑" w:hAnsi="微软雅黑" w:cs="微软雅黑"/>
                <w:sz w:val="21"/>
                <w:szCs w:val="21"/>
              </w:rPr>
            </w:pPr>
            <w:r>
              <w:rPr>
                <w:rFonts w:hint="eastAsia" w:ascii="微软雅黑" w:hAnsi="微软雅黑" w:cs="微软雅黑"/>
                <w:sz w:val="21"/>
                <w:szCs w:val="21"/>
              </w:rPr>
              <w:t>水表采购</w:t>
            </w:r>
          </w:p>
        </w:tc>
        <w:tc>
          <w:tcPr>
            <w:tcW w:w="3787"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微软雅黑" w:hAnsi="微软雅黑" w:cs="微软雅黑"/>
                <w:sz w:val="21"/>
                <w:szCs w:val="21"/>
              </w:rPr>
            </w:pPr>
            <w:r>
              <w:rPr>
                <w:rFonts w:hint="eastAsia" w:ascii="微软雅黑" w:hAnsi="微软雅黑" w:cs="微软雅黑"/>
                <w:sz w:val="21"/>
                <w:szCs w:val="21"/>
              </w:rPr>
              <w:t>自合同签订之日起一年。</w:t>
            </w:r>
            <w:r>
              <w:rPr>
                <w:rFonts w:hint="eastAsia" w:ascii="微软雅黑" w:hAnsi="微软雅黑" w:cs="微软雅黑"/>
                <w:bCs/>
                <w:sz w:val="21"/>
                <w:szCs w:val="21"/>
              </w:rPr>
              <w:t>供货期届满或累计货物结算总额达到合同总价后（先到为准），本合同自然终止。</w:t>
            </w:r>
          </w:p>
        </w:tc>
        <w:tc>
          <w:tcPr>
            <w:tcW w:w="3189" w:type="dxa"/>
            <w:tcBorders>
              <w:top w:val="single" w:color="auto" w:sz="4" w:space="0"/>
              <w:left w:val="single" w:color="auto" w:sz="4" w:space="0"/>
              <w:bottom w:val="single" w:color="auto" w:sz="12" w:space="0"/>
              <w:right w:val="single" w:color="auto" w:sz="12" w:space="0"/>
            </w:tcBorders>
            <w:vAlign w:val="center"/>
          </w:tcPr>
          <w:p>
            <w:pPr>
              <w:spacing w:line="360" w:lineRule="auto"/>
              <w:rPr>
                <w:rFonts w:eastAsia="仿宋_GB2312" w:cs="仿宋_GB2312"/>
                <w:b/>
                <w:bCs/>
                <w:sz w:val="24"/>
                <w:szCs w:val="24"/>
              </w:rPr>
            </w:pPr>
            <w:r>
              <w:rPr>
                <w:rFonts w:hint="eastAsia" w:ascii="微软雅黑" w:hAnsi="微软雅黑" w:cs="微软雅黑"/>
                <w:sz w:val="20"/>
                <w:szCs w:val="20"/>
              </w:rPr>
              <w:t>本项目总价限价为：</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人民币13275561.8元；</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其中：</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子包一总价限价：</w:t>
            </w:r>
            <w:r>
              <w:rPr>
                <w:rFonts w:hint="eastAsia" w:ascii="微软雅黑" w:hAnsi="微软雅黑" w:cs="微软雅黑"/>
                <w:sz w:val="20"/>
                <w:szCs w:val="20"/>
                <w:highlight w:val="none"/>
                <w:lang w:eastAsia="zh-CN"/>
              </w:rPr>
              <w:t>7965337.08</w:t>
            </w:r>
            <w:r>
              <w:rPr>
                <w:rFonts w:hint="eastAsia" w:ascii="微软雅黑" w:hAnsi="微软雅黑" w:cs="微软雅黑"/>
                <w:sz w:val="20"/>
                <w:szCs w:val="20"/>
                <w:highlight w:val="none"/>
              </w:rPr>
              <w:t>元；</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子包二总价限价：</w:t>
            </w:r>
            <w:r>
              <w:rPr>
                <w:rFonts w:hint="eastAsia" w:ascii="微软雅黑" w:hAnsi="微软雅黑" w:cs="微软雅黑"/>
                <w:sz w:val="20"/>
                <w:szCs w:val="20"/>
                <w:highlight w:val="none"/>
                <w:lang w:eastAsia="zh-CN"/>
              </w:rPr>
              <w:t>3317248.69</w:t>
            </w:r>
            <w:r>
              <w:rPr>
                <w:rFonts w:hint="eastAsia" w:ascii="微软雅黑" w:hAnsi="微软雅黑" w:cs="微软雅黑"/>
                <w:sz w:val="20"/>
                <w:szCs w:val="20"/>
                <w:highlight w:val="none"/>
              </w:rPr>
              <w:t>元；</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子包三总价限价：</w:t>
            </w:r>
            <w:r>
              <w:rPr>
                <w:rFonts w:hint="eastAsia" w:ascii="微软雅黑" w:hAnsi="微软雅黑" w:cs="微软雅黑"/>
                <w:sz w:val="20"/>
                <w:szCs w:val="20"/>
                <w:highlight w:val="none"/>
                <w:lang w:eastAsia="zh-CN"/>
              </w:rPr>
              <w:t>1992976.03</w:t>
            </w:r>
            <w:r>
              <w:rPr>
                <w:rFonts w:hint="eastAsia" w:ascii="微软雅黑" w:hAnsi="微软雅黑" w:cs="微软雅黑"/>
                <w:sz w:val="20"/>
                <w:szCs w:val="20"/>
                <w:highlight w:val="none"/>
              </w:rPr>
              <w:t>元；</w:t>
            </w:r>
          </w:p>
          <w:p>
            <w:pPr>
              <w:spacing w:line="360" w:lineRule="auto"/>
              <w:jc w:val="both"/>
              <w:rPr>
                <w:rFonts w:ascii="微软雅黑" w:hAnsi="微软雅黑" w:cs="微软雅黑"/>
                <w:sz w:val="21"/>
                <w:szCs w:val="21"/>
              </w:rPr>
            </w:pPr>
            <w:r>
              <w:rPr>
                <w:rFonts w:hint="eastAsia" w:ascii="微软雅黑" w:hAnsi="微软雅黑" w:cs="微软雅黑"/>
                <w:sz w:val="20"/>
                <w:szCs w:val="20"/>
              </w:rPr>
              <w:t>单价限价详见项目报价明细表。</w:t>
            </w:r>
          </w:p>
        </w:tc>
      </w:tr>
    </w:tbl>
    <w:p>
      <w:pPr>
        <w:pStyle w:val="17"/>
        <w:ind w:left="440" w:firstLine="480"/>
      </w:pPr>
    </w:p>
    <w:p>
      <w:pPr>
        <w:ind w:firstLine="426"/>
        <w:rPr>
          <w:rFonts w:ascii="微软雅黑" w:hAnsi="微软雅黑" w:cs="微软雅黑"/>
          <w:b/>
          <w:sz w:val="32"/>
          <w:szCs w:val="32"/>
        </w:rPr>
      </w:pPr>
    </w:p>
    <w:p>
      <w:pPr>
        <w:pStyle w:val="6"/>
        <w:jc w:val="center"/>
        <w:rPr>
          <w:rFonts w:ascii="微软雅黑" w:hAnsi="微软雅黑" w:cs="微软雅黑"/>
          <w:b/>
          <w:bCs/>
          <w:sz w:val="24"/>
          <w:szCs w:val="24"/>
        </w:rPr>
      </w:pPr>
      <w:r>
        <w:rPr>
          <w:rFonts w:hint="eastAsia" w:ascii="微软雅黑" w:hAnsi="微软雅黑" w:cs="微软雅黑"/>
          <w:b/>
          <w:bCs/>
          <w:sz w:val="24"/>
          <w:szCs w:val="24"/>
        </w:rPr>
        <w:t>智能水表技术要求</w:t>
      </w:r>
    </w:p>
    <w:p>
      <w:pPr>
        <w:numPr>
          <w:ilvl w:val="0"/>
          <w:numId w:val="3"/>
        </w:numPr>
        <w:spacing w:line="360" w:lineRule="auto"/>
        <w:ind w:left="63" w:firstLine="567"/>
        <w:rPr>
          <w:rFonts w:ascii="微软雅黑" w:hAnsi="微软雅黑" w:cs="微软雅黑"/>
          <w:sz w:val="20"/>
          <w:szCs w:val="20"/>
          <w:highlight w:val="none"/>
        </w:rPr>
      </w:pPr>
      <w:r>
        <w:rPr>
          <w:rFonts w:hint="eastAsia" w:ascii="微软雅黑" w:hAnsi="微软雅黑" w:cs="微软雅黑"/>
          <w:sz w:val="20"/>
          <w:szCs w:val="20"/>
        </w:rPr>
        <w:t>智能水表组应为制造商制造的全新产品并满足技术要求，整机无污染，无侵权行为、在中国境内可依常规安全合法使用，符合中华人民共和国国家安全质量标准、环保标准或行业标准，适用于居民饮用水计量使用。水表不得有任何损伤或缺陷，所有连接部位必须保证足够的强度和刚度，所有机加工表面的加工精度及配合公差应达到相应的设计规范要求。管径范围为DN1</w:t>
      </w:r>
      <w:r>
        <w:rPr>
          <w:rFonts w:hint="eastAsia" w:ascii="微软雅黑" w:hAnsi="微软雅黑" w:cs="微软雅黑"/>
          <w:sz w:val="20"/>
          <w:szCs w:val="20"/>
          <w:highlight w:val="none"/>
        </w:rPr>
        <w:t>5mm、DN20mm、DN25mm、40mm、50mm、80mm、100mm、150mm、200mm之间。</w:t>
      </w:r>
    </w:p>
    <w:p>
      <w:pPr>
        <w:numPr>
          <w:ilvl w:val="0"/>
          <w:numId w:val="3"/>
        </w:numPr>
        <w:spacing w:line="360" w:lineRule="auto"/>
        <w:ind w:left="63" w:firstLine="567"/>
        <w:rPr>
          <w:rFonts w:ascii="微软雅黑" w:hAnsi="微软雅黑" w:cs="微软雅黑"/>
          <w:bCs/>
          <w:sz w:val="20"/>
          <w:szCs w:val="20"/>
          <w:highlight w:val="none"/>
        </w:rPr>
      </w:pPr>
      <w:r>
        <w:rPr>
          <w:rFonts w:hint="eastAsia" w:ascii="微软雅黑" w:hAnsi="微软雅黑" w:cs="微软雅黑"/>
          <w:sz w:val="20"/>
          <w:szCs w:val="20"/>
          <w:highlight w:val="none"/>
        </w:rPr>
        <w:t>智能水表组采用分体结构设计，基表选用普通机械水表，基表数据机电转换采用无磁传感技术，远传模块的无线通讯方式选用NBIOT。配套远传模块的电子部分与基表各自独立组成不采取任何形式的线束连接，远传模块和基表应可分别更</w:t>
      </w:r>
      <w:r>
        <w:rPr>
          <w:rFonts w:hint="eastAsia" w:ascii="微软雅黑" w:hAnsi="微软雅黑" w:cs="微软雅黑"/>
          <w:bCs/>
          <w:sz w:val="20"/>
          <w:szCs w:val="20"/>
          <w:highlight w:val="none"/>
        </w:rPr>
        <w:t>换。考虑到日后在使用水表的过程中，并不能完全保证使用环境良好，供货厂家应能保证基表以及配套的远传模块在恶劣条件下可长期连续稳定工作。供货厂家应提供安装地点的NBIOT信号测试报告。</w:t>
      </w:r>
    </w:p>
    <w:p>
      <w:pPr>
        <w:numPr>
          <w:ilvl w:val="0"/>
          <w:numId w:val="3"/>
        </w:numPr>
        <w:spacing w:line="360" w:lineRule="auto"/>
        <w:ind w:left="63" w:firstLine="567"/>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对于国内产品厂家，智能水表必须提供有省级或以上法定计量管理机构授权的第三方检测机构出具的型式评定报告。</w:t>
      </w:r>
    </w:p>
    <w:p>
      <w:pPr>
        <w:numPr>
          <w:ilvl w:val="0"/>
          <w:numId w:val="3"/>
        </w:numPr>
        <w:spacing w:line="360" w:lineRule="auto"/>
        <w:ind w:left="63" w:firstLine="567"/>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应遵循的法律、法规、标准和规范</w:t>
      </w:r>
      <w:r>
        <w:rPr>
          <w:rFonts w:hint="eastAsia" w:ascii="微软雅黑" w:hAnsi="微软雅黑" w:cs="微软雅黑"/>
          <w:sz w:val="20"/>
          <w:szCs w:val="20"/>
          <w:highlight w:val="none"/>
        </w:rPr>
        <w:t>（以下标准若有新版本颁布的，按最新版标准执行）</w:t>
      </w:r>
      <w:r>
        <w:rPr>
          <w:rFonts w:hint="eastAsia" w:ascii="微软雅黑" w:hAnsi="微软雅黑" w:cs="微软雅黑"/>
          <w:bCs/>
          <w:color w:val="000000"/>
          <w:sz w:val="20"/>
          <w:szCs w:val="20"/>
          <w:highlight w:val="none"/>
        </w:rPr>
        <w:t>：</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《中华人民共和国计量法》(2015年)</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《强制检定的工作计量器具实施检定的有关规定(试行)》(1991年8月国家技术监督局)</w:t>
      </w:r>
    </w:p>
    <w:p>
      <w:pPr>
        <w:pStyle w:val="25"/>
        <w:numPr>
          <w:ilvl w:val="0"/>
          <w:numId w:val="4"/>
        </w:numPr>
        <w:spacing w:line="360" w:lineRule="auto"/>
        <w:ind w:firstLine="400"/>
        <w:rPr>
          <w:rFonts w:ascii="微软雅黑" w:hAnsi="微软雅黑" w:cs="微软雅黑"/>
          <w:sz w:val="20"/>
          <w:szCs w:val="20"/>
          <w:highlight w:val="none"/>
        </w:rPr>
      </w:pPr>
      <w:r>
        <w:rPr>
          <w:rFonts w:hint="eastAsia" w:ascii="微软雅黑" w:hAnsi="微软雅黑" w:cs="微软雅黑"/>
          <w:color w:val="000000"/>
          <w:sz w:val="20"/>
          <w:szCs w:val="20"/>
          <w:highlight w:val="none"/>
        </w:rPr>
        <w:t>GB/T778 《饮用冷水水表和热水水表》标准</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sz w:val="20"/>
          <w:szCs w:val="20"/>
          <w:highlight w:val="none"/>
        </w:rPr>
        <w:t xml:space="preserve"> 中华人民共和国</w:t>
      </w:r>
      <w:r>
        <w:rPr>
          <w:rFonts w:hint="eastAsia" w:ascii="微软雅黑" w:hAnsi="微软雅黑" w:cs="微软雅黑"/>
          <w:color w:val="000000"/>
          <w:sz w:val="20"/>
          <w:szCs w:val="20"/>
          <w:highlight w:val="none"/>
        </w:rPr>
        <w:t>国家计量检定规程JJG162《冷水水表》</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《饮用水计量仪表材料卫生标准》</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CJ/T224  《电子远传水表》</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CMA/WM778《小口径饮用水冷水表表壳技术规范》</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JG/T162  《住宅远传抄表系统》</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CJ3064《居民饮用水计量仪表安全规则》</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GB50131《自动化仪表工程施工质量验收规范》</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生活饮用水卫生监督管理办法(建设部、卫生部1996年颁布)</w:t>
      </w:r>
    </w:p>
    <w:p>
      <w:pPr>
        <w:pStyle w:val="25"/>
        <w:numPr>
          <w:ilvl w:val="0"/>
          <w:numId w:val="4"/>
        </w:numPr>
        <w:spacing w:line="360" w:lineRule="auto"/>
        <w:ind w:firstLine="4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其他相关的国家、地方标准。</w:t>
      </w:r>
    </w:p>
    <w:p>
      <w:pPr>
        <w:spacing w:line="360" w:lineRule="auto"/>
        <w:ind w:firstLine="500" w:firstLineChars="25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上述的国家、地方或行业相关标准和规范，以最新版本为准。</w:t>
      </w:r>
    </w:p>
    <w:p>
      <w:pPr>
        <w:numPr>
          <w:ilvl w:val="0"/>
          <w:numId w:val="3"/>
        </w:numPr>
        <w:spacing w:line="360" w:lineRule="auto"/>
        <w:ind w:left="63" w:firstLine="567"/>
        <w:rPr>
          <w:rFonts w:ascii="微软雅黑" w:hAnsi="微软雅黑" w:cs="微软雅黑"/>
          <w:b/>
          <w:color w:val="000000"/>
          <w:sz w:val="20"/>
          <w:szCs w:val="20"/>
          <w:highlight w:val="none"/>
        </w:rPr>
      </w:pPr>
      <w:r>
        <w:rPr>
          <w:rFonts w:hint="eastAsia" w:ascii="微软雅黑" w:hAnsi="微软雅黑" w:cs="微软雅黑"/>
          <w:b/>
          <w:color w:val="000000"/>
          <w:sz w:val="20"/>
          <w:szCs w:val="20"/>
          <w:highlight w:val="none"/>
        </w:rPr>
        <w:t>基表规格、功能及技术要求</w:t>
      </w:r>
    </w:p>
    <w:p>
      <w:pPr>
        <w:spacing w:line="360" w:lineRule="auto"/>
        <w:ind w:left="63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5.1基表具体参数技术要求</w:t>
      </w:r>
    </w:p>
    <w:p>
      <w:pPr>
        <w:tabs>
          <w:tab w:val="left" w:pos="855"/>
        </w:tabs>
        <w:spacing w:line="360" w:lineRule="auto"/>
        <w:ind w:firstLine="600"/>
        <w:rPr>
          <w:rFonts w:ascii="微软雅黑" w:hAnsi="微软雅黑" w:cs="微软雅黑"/>
          <w:sz w:val="20"/>
          <w:szCs w:val="20"/>
          <w:highlight w:val="none"/>
        </w:rPr>
      </w:pPr>
      <w:r>
        <w:rPr>
          <w:rFonts w:hint="eastAsia" w:ascii="微软雅黑" w:hAnsi="微软雅黑" w:cs="微软雅黑"/>
          <w:sz w:val="20"/>
          <w:szCs w:val="20"/>
          <w:highlight w:val="none"/>
        </w:rPr>
        <w:t>5.1.1智能水表的基表，DN15mm、</w:t>
      </w:r>
      <w:r>
        <w:rPr>
          <w:rFonts w:hint="eastAsia" w:ascii="微软雅黑" w:hAnsi="微软雅黑" w:cs="微软雅黑"/>
          <w:kern w:val="2"/>
          <w:sz w:val="20"/>
          <w:szCs w:val="20"/>
          <w:highlight w:val="none"/>
        </w:rPr>
        <w:t>DN20mm、</w:t>
      </w:r>
      <w:r>
        <w:rPr>
          <w:rFonts w:hint="eastAsia" w:ascii="微软雅黑" w:hAnsi="微软雅黑" w:cs="微软雅黑"/>
          <w:sz w:val="20"/>
          <w:szCs w:val="20"/>
          <w:highlight w:val="none"/>
        </w:rPr>
        <w:t>DN25mm、DN40mm为旋翼式水表</w:t>
      </w:r>
      <w:r>
        <w:rPr>
          <w:rFonts w:hint="eastAsia" w:ascii="微软雅黑" w:hAnsi="微软雅黑" w:cs="微软雅黑"/>
          <w:sz w:val="20"/>
          <w:szCs w:val="20"/>
          <w:highlight w:val="none"/>
          <w:lang w:eastAsia="zh-CN"/>
        </w:rPr>
        <w:t>；</w:t>
      </w:r>
      <w:r>
        <w:rPr>
          <w:rFonts w:hint="eastAsia" w:ascii="微软雅黑" w:hAnsi="微软雅黑" w:cs="微软雅黑"/>
          <w:sz w:val="20"/>
          <w:szCs w:val="20"/>
          <w:highlight w:val="none"/>
        </w:rPr>
        <w:t>DN50mm</w:t>
      </w:r>
      <w:r>
        <w:rPr>
          <w:rFonts w:hint="eastAsia" w:ascii="微软雅黑" w:hAnsi="微软雅黑" w:cs="微软雅黑"/>
          <w:sz w:val="20"/>
          <w:szCs w:val="20"/>
          <w:highlight w:val="none"/>
          <w:lang w:eastAsia="zh-CN"/>
        </w:rPr>
        <w:t>、</w:t>
      </w:r>
      <w:r>
        <w:rPr>
          <w:rFonts w:hint="eastAsia" w:ascii="微软雅黑" w:hAnsi="微软雅黑" w:cs="微软雅黑"/>
          <w:sz w:val="20"/>
          <w:szCs w:val="20"/>
          <w:highlight w:val="none"/>
        </w:rPr>
        <w:t>DN80mm</w:t>
      </w:r>
      <w:r>
        <w:rPr>
          <w:rFonts w:hint="eastAsia" w:ascii="微软雅黑" w:hAnsi="微软雅黑" w:cs="微软雅黑"/>
          <w:kern w:val="2"/>
          <w:sz w:val="20"/>
          <w:szCs w:val="20"/>
          <w:highlight w:val="none"/>
        </w:rPr>
        <w:t>、100mm、150mm、200mm</w:t>
      </w:r>
      <w:r>
        <w:rPr>
          <w:rFonts w:hint="eastAsia" w:ascii="微软雅黑" w:hAnsi="微软雅黑" w:cs="微软雅黑"/>
          <w:sz w:val="20"/>
          <w:szCs w:val="20"/>
          <w:highlight w:val="none"/>
        </w:rPr>
        <w:t>为垂直螺翼式水表；远传模块选用NB-IOT无线传输方式。</w:t>
      </w:r>
    </w:p>
    <w:p>
      <w:pPr>
        <w:tabs>
          <w:tab w:val="left" w:pos="855"/>
        </w:tabs>
        <w:spacing w:line="360" w:lineRule="auto"/>
        <w:ind w:firstLine="600"/>
        <w:rPr>
          <w:rFonts w:ascii="微软雅黑" w:hAnsi="微软雅黑" w:cs="微软雅黑"/>
          <w:sz w:val="20"/>
          <w:szCs w:val="20"/>
          <w:highlight w:val="none"/>
        </w:rPr>
      </w:pPr>
      <w:r>
        <w:rPr>
          <w:rFonts w:hint="eastAsia" w:ascii="微软雅黑" w:hAnsi="微软雅黑" w:cs="微软雅黑"/>
          <w:sz w:val="20"/>
          <w:szCs w:val="20"/>
          <w:highlight w:val="none"/>
        </w:rPr>
        <w:t>5.1.2公称直径：DN15mm、DN20mm、DN25mm、DN40mm、DN50mm、DN80mm、100mm、150mm、200mm之间</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5.1.3量程比：DN15mm、DN20mm、DN25、DN40、要求R≥100，DN50</w:t>
      </w:r>
      <w:r>
        <w:rPr>
          <w:rFonts w:hint="eastAsia" w:ascii="微软雅黑" w:hAnsi="微软雅黑" w:cs="微软雅黑"/>
          <w:sz w:val="20"/>
          <w:szCs w:val="20"/>
          <w:highlight w:val="none"/>
          <w:lang w:eastAsia="zh-CN"/>
        </w:rPr>
        <w:t>、</w:t>
      </w:r>
      <w:r>
        <w:rPr>
          <w:rFonts w:hint="eastAsia" w:ascii="微软雅黑" w:hAnsi="微软雅黑" w:cs="微软雅黑"/>
          <w:sz w:val="20"/>
          <w:szCs w:val="20"/>
          <w:highlight w:val="none"/>
        </w:rPr>
        <w:t>DN80要求R≥160，100mm、150mm、200mm求R≥2</w:t>
      </w:r>
      <w:r>
        <w:rPr>
          <w:rFonts w:ascii="微软雅黑" w:hAnsi="微软雅黑" w:cs="微软雅黑"/>
          <w:sz w:val="20"/>
          <w:szCs w:val="20"/>
          <w:highlight w:val="none"/>
        </w:rPr>
        <w:t>0</w:t>
      </w:r>
      <w:r>
        <w:rPr>
          <w:rFonts w:hint="eastAsia" w:ascii="微软雅黑" w:hAnsi="微软雅黑" w:cs="微软雅黑"/>
          <w:sz w:val="20"/>
          <w:szCs w:val="20"/>
          <w:highlight w:val="none"/>
        </w:rPr>
        <w:t>0</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5.1.4准确度等级：2级</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5.1.5基表的参数常用流量Q3、过载流量Q4及量程比R值应高于等于下表对应数值。</w:t>
      </w:r>
    </w:p>
    <w:tbl>
      <w:tblPr>
        <w:tblStyle w:val="18"/>
        <w:tblW w:w="7437" w:type="dxa"/>
        <w:tblInd w:w="0" w:type="dxa"/>
        <w:tblLayout w:type="fixed"/>
        <w:tblCellMar>
          <w:top w:w="0" w:type="dxa"/>
          <w:left w:w="108" w:type="dxa"/>
          <w:bottom w:w="0" w:type="dxa"/>
          <w:right w:w="108" w:type="dxa"/>
        </w:tblCellMar>
      </w:tblPr>
      <w:tblGrid>
        <w:gridCol w:w="1283"/>
        <w:gridCol w:w="1510"/>
        <w:gridCol w:w="1526"/>
        <w:gridCol w:w="1559"/>
        <w:gridCol w:w="1559"/>
      </w:tblGrid>
      <w:tr>
        <w:tblPrEx>
          <w:tblCellMar>
            <w:top w:w="0" w:type="dxa"/>
            <w:left w:w="108" w:type="dxa"/>
            <w:bottom w:w="0" w:type="dxa"/>
            <w:right w:w="108" w:type="dxa"/>
          </w:tblCellMar>
        </w:tblPrEx>
        <w:trPr>
          <w:trHeight w:val="1114" w:hRule="atLeast"/>
        </w:trPr>
        <w:tc>
          <w:tcPr>
            <w:tcW w:w="1283"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口径</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Q3（ m</w:t>
            </w:r>
            <w:r>
              <w:rPr>
                <w:rFonts w:hint="eastAsia" w:ascii="微软雅黑" w:hAnsi="微软雅黑" w:cs="微软雅黑"/>
                <w:color w:val="000000"/>
                <w:sz w:val="20"/>
                <w:szCs w:val="20"/>
                <w:highlight w:val="none"/>
                <w:vertAlign w:val="superscript"/>
              </w:rPr>
              <w:t>3</w:t>
            </w:r>
            <w:r>
              <w:rPr>
                <w:rFonts w:hint="eastAsia" w:ascii="微软雅黑" w:hAnsi="微软雅黑" w:cs="微软雅黑"/>
                <w:color w:val="000000"/>
                <w:sz w:val="20"/>
                <w:szCs w:val="20"/>
                <w:highlight w:val="none"/>
              </w:rPr>
              <w:t>/h）</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Q2/Q1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Q4/Q3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量程比R(Q3/Q1)</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DN15</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2.5</w:t>
            </w:r>
          </w:p>
        </w:tc>
        <w:tc>
          <w:tcPr>
            <w:tcW w:w="1526"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ascii="微软雅黑" w:hAnsi="微软雅黑" w:cs="微软雅黑"/>
                <w:sz w:val="20"/>
                <w:szCs w:val="20"/>
                <w:highlight w:val="none"/>
              </w:rPr>
            </w:pPr>
          </w:p>
          <w:p>
            <w:pPr>
              <w:ind w:firstLine="400" w:firstLineChars="200"/>
              <w:jc w:val="both"/>
              <w:rPr>
                <w:rFonts w:ascii="微软雅黑" w:hAnsi="微软雅黑" w:cs="微软雅黑"/>
                <w:sz w:val="20"/>
                <w:szCs w:val="20"/>
                <w:highlight w:val="none"/>
              </w:rPr>
            </w:pPr>
          </w:p>
          <w:p>
            <w:pPr>
              <w:ind w:firstLine="400" w:firstLineChars="200"/>
              <w:jc w:val="both"/>
              <w:rPr>
                <w:rFonts w:ascii="微软雅黑" w:hAnsi="微软雅黑" w:cs="微软雅黑"/>
                <w:sz w:val="20"/>
                <w:szCs w:val="20"/>
                <w:highlight w:val="none"/>
              </w:rPr>
            </w:pPr>
          </w:p>
          <w:p>
            <w:pPr>
              <w:ind w:firstLine="400" w:firstLineChars="200"/>
              <w:jc w:val="both"/>
              <w:rPr>
                <w:rFonts w:ascii="微软雅黑" w:hAnsi="微软雅黑" w:cs="微软雅黑"/>
                <w:sz w:val="20"/>
                <w:szCs w:val="20"/>
                <w:highlight w:val="none"/>
              </w:rPr>
            </w:pPr>
          </w:p>
          <w:p>
            <w:pPr>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1.6</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p>
            <w:pPr>
              <w:pStyle w:val="2"/>
              <w:rPr>
                <w:rFonts w:ascii="微软雅黑" w:hAnsi="微软雅黑" w:eastAsia="微软雅黑" w:cs="微软雅黑"/>
                <w:highlight w:val="none"/>
              </w:rPr>
            </w:pPr>
          </w:p>
          <w:p>
            <w:pPr>
              <w:pStyle w:val="2"/>
              <w:rPr>
                <w:rFonts w:ascii="微软雅黑" w:hAnsi="微软雅黑" w:eastAsia="微软雅黑" w:cs="微软雅黑"/>
                <w:highlight w:val="none"/>
              </w:rPr>
            </w:pPr>
          </w:p>
          <w:p>
            <w:pPr>
              <w:pStyle w:val="2"/>
              <w:rPr>
                <w:rFonts w:ascii="微软雅黑" w:hAnsi="微软雅黑" w:eastAsia="微软雅黑" w:cs="微软雅黑"/>
                <w:highlight w:val="none"/>
              </w:rPr>
            </w:pPr>
            <w:r>
              <w:rPr>
                <w:rFonts w:hint="eastAsia" w:ascii="微软雅黑" w:hAnsi="微软雅黑" w:eastAsia="微软雅黑" w:cs="微软雅黑"/>
                <w:highlight w:val="none"/>
              </w:rPr>
              <w:t>1.25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100</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DN20</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4</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100</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DN25</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6.3</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00" w:firstLineChars="200"/>
              <w:jc w:val="center"/>
              <w:rPr>
                <w:rFonts w:ascii="微软雅黑" w:hAnsi="微软雅黑" w:cs="微软雅黑"/>
                <w:sz w:val="20"/>
                <w:szCs w:val="20"/>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00" w:firstLineChars="200"/>
              <w:jc w:val="center"/>
              <w:rPr>
                <w:rFonts w:ascii="微软雅黑" w:hAnsi="微软雅黑" w:cs="微软雅黑"/>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100</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DN40</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16</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100</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DN50</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25</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1</w:t>
            </w:r>
            <w:r>
              <w:rPr>
                <w:rFonts w:hint="default" w:ascii="微软雅黑" w:hAnsi="微软雅黑" w:cs="微软雅黑"/>
                <w:sz w:val="20"/>
                <w:szCs w:val="20"/>
                <w:highlight w:val="none"/>
                <w:lang w:val="en-US"/>
              </w:rPr>
              <w:t>6</w:t>
            </w:r>
            <w:r>
              <w:rPr>
                <w:rFonts w:hint="eastAsia" w:ascii="微软雅黑" w:hAnsi="微软雅黑" w:cs="微软雅黑"/>
                <w:sz w:val="20"/>
                <w:szCs w:val="20"/>
                <w:highlight w:val="none"/>
              </w:rPr>
              <w:t>0</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DN80</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63</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160</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DN100</w:t>
            </w:r>
          </w:p>
        </w:tc>
        <w:tc>
          <w:tcPr>
            <w:tcW w:w="1510" w:type="dxa"/>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100</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微软雅黑" w:hAnsi="微软雅黑" w:cs="微软雅黑"/>
                <w:sz w:val="20"/>
                <w:szCs w:val="20"/>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微软雅黑" w:hAnsi="微软雅黑" w:cs="微软雅黑"/>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200</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DN150</w:t>
            </w:r>
          </w:p>
        </w:tc>
        <w:tc>
          <w:tcPr>
            <w:tcW w:w="1510" w:type="dxa"/>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250</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微软雅黑" w:hAnsi="微软雅黑" w:cs="微软雅黑"/>
                <w:sz w:val="20"/>
                <w:szCs w:val="20"/>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微软雅黑" w:hAnsi="微软雅黑" w:cs="微软雅黑"/>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200</w:t>
            </w:r>
          </w:p>
        </w:tc>
      </w:tr>
      <w:tr>
        <w:tblPrEx>
          <w:tblCellMar>
            <w:top w:w="0" w:type="dxa"/>
            <w:left w:w="108" w:type="dxa"/>
            <w:bottom w:w="0" w:type="dxa"/>
            <w:right w:w="108" w:type="dxa"/>
          </w:tblCellMar>
        </w:tblPrEx>
        <w:trPr>
          <w:trHeight w:val="567" w:hRule="atLeast"/>
        </w:trPr>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DN200</w:t>
            </w:r>
          </w:p>
        </w:tc>
        <w:tc>
          <w:tcPr>
            <w:tcW w:w="1510" w:type="dxa"/>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400</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微软雅黑" w:hAnsi="微软雅黑" w:cs="微软雅黑"/>
                <w:sz w:val="20"/>
                <w:szCs w:val="20"/>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微软雅黑" w:hAnsi="微软雅黑" w:cs="微软雅黑"/>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ascii="微软雅黑" w:hAnsi="微软雅黑" w:cs="微软雅黑"/>
                <w:sz w:val="20"/>
                <w:szCs w:val="20"/>
                <w:highlight w:val="none"/>
              </w:rPr>
            </w:pPr>
            <w:r>
              <w:rPr>
                <w:rFonts w:hint="eastAsia" w:ascii="微软雅黑" w:hAnsi="微软雅黑" w:cs="微软雅黑"/>
                <w:sz w:val="20"/>
                <w:szCs w:val="20"/>
                <w:highlight w:val="none"/>
              </w:rPr>
              <w:t>200</w:t>
            </w:r>
          </w:p>
        </w:tc>
      </w:tr>
    </w:tbl>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5.1.6水表和接管外观尺寸应符合规范要求。</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5.1.7计数器：数字外观高度≥4mm，宽度≥2mm，度盘长期清晰，数字示数非电子显示，精准至个位数。</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5.1.8机械字轮位数：指示到m³的位数为≥5位，即量程为0m³～＋99999 m³，DN25、DN40表盘指针示值最小一位至少为0.001 m³，DN50、DN80表盘指针示值最小一位至少为0.01m³。</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5.1.9在水表表盘上按要求印制相关字样，并标有公称口径、制造年月和编号等标志，所有水表均需根据要求加盖条形码或二维码，且满足垂直俯视时可同时目视水表读数及出厂编号的要求。水表要有防护装置，具有效的封印和防拆，封印标志不易被破坏，能够有效防止未经许可的改变读数显示行为。</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5.1.10最大允许工作压力1.0MPa。</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5.1.11压力损失等级≦Δp63。</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5.1.12</w:t>
      </w:r>
      <w:r>
        <w:rPr>
          <w:rFonts w:hint="eastAsia" w:ascii="微软雅黑" w:hAnsi="微软雅黑" w:cs="微软雅黑"/>
          <w:color w:val="000000"/>
          <w:sz w:val="20"/>
          <w:szCs w:val="20"/>
          <w:highlight w:val="none"/>
        </w:rPr>
        <w:t>供应商</w:t>
      </w:r>
      <w:r>
        <w:rPr>
          <w:rFonts w:hint="eastAsia" w:ascii="微软雅黑" w:hAnsi="微软雅黑" w:cs="微软雅黑"/>
          <w:sz w:val="20"/>
          <w:szCs w:val="20"/>
          <w:highlight w:val="none"/>
        </w:rPr>
        <w:t>提供的智能水表防水等级：P68，不进灰尘，满足长期浸水的要求。</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5.1.13运行工作环境要求：</w:t>
      </w:r>
    </w:p>
    <w:p>
      <w:pPr>
        <w:tabs>
          <w:tab w:val="left" w:pos="855"/>
        </w:tabs>
        <w:spacing w:line="360" w:lineRule="auto"/>
        <w:ind w:firstLine="56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工作温度</w:t>
      </w:r>
      <w:r>
        <w:rPr>
          <w:rFonts w:hint="eastAsia" w:ascii="微软雅黑" w:hAnsi="微软雅黑" w:cs="微软雅黑"/>
          <w:sz w:val="20"/>
          <w:szCs w:val="20"/>
          <w:highlight w:val="none"/>
        </w:rPr>
        <w:t>：0℃～55℃；</w:t>
      </w:r>
    </w:p>
    <w:p>
      <w:pPr>
        <w:tabs>
          <w:tab w:val="left" w:pos="855"/>
        </w:tabs>
        <w:spacing w:line="360" w:lineRule="auto"/>
        <w:ind w:firstLine="56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工作湿度≤100%；</w:t>
      </w:r>
    </w:p>
    <w:p>
      <w:pPr>
        <w:tabs>
          <w:tab w:val="left" w:pos="855"/>
        </w:tabs>
        <w:spacing w:line="360" w:lineRule="auto"/>
        <w:ind w:firstLine="56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智能水表要考虑能在特殊工作条件（如：水、电源、磁场强度、特殊温度、湿度、振动强度等）环境下使用运行</w:t>
      </w:r>
      <w:r>
        <w:rPr>
          <w:rFonts w:hint="eastAsia" w:ascii="微软雅黑" w:hAnsi="微软雅黑" w:cs="微软雅黑"/>
          <w:sz w:val="20"/>
          <w:szCs w:val="20"/>
          <w:highlight w:val="none"/>
        </w:rPr>
        <w:t>，抗磁场干扰测试符合国家标准。</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5.1.14使用寿命：至少满足国家冷水水表检定规程要求的使用年限且不得少于质保期。</w:t>
      </w:r>
    </w:p>
    <w:p>
      <w:pPr>
        <w:tabs>
          <w:tab w:val="left" w:pos="855"/>
        </w:tabs>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5.1.15甲方有权根据实际情况对智能水表参数及要求进行合理调整。</w:t>
      </w:r>
    </w:p>
    <w:p>
      <w:pPr>
        <w:tabs>
          <w:tab w:val="left" w:pos="855"/>
        </w:tabs>
        <w:spacing w:line="360" w:lineRule="auto"/>
        <w:rPr>
          <w:rFonts w:ascii="微软雅黑" w:hAnsi="微软雅黑" w:cs="微软雅黑"/>
          <w:b/>
          <w:bCs/>
          <w:sz w:val="20"/>
          <w:szCs w:val="20"/>
          <w:highlight w:val="none"/>
        </w:rPr>
      </w:pPr>
      <w:r>
        <w:rPr>
          <w:rFonts w:hint="eastAsia" w:ascii="微软雅黑" w:hAnsi="微软雅黑" w:cs="微软雅黑"/>
          <w:b/>
          <w:bCs/>
          <w:sz w:val="20"/>
          <w:szCs w:val="20"/>
          <w:highlight w:val="none"/>
        </w:rPr>
        <w:t>5.2基表表壳技术要求</w:t>
      </w:r>
    </w:p>
    <w:p>
      <w:pPr>
        <w:tabs>
          <w:tab w:val="left" w:pos="855"/>
        </w:tabs>
        <w:spacing w:line="360" w:lineRule="auto"/>
        <w:ind w:firstLine="567"/>
        <w:rPr>
          <w:rFonts w:ascii="微软雅黑" w:hAnsi="微软雅黑" w:cs="微软雅黑"/>
          <w:color w:val="000000"/>
          <w:sz w:val="20"/>
          <w:szCs w:val="20"/>
          <w:highlight w:val="none"/>
        </w:rPr>
      </w:pPr>
      <w:r>
        <w:rPr>
          <w:rFonts w:hint="eastAsia" w:ascii="微软雅黑" w:hAnsi="微软雅黑" w:cs="微软雅黑"/>
          <w:sz w:val="20"/>
          <w:szCs w:val="20"/>
          <w:highlight w:val="none"/>
        </w:rPr>
        <w:t>5.2</w:t>
      </w:r>
      <w:r>
        <w:rPr>
          <w:rFonts w:hint="eastAsia" w:ascii="微软雅黑" w:hAnsi="微软雅黑" w:cs="微软雅黑"/>
          <w:color w:val="000000"/>
          <w:sz w:val="20"/>
          <w:szCs w:val="20"/>
          <w:highlight w:val="none"/>
        </w:rPr>
        <w:t>.1基表外壳及相关连接件采用的材质应采用符合饮用水卫生标准的球黑铸铁、黄铜或不锈钢。表面经静电喷塑处理，不允许有气泡或漆块堆积。水表内所有接触水的零部件应采用通常认为是无毒、无污染、无生物活性的材料制造，符合建设行业标准《饮用水冷水水表安全规则（CJ266-2008）》。整体水表的制造材料应抗内、外部腐蚀。</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sz w:val="20"/>
          <w:szCs w:val="20"/>
          <w:highlight w:val="none"/>
        </w:rPr>
        <w:t>5.2</w:t>
      </w:r>
      <w:r>
        <w:rPr>
          <w:rFonts w:hint="eastAsia" w:ascii="微软雅黑" w:hAnsi="微软雅黑" w:cs="微软雅黑"/>
          <w:color w:val="000000"/>
          <w:sz w:val="20"/>
          <w:szCs w:val="20"/>
          <w:highlight w:val="none"/>
        </w:rPr>
        <w:t>.2壳体左右两侧有明显的口径、水流方向，满足垂直俯视时可同时目视水表读数及出厂编号的要求，整体构造不影响质监局在线检测要求。</w:t>
      </w:r>
    </w:p>
    <w:p>
      <w:pPr>
        <w:tabs>
          <w:tab w:val="left" w:pos="855"/>
        </w:tabs>
        <w:spacing w:line="360" w:lineRule="auto"/>
        <w:ind w:firstLine="400" w:firstLineChars="200"/>
        <w:rPr>
          <w:rFonts w:ascii="微软雅黑" w:hAnsi="微软雅黑" w:cs="微软雅黑"/>
          <w:color w:val="000000"/>
          <w:sz w:val="20"/>
          <w:szCs w:val="20"/>
          <w:highlight w:val="none"/>
        </w:rPr>
      </w:pPr>
      <w:r>
        <w:rPr>
          <w:rFonts w:hint="eastAsia" w:ascii="微软雅黑" w:hAnsi="微软雅黑" w:cs="微软雅黑"/>
          <w:sz w:val="20"/>
          <w:szCs w:val="20"/>
          <w:highlight w:val="none"/>
        </w:rPr>
        <w:t>5.2</w:t>
      </w:r>
      <w:r>
        <w:rPr>
          <w:rFonts w:hint="eastAsia" w:ascii="微软雅黑" w:hAnsi="微软雅黑" w:cs="微软雅黑"/>
          <w:color w:val="000000"/>
          <w:sz w:val="20"/>
          <w:szCs w:val="20"/>
          <w:highlight w:val="none"/>
        </w:rPr>
        <w:t>.3为了提高水表计量性能，甲方有权随时要求供应商按甲方设计更改表壳结构，供应商应无条件配合。</w:t>
      </w:r>
    </w:p>
    <w:p>
      <w:pPr>
        <w:pStyle w:val="11"/>
        <w:tabs>
          <w:tab w:val="left" w:pos="540"/>
          <w:tab w:val="left" w:pos="1134"/>
        </w:tabs>
        <w:adjustRightInd w:val="0"/>
        <w:snapToGrid w:val="0"/>
        <w:spacing w:line="360" w:lineRule="auto"/>
        <w:rPr>
          <w:rFonts w:ascii="微软雅黑" w:hAnsi="微软雅黑" w:eastAsia="微软雅黑" w:cs="微软雅黑"/>
          <w:bCs/>
          <w:color w:val="000000"/>
          <w:sz w:val="20"/>
          <w:szCs w:val="20"/>
          <w:highlight w:val="none"/>
        </w:rPr>
      </w:pPr>
      <w:r>
        <w:rPr>
          <w:rFonts w:hint="eastAsia" w:ascii="微软雅黑" w:hAnsi="微软雅黑" w:eastAsia="微软雅黑" w:cs="微软雅黑"/>
          <w:sz w:val="20"/>
          <w:szCs w:val="20"/>
          <w:highlight w:val="none"/>
        </w:rPr>
        <w:t>5.3水表配件技术要求</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sz w:val="20"/>
          <w:szCs w:val="20"/>
          <w:highlight w:val="none"/>
        </w:rPr>
        <w:t>5.3</w:t>
      </w:r>
      <w:r>
        <w:rPr>
          <w:rFonts w:hint="eastAsia" w:ascii="微软雅黑" w:hAnsi="微软雅黑" w:cs="微软雅黑"/>
          <w:color w:val="000000"/>
          <w:sz w:val="20"/>
          <w:szCs w:val="20"/>
          <w:highlight w:val="none"/>
        </w:rPr>
        <w:t>.1供应商提供的智能表必须配套接管、螺母、橡胶垫圈等水表配件。</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sz w:val="20"/>
          <w:szCs w:val="20"/>
          <w:highlight w:val="none"/>
        </w:rPr>
        <w:t>5.3</w:t>
      </w:r>
      <w:r>
        <w:rPr>
          <w:rFonts w:hint="eastAsia" w:ascii="微软雅黑" w:hAnsi="微软雅黑" w:cs="微软雅黑"/>
          <w:color w:val="000000"/>
          <w:sz w:val="20"/>
          <w:szCs w:val="20"/>
          <w:highlight w:val="none"/>
        </w:rPr>
        <w:t>.2水表接管、螺母必须使用HPb59-1标准铜材红冲锻造材料使用40-2铅黄铜（ZCuZn40Pb2），铜含量不低于58%，铅含量不高于2.5%。</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sz w:val="20"/>
          <w:szCs w:val="20"/>
          <w:highlight w:val="none"/>
        </w:rPr>
        <w:t>5.3</w:t>
      </w:r>
      <w:r>
        <w:rPr>
          <w:rFonts w:hint="eastAsia" w:ascii="微软雅黑" w:hAnsi="微软雅黑" w:cs="微软雅黑"/>
          <w:color w:val="000000"/>
          <w:sz w:val="20"/>
          <w:szCs w:val="20"/>
          <w:highlight w:val="none"/>
        </w:rPr>
        <w:t>.3水表接管内表面均应喷涂蓝色的防护材料，喷涂后表面均匀光滑，不应有凹痕、划伤、裂纹、气孔、漆块堆积、螺纹损伤等缺陷。接管承压等级MPA10，以1.6倍最大允许压力进行压力试验，历时1分钟无渗漏。</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sz w:val="20"/>
          <w:szCs w:val="20"/>
          <w:highlight w:val="none"/>
        </w:rPr>
        <w:t>5.3</w:t>
      </w:r>
      <w:r>
        <w:rPr>
          <w:rFonts w:hint="eastAsia" w:ascii="微软雅黑" w:hAnsi="微软雅黑" w:cs="微软雅黑"/>
          <w:color w:val="000000"/>
          <w:sz w:val="20"/>
          <w:szCs w:val="20"/>
          <w:highlight w:val="none"/>
        </w:rPr>
        <w:t>.4接管的涉水部位和涉水防护材料应无毒、无污染、无生物活性、不得污染水质，并符合GB/T 17219生活饮用水输配水设备及防护材料的安全性能评价标准的浸泡试验要求。</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sz w:val="20"/>
          <w:szCs w:val="20"/>
          <w:highlight w:val="none"/>
        </w:rPr>
        <w:t>5.3</w:t>
      </w:r>
      <w:r>
        <w:rPr>
          <w:rFonts w:hint="eastAsia" w:ascii="微软雅黑" w:hAnsi="微软雅黑" w:cs="微软雅黑"/>
          <w:color w:val="000000"/>
          <w:sz w:val="20"/>
          <w:szCs w:val="20"/>
          <w:highlight w:val="none"/>
        </w:rPr>
        <w:t>.5涂层厚度：应大于250μm；涂层硬度：压痕硬度应大于80；涂层附着力：涂层与基体的附着力经划格试验应达到0级。</w:t>
      </w:r>
    </w:p>
    <w:p>
      <w:pPr>
        <w:spacing w:line="360" w:lineRule="auto"/>
        <w:ind w:left="567"/>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6、★NB-IOT远传模块技术要求</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6.1 NB-IOT远传模块机电转换采用无磁传感方式，须能识别正向和反向流，分别独立计数，水表电子设</w:t>
      </w:r>
      <w:r>
        <w:rPr>
          <w:rFonts w:hint="eastAsia" w:ascii="微软雅黑" w:hAnsi="微软雅黑" w:cs="微软雅黑"/>
          <w:sz w:val="20"/>
          <w:szCs w:val="20"/>
          <w:highlight w:val="none"/>
        </w:rPr>
        <w:t>备不得破坏基表结构，不得影响人工抄读</w:t>
      </w:r>
      <w:r>
        <w:rPr>
          <w:rFonts w:ascii="微软雅黑" w:hAnsi="微软雅黑" w:cs="微软雅黑"/>
          <w:sz w:val="20"/>
          <w:szCs w:val="20"/>
          <w:highlight w:val="none"/>
        </w:rPr>
        <w:t>,</w:t>
      </w:r>
      <w:r>
        <w:rPr>
          <w:rFonts w:hint="eastAsia" w:ascii="微软雅黑" w:hAnsi="微软雅黑" w:cs="微软雅黑"/>
          <w:sz w:val="20"/>
          <w:szCs w:val="20"/>
          <w:highlight w:val="none"/>
        </w:rPr>
        <w:t>不得影响质检部门在线检测。</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 xml:space="preserve">6.2 </w:t>
      </w:r>
      <w:r>
        <w:rPr>
          <w:rFonts w:hint="eastAsia"/>
          <w:highlight w:val="none"/>
        </w:rPr>
        <w:t>DN15~DN20</w:t>
      </w:r>
      <w:r>
        <w:rPr>
          <w:rFonts w:hint="eastAsia" w:ascii="微软雅黑" w:hAnsi="微软雅黑" w:cs="微软雅黑"/>
          <w:color w:val="000000"/>
          <w:sz w:val="20"/>
          <w:szCs w:val="20"/>
          <w:highlight w:val="none"/>
        </w:rPr>
        <w:t>无磁发讯位至少为升（L）位</w:t>
      </w:r>
      <w:r>
        <w:rPr>
          <w:rFonts w:ascii="微软雅黑" w:hAnsi="微软雅黑" w:cs="微软雅黑"/>
          <w:color w:val="000000"/>
          <w:sz w:val="20"/>
          <w:szCs w:val="20"/>
          <w:highlight w:val="none"/>
        </w:rPr>
        <w:t>,</w:t>
      </w:r>
      <w:r>
        <w:rPr>
          <w:rFonts w:hint="eastAsia" w:ascii="微软雅黑" w:hAnsi="微软雅黑" w:cs="微软雅黑"/>
          <w:color w:val="000000"/>
          <w:sz w:val="20"/>
          <w:szCs w:val="20"/>
          <w:highlight w:val="none"/>
        </w:rPr>
        <w:t>DN25-DN50无磁发讯位至少为10升（L）位，DN80无磁发讯位至少为100升（L）位须保证机电转换的准确率，六年内机电转换误差≦1m3，智能水表上传行度整数位与现场行度读数整数位要100%一致。（供应商提供证明材料或承诺函）</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6.3工作电源：NB-IOT模块必须使用内置通用锂电池且可独立更换，在上报频次为1次/日时，保证可连续使用≥6年。</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6.4工作温度：0℃～55℃。</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6.5工作湿度：0%～100%，在40℃至少为93%。</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6.6安装环境等级：C类</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6.7电磁兼容等级：E1</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6.8数据采集精度：精确到0.001m³位</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6.9使用寿命：可连续工作10年以上</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6.10支持红外调试通信端口，可通过手持式近端红外设备调试NB-IOT模块。</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6.11使用的NB-IOT芯片应达到华为认证或同等技术标准。</w:t>
      </w:r>
    </w:p>
    <w:p>
      <w:pPr>
        <w:tabs>
          <w:tab w:val="left" w:pos="855"/>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6.12水表投入使用后日上报成功率要≥99%，月上报成功率要≥99.9%（含补录），抄读准确率≥99.9%，水表年故障率≦0.5%。（供应商提供证明材料或承诺函）</w:t>
      </w:r>
    </w:p>
    <w:p>
      <w:pPr>
        <w:spacing w:line="360" w:lineRule="auto"/>
        <w:ind w:left="567"/>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7、★NB-IOT模块功能要求</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7.1　NB-IOT模块上行通讯需采用本地通信运营商的NB-IoT网络实现数据传输，并提供属地化日</w:t>
      </w:r>
      <w:r>
        <w:rPr>
          <w:rFonts w:hint="eastAsia" w:ascii="微软雅黑" w:hAnsi="微软雅黑" w:cs="微软雅黑"/>
          <w:sz w:val="20"/>
          <w:szCs w:val="20"/>
          <w:highlight w:val="none"/>
        </w:rPr>
        <w:t>常稳定、顺畅的通信</w:t>
      </w:r>
      <w:r>
        <w:rPr>
          <w:rFonts w:hint="eastAsia" w:ascii="微软雅黑" w:hAnsi="微软雅黑" w:cs="微软雅黑"/>
          <w:color w:val="000000"/>
          <w:sz w:val="20"/>
          <w:szCs w:val="20"/>
          <w:highlight w:val="none"/>
        </w:rPr>
        <w:t>运维服务。（供应商需提供承诺函作备案确认）</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7.2NB-IOT模块每30分钟进行一次水量行度采集自动记录历史数据，每日0时打包上传前一日所有的行度数据；数据包含每30分钟记录一次的数据，共48个数据记录；如果通信中断无法上传成功，当与上位机的联系恢复时，自动上发未成功传送的历史数据，下个上报周期数据自动打包补发，在数据有效保存期内的数据都可以打包补发。</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 xml:space="preserve">    数据上报消息要在一个完整的消息报文中上送，周期上报通过随机离散，把上报的时间点离散，最小估长10秒，默认0点到8点内离散。上报重发机制设置为上报不成功时，水表数据进行重发，重发次数可设，默认2次，最大可设置为4次。如需对上报机制进行调整，征得甲方同意后，方可调整。</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7.3NB-IOT模块至少可存储30天的行度数据，当存储介质满载时，新采集的数据自动覆盖最早数据；遇到NB-IOT模块断电的情况，必须保证存储数据的完整性和正确性，避免数据丢失，以备查校验和补抄。</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FF0000"/>
          <w:sz w:val="20"/>
          <w:szCs w:val="20"/>
          <w:highlight w:val="none"/>
        </w:rPr>
        <w:t>7.4NB-IOT模块支持CoAP协议，上下行数据传输规约中流量数据转换系数统一为1，数据传输的单位统一为</w:t>
      </w:r>
      <w:r>
        <w:rPr>
          <w:rFonts w:hint="eastAsia" w:ascii="微软雅黑" w:hAnsi="微软雅黑" w:cs="微软雅黑"/>
          <w:color w:val="FF0000"/>
          <w:sz w:val="20"/>
          <w:szCs w:val="20"/>
          <w:highlight w:val="none"/>
        </w:rPr>
        <w:drawing>
          <wp:inline distT="0" distB="0" distL="114300" distR="114300">
            <wp:extent cx="209550" cy="180975"/>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09550" cy="180975"/>
                    </a:xfrm>
                    <a:prstGeom prst="rect">
                      <a:avLst/>
                    </a:prstGeom>
                    <a:noFill/>
                    <a:ln>
                      <a:noFill/>
                    </a:ln>
                  </pic:spPr>
                </pic:pic>
              </a:graphicData>
            </a:graphic>
          </wp:inline>
        </w:drawing>
      </w:r>
      <w:r>
        <w:rPr>
          <w:rFonts w:hint="eastAsia" w:ascii="微软雅黑" w:hAnsi="微软雅黑" w:cs="微软雅黑"/>
          <w:color w:val="FF0000"/>
          <w:sz w:val="20"/>
          <w:szCs w:val="20"/>
          <w:highlight w:val="none"/>
        </w:rPr>
        <w:t>，不再设置其他转换系数。按照招标人提供统一的Web Service数据上传服务接口，上传的数据必须按招标人要求直接上传至广州市增城自来水有限公司营抄系统。上传数据应至少具备但不限于具备记载与广州市增城自来水有限公司营抄系统一致的永久编码、水表编码，以及水表行度、用户名称和地址、用水量、抄表日期、抄表状态等信息。</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7.5在设备使用过程中，能够按照甲方的要求，能对NB-IOT模块的程序增加必要的功能以满足甲方的实际需要，要求提供NB-IOT模块的配置和升级软件，可通过网络进行免费升级。</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7.6NB-IOT模块可通过网络或手持式红外设备对水表表码、底数以及传输端口等参数进行设置。</w:t>
      </w:r>
    </w:p>
    <w:p>
      <w:pPr>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7.6.1支持红外通讯，非调制型接口，非调制式缺省值为1200 bps。</w:t>
      </w:r>
    </w:p>
    <w:p>
      <w:pPr>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7.6.2具备红外扫条形码功能（可外配设备），可进行抄读、数据存储、编程且能与平台通讯。</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7.7无线智能水表具有以下的故障报警功能，相关的故障必须按甲方要求的代码形式上报：</w:t>
      </w:r>
    </w:p>
    <w:p>
      <w:pPr>
        <w:spacing w:line="360" w:lineRule="auto"/>
        <w:rPr>
          <w:rFonts w:ascii="微软雅黑" w:hAnsi="微软雅黑" w:cs="微软雅黑"/>
          <w:sz w:val="20"/>
          <w:szCs w:val="20"/>
          <w:highlight w:val="none"/>
        </w:rPr>
      </w:pPr>
      <w:r>
        <w:rPr>
          <w:rFonts w:hint="eastAsia" w:ascii="微软雅黑" w:hAnsi="微软雅黑" w:cs="微软雅黑"/>
          <w:sz w:val="20"/>
          <w:szCs w:val="20"/>
          <w:highlight w:val="none"/>
        </w:rPr>
        <w:t>7.7.1磁干扰报警：检测到电磁或磁铁干扰是进行自行报警当发生立即告警时，每日仅在首次发生时立即唤醒水表一天上报一次时将报警信息跟水表数据一起上报。</w:t>
      </w:r>
    </w:p>
    <w:p>
      <w:pPr>
        <w:spacing w:line="360" w:lineRule="auto"/>
        <w:ind w:firstLine="480"/>
        <w:rPr>
          <w:rFonts w:ascii="微软雅黑" w:hAnsi="微软雅黑" w:cs="微软雅黑"/>
          <w:sz w:val="20"/>
          <w:szCs w:val="20"/>
          <w:highlight w:val="none"/>
        </w:rPr>
      </w:pPr>
      <w:r>
        <w:rPr>
          <w:rFonts w:hint="eastAsia" w:ascii="微软雅黑" w:hAnsi="微软雅黑" w:cs="微软雅黑"/>
          <w:sz w:val="20"/>
          <w:szCs w:val="20"/>
          <w:highlight w:val="none"/>
        </w:rPr>
        <w:t>7.7.2电子模块分离报警：水表电子模块与基表分离时，默认随周期上报数据进行报警。当发生立即报警时，每日仅在首次发生时立即唤醒水表一天上报一次时将报警信息跟水表数据一起上报。</w:t>
      </w:r>
    </w:p>
    <w:p>
      <w:pPr>
        <w:spacing w:line="360" w:lineRule="auto"/>
        <w:ind w:firstLine="480"/>
        <w:rPr>
          <w:rFonts w:ascii="微软雅黑" w:hAnsi="微软雅黑" w:cs="微软雅黑"/>
          <w:sz w:val="20"/>
          <w:szCs w:val="20"/>
          <w:highlight w:val="none"/>
        </w:rPr>
      </w:pPr>
      <w:r>
        <w:rPr>
          <w:rFonts w:hint="eastAsia" w:ascii="微软雅黑" w:hAnsi="微软雅黑" w:cs="微软雅黑"/>
          <w:sz w:val="20"/>
          <w:szCs w:val="20"/>
          <w:highlight w:val="none"/>
        </w:rPr>
        <w:t>7.7.3过流流量报警：水表（默认30分钟）持续流量＞过流报警阀值（默认Q4），默认随周期上报数据进行报警。当发生立即报警时，每日仅在首次发生时立即唤醒水表主动上报一次，并且随周期上报数据一起上报。</w:t>
      </w:r>
    </w:p>
    <w:p>
      <w:pPr>
        <w:spacing w:line="360" w:lineRule="auto"/>
        <w:ind w:firstLine="480"/>
        <w:rPr>
          <w:rFonts w:ascii="微软雅黑" w:hAnsi="微软雅黑" w:cs="微软雅黑"/>
          <w:sz w:val="20"/>
          <w:szCs w:val="20"/>
          <w:highlight w:val="none"/>
        </w:rPr>
      </w:pPr>
      <w:r>
        <w:rPr>
          <w:rFonts w:hint="eastAsia" w:ascii="微软雅黑" w:hAnsi="微软雅黑" w:cs="微软雅黑"/>
          <w:sz w:val="20"/>
          <w:szCs w:val="20"/>
          <w:highlight w:val="none"/>
        </w:rPr>
        <w:t>7.7.4反流流量报警：水表（默认30分钟）持续反流流量＞反流报警阀值（默认Q2），默认随周期上报数据进行报警。当发生立即报警时，每日仅在首次发生时立即唤醒水表一天上报一次时将报警信息跟水表数据一起上报。</w:t>
      </w:r>
    </w:p>
    <w:p>
      <w:pPr>
        <w:spacing w:line="360" w:lineRule="auto"/>
        <w:ind w:firstLine="480"/>
        <w:rPr>
          <w:rFonts w:ascii="微软雅黑" w:hAnsi="微软雅黑" w:cs="微软雅黑"/>
          <w:sz w:val="20"/>
          <w:szCs w:val="20"/>
          <w:highlight w:val="none"/>
        </w:rPr>
      </w:pPr>
      <w:r>
        <w:rPr>
          <w:rFonts w:hint="eastAsia" w:ascii="微软雅黑" w:hAnsi="微软雅黑" w:cs="微软雅黑"/>
          <w:sz w:val="20"/>
          <w:szCs w:val="20"/>
          <w:highlight w:val="none"/>
        </w:rPr>
        <w:t>7.7.5低电压报警：NB-IOT模块电池欠压时，默认随周期上报数据进行报警，支持上报当前电池电压。当发生立即报警时，每日仅在首次发生时立即唤醒水表一天上报一次时将报警信息跟水表数据一起上报。</w:t>
      </w:r>
    </w:p>
    <w:p>
      <w:pPr>
        <w:tabs>
          <w:tab w:val="left" w:pos="1134"/>
        </w:tabs>
        <w:spacing w:line="360" w:lineRule="auto"/>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7.7.6数据周期上报时，通过NB-IoT芯片进行时间校对。</w:t>
      </w:r>
    </w:p>
    <w:p>
      <w:pPr>
        <w:pStyle w:val="2"/>
        <w:ind w:firstLine="400" w:firstLineChars="200"/>
        <w:rPr>
          <w:rFonts w:ascii="微软雅黑" w:hAnsi="微软雅黑" w:eastAsia="微软雅黑" w:cs="微软雅黑"/>
          <w:highlight w:val="none"/>
        </w:rPr>
      </w:pPr>
      <w:r>
        <w:rPr>
          <w:rFonts w:hint="eastAsia" w:ascii="微软雅黑" w:hAnsi="微软雅黑" w:eastAsia="微软雅黑" w:cs="微软雅黑"/>
          <w:color w:val="000000"/>
          <w:highlight w:val="none"/>
        </w:rPr>
        <w:t>7.8 需切换调整监测频率，满足我司夜间监测的要求。</w:t>
      </w:r>
    </w:p>
    <w:p>
      <w:pPr>
        <w:spacing w:line="360" w:lineRule="auto"/>
        <w:ind w:left="63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8、防盗、防破解功能</w:t>
      </w:r>
    </w:p>
    <w:p>
      <w:pPr>
        <w:tabs>
          <w:tab w:val="left" w:pos="993"/>
        </w:tabs>
        <w:spacing w:line="360" w:lineRule="auto"/>
        <w:ind w:firstLine="400" w:firstLineChars="2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8.1供应商提供的智能水表必须具有严密的外观设计，保证智能水表不能轻易拆解并装有铅封等显示被拆解破坏的标识。</w:t>
      </w:r>
    </w:p>
    <w:p>
      <w:pPr>
        <w:tabs>
          <w:tab w:val="left" w:pos="993"/>
        </w:tabs>
        <w:spacing w:line="360" w:lineRule="auto"/>
        <w:ind w:firstLine="400" w:firstLineChars="2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8.2数据加密采用128位高级加密标准，AES-128加密、解密算法，供应商应保证设备所测量和存储的数据不能被破解修改，远传模块配套的手持式调试设备不得提供予甲方以外的人员。</w:t>
      </w:r>
    </w:p>
    <w:p>
      <w:pPr>
        <w:tabs>
          <w:tab w:val="left" w:pos="993"/>
        </w:tabs>
        <w:spacing w:line="360" w:lineRule="auto"/>
        <w:ind w:firstLine="400" w:firstLineChars="200"/>
        <w:rPr>
          <w:rFonts w:ascii="微软雅黑" w:hAnsi="微软雅黑" w:cs="微软雅黑"/>
          <w:color w:val="000000"/>
          <w:sz w:val="20"/>
          <w:szCs w:val="20"/>
          <w:highlight w:val="none"/>
        </w:rPr>
      </w:pPr>
      <w:r>
        <w:rPr>
          <w:rFonts w:hint="eastAsia" w:ascii="微软雅黑" w:hAnsi="微软雅黑" w:cs="微软雅黑"/>
          <w:color w:val="000000"/>
          <w:sz w:val="20"/>
          <w:szCs w:val="20"/>
          <w:highlight w:val="none"/>
        </w:rPr>
        <w:t>8.3水表铭牌上的表码和远传模块中存储、上传的识别码必须一致，并作为系统中识别智能水表的标志，水表表码要按照甲方所定规范编制。</w:t>
      </w:r>
    </w:p>
    <w:p>
      <w:pPr>
        <w:tabs>
          <w:tab w:val="left" w:pos="993"/>
        </w:tabs>
        <w:spacing w:line="360" w:lineRule="auto"/>
        <w:ind w:firstLine="400" w:firstLineChars="200"/>
        <w:rPr>
          <w:rFonts w:ascii="微软雅黑" w:hAnsi="微软雅黑" w:cs="微软雅黑"/>
          <w:sz w:val="20"/>
          <w:szCs w:val="20"/>
          <w:highlight w:val="none"/>
        </w:rPr>
      </w:pPr>
      <w:r>
        <w:rPr>
          <w:rFonts w:hint="eastAsia" w:ascii="微软雅黑" w:hAnsi="微软雅黑" w:cs="微软雅黑"/>
          <w:color w:val="000000"/>
          <w:sz w:val="20"/>
          <w:szCs w:val="20"/>
          <w:highlight w:val="none"/>
        </w:rPr>
        <w:t>8.4 水表基表的表盘以及远传模块外壳要有甲方专有的标识，按要求甲方要求印制保存有定制信息的二维码。</w:t>
      </w:r>
    </w:p>
    <w:p>
      <w:pPr>
        <w:tabs>
          <w:tab w:val="left" w:pos="993"/>
        </w:tabs>
        <w:spacing w:line="360" w:lineRule="auto"/>
        <w:ind w:firstLine="200" w:firstLineChars="1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★9、首次检定</w:t>
      </w:r>
    </w:p>
    <w:p>
      <w:pPr>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 xml:space="preserve">  9.1 供方所提供的作为智能水表基表，供方需送往甲方所在地（广州市）法定强制检定计量机构进行强检，检定合格后，再由供方送至</w:t>
      </w:r>
      <w:r>
        <w:rPr>
          <w:rFonts w:hint="eastAsia" w:ascii="微软雅黑" w:hAnsi="微软雅黑" w:cs="微软雅黑"/>
          <w:sz w:val="20"/>
          <w:szCs w:val="20"/>
          <w:highlight w:val="none"/>
        </w:rPr>
        <w:t>广州市增城自来水安装工程有限公司指定地点</w:t>
      </w:r>
      <w:r>
        <w:rPr>
          <w:rFonts w:hint="eastAsia" w:ascii="微软雅黑" w:hAnsi="微软雅黑" w:cs="微软雅黑"/>
          <w:bCs/>
          <w:color w:val="000000"/>
          <w:sz w:val="20"/>
          <w:szCs w:val="20"/>
          <w:highlight w:val="none"/>
        </w:rPr>
        <w:t>入仓，送检的运输、装卸、包装以及入仓等工作及费用由供方负责。</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9.2 智能水表在送往计量机构检定时，供方负责拆除智能水表的外包装，确保强检机构的检定流程不受干扰和阻碍。</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9.3智能水表的检定证书由保存留底。</w:t>
      </w:r>
    </w:p>
    <w:p>
      <w:pPr>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★10、水表验收</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供方签署合同后正式供表前，要将符合上述招标技术要求的水表样品提供到甲方进行首次验收，由甲方确认供方提交过来的水表样品符合上述技术要求后再正式批量提供水表。</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 xml:space="preserve">正式供表后供方将检定合格后的水表送至甲方后，由甲方按照本技术要求对水表进行技术验收。若没达到本技术要求，则视为不合格产品处理，由供方重新供应符合技术要求和强检合格的产品，期间所产生所有的费用由供方负责。   </w:t>
      </w:r>
    </w:p>
    <w:p>
      <w:pPr>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11技术支持及售后服务</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11.1提供技术文件和其他图纸资料，提供招标文件中未提及但在安装、调试、移交过程中需要的技术资料、图纸、文件、材料及服务。</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★11.2负责向甲方有关人员提供技术培训。使其能对设备进行日常的维护保养及能对一般故障进行维修，并向培训人员提供详细的操作手册、技术维修及调试参数资料。</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★11.3满足上述要求后，对设备及系统进行验收。设备及系统验收合格后，供方实行</w:t>
      </w:r>
      <w:r>
        <w:rPr>
          <w:rFonts w:hint="eastAsia" w:ascii="微软雅黑" w:hAnsi="微软雅黑" w:cs="微软雅黑"/>
          <w:bCs/>
          <w:color w:val="000000"/>
          <w:sz w:val="20"/>
          <w:szCs w:val="20"/>
          <w:highlight w:val="none"/>
          <w:lang w:val="en-US" w:eastAsia="zh-CN"/>
        </w:rPr>
        <w:t>6</w:t>
      </w:r>
      <w:r>
        <w:rPr>
          <w:rFonts w:hint="eastAsia" w:ascii="微软雅黑" w:hAnsi="微软雅黑" w:cs="微软雅黑"/>
          <w:bCs/>
          <w:color w:val="000000"/>
          <w:sz w:val="20"/>
          <w:szCs w:val="20"/>
          <w:highlight w:val="none"/>
        </w:rPr>
        <w:t>年的智能水表质量“三包”和免费服务维护。质保期内由供方负责NB-IOT模块的电池以及其他备件的更换。供方提供的无线远传装置应使用本地通信运营商的网络服务，并包含</w:t>
      </w:r>
      <w:r>
        <w:rPr>
          <w:rFonts w:hint="eastAsia" w:ascii="微软雅黑" w:hAnsi="微软雅黑" w:cs="微软雅黑"/>
          <w:bCs/>
          <w:color w:val="000000"/>
          <w:sz w:val="20"/>
          <w:szCs w:val="20"/>
          <w:highlight w:val="none"/>
          <w:lang w:val="en-US" w:eastAsia="zh-CN"/>
        </w:rPr>
        <w:t>6</w:t>
      </w:r>
      <w:r>
        <w:rPr>
          <w:rFonts w:hint="eastAsia" w:ascii="微软雅黑" w:hAnsi="微软雅黑" w:cs="微软雅黑"/>
          <w:bCs/>
          <w:color w:val="000000"/>
          <w:sz w:val="20"/>
          <w:szCs w:val="20"/>
          <w:highlight w:val="none"/>
        </w:rPr>
        <w:t>年质保期间的通信资费。用于质保更换的备件费用以及通讯资费包含在合同价内，不作另外计算。</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★11.4质保期内因设备本身缺陷造成各种故障应由供方免费技术服务和更换，发生故障后供方应在1</w:t>
      </w:r>
      <w:r>
        <w:rPr>
          <w:rFonts w:hint="eastAsia" w:ascii="微软雅黑" w:hAnsi="微软雅黑" w:cs="微软雅黑"/>
          <w:bCs/>
          <w:color w:val="000000"/>
          <w:sz w:val="20"/>
          <w:szCs w:val="20"/>
          <w:highlight w:val="none"/>
          <w:lang w:val="en-US" w:eastAsia="zh-CN"/>
        </w:rPr>
        <w:t>1</w:t>
      </w:r>
      <w:bookmarkStart w:id="1355" w:name="_GoBack"/>
      <w:bookmarkEnd w:id="1355"/>
      <w:r>
        <w:rPr>
          <w:rFonts w:hint="eastAsia" w:ascii="微软雅黑" w:hAnsi="微软雅黑" w:cs="微软雅黑"/>
          <w:bCs/>
          <w:color w:val="000000"/>
          <w:sz w:val="20"/>
          <w:szCs w:val="20"/>
          <w:highlight w:val="none"/>
        </w:rPr>
        <w:t>.5条规定的响应时间内协同甲方到现场确认后，对该故障水表进行整表更换。用于更换的水表由供方提供并必须按要求送检，且出具检验报告。故障的水表将由甲方分批次送回供方进行检修。</w:t>
      </w:r>
    </w:p>
    <w:p>
      <w:pPr>
        <w:ind w:firstLine="400" w:firstLineChars="200"/>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11.5供方须须保证24小时在广州有2个及以上维修人员负责专业维修。安装后供方须负责进行通讯调试，如果设备发生故障，甲方无法解决，供方接到甲方方通知的12小时以内做出响应；如需到现场处理，供方在接到甲方方通知后24小时内到达现场进行处理。</w:t>
      </w:r>
    </w:p>
    <w:p>
      <w:pPr>
        <w:rPr>
          <w:rFonts w:ascii="微软雅黑" w:hAnsi="微软雅黑" w:cs="微软雅黑"/>
          <w:bCs/>
          <w:color w:val="000000"/>
          <w:sz w:val="20"/>
          <w:szCs w:val="20"/>
          <w:highlight w:val="none"/>
        </w:rPr>
      </w:pPr>
      <w:r>
        <w:rPr>
          <w:rFonts w:hint="eastAsia" w:ascii="微软雅黑" w:hAnsi="微软雅黑" w:cs="微软雅黑"/>
          <w:bCs/>
          <w:color w:val="000000"/>
          <w:sz w:val="20"/>
          <w:szCs w:val="20"/>
          <w:highlight w:val="none"/>
        </w:rPr>
        <w:t>12.售后约定</w:t>
      </w:r>
    </w:p>
    <w:p>
      <w:pPr>
        <w:ind w:firstLine="400" w:firstLineChars="200"/>
        <w:rPr>
          <w:rFonts w:ascii="微软雅黑" w:hAnsi="微软雅黑" w:cs="微软雅黑"/>
          <w:sz w:val="20"/>
          <w:szCs w:val="20"/>
          <w:highlight w:val="none"/>
        </w:rPr>
      </w:pPr>
      <w:r>
        <w:rPr>
          <w:rFonts w:hint="eastAsia" w:ascii="微软雅黑" w:hAnsi="微软雅黑" w:cs="微软雅黑"/>
          <w:bCs/>
          <w:color w:val="000000"/>
          <w:sz w:val="20"/>
          <w:szCs w:val="20"/>
          <w:highlight w:val="none"/>
        </w:rPr>
        <w:t>甲方在水表安装验收合格后到质保时间的使用期内，若发现水表投入使用后不满足：日上报成功率要≥99%，月上报成功率要≥99.9%（含补录），抄读准确率≥99.9%，水表年故障率≦0.5%等要求，甲方有权追究供应方的违约责任。</w:t>
      </w:r>
    </w:p>
    <w:p>
      <w:pPr>
        <w:spacing w:line="300" w:lineRule="exact"/>
        <w:rPr>
          <w:rFonts w:ascii="微软雅黑" w:hAnsi="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pStyle w:val="2"/>
        <w:rPr>
          <w:rFonts w:hint="eastAsia" w:ascii="微软雅黑" w:hAnsi="微软雅黑" w:eastAsia="微软雅黑" w:cs="微软雅黑"/>
          <w:sz w:val="21"/>
          <w:szCs w:val="21"/>
          <w:highlight w:val="none"/>
        </w:rPr>
      </w:pPr>
    </w:p>
    <w:p>
      <w:pPr>
        <w:pStyle w:val="2"/>
        <w:rPr>
          <w:rFonts w:ascii="微软雅黑" w:hAnsi="微软雅黑" w:eastAsia="微软雅黑" w:cs="微软雅黑"/>
          <w:sz w:val="21"/>
          <w:szCs w:val="21"/>
          <w:highlight w:val="none"/>
        </w:rPr>
      </w:pPr>
    </w:p>
    <w:p>
      <w:pPr>
        <w:spacing w:line="360" w:lineRule="auto"/>
        <w:jc w:val="center"/>
        <w:outlineLvl w:val="0"/>
        <w:rPr>
          <w:rFonts w:ascii="黑体" w:hAnsi="华文中宋" w:eastAsia="黑体" w:cs="华文中宋"/>
          <w:b/>
          <w:bCs/>
          <w:sz w:val="32"/>
          <w:szCs w:val="32"/>
          <w:highlight w:val="none"/>
        </w:rPr>
      </w:pPr>
      <w:r>
        <w:rPr>
          <w:rFonts w:hint="eastAsia" w:ascii="黑体" w:hAnsi="华文中宋" w:eastAsia="黑体" w:cs="华文中宋"/>
          <w:b/>
          <w:bCs/>
          <w:sz w:val="32"/>
          <w:szCs w:val="32"/>
          <w:highlight w:val="none"/>
        </w:rPr>
        <w:t>第四章  评分体系与标准</w:t>
      </w:r>
    </w:p>
    <w:p>
      <w:pPr>
        <w:widowControl w:val="0"/>
        <w:numPr>
          <w:ilvl w:val="0"/>
          <w:numId w:val="5"/>
        </w:numPr>
        <w:tabs>
          <w:tab w:val="left" w:pos="630"/>
        </w:tabs>
        <w:autoSpaceDE w:val="0"/>
        <w:autoSpaceDN w:val="0"/>
        <w:snapToGrid/>
        <w:spacing w:after="0" w:line="360" w:lineRule="auto"/>
        <w:jc w:val="both"/>
        <w:rPr>
          <w:rFonts w:ascii="微软雅黑" w:hAnsi="微软雅黑" w:cs="微软雅黑"/>
          <w:sz w:val="20"/>
          <w:szCs w:val="20"/>
          <w:highlight w:val="none"/>
        </w:rPr>
      </w:pPr>
      <w:r>
        <w:rPr>
          <w:rFonts w:hint="eastAsia" w:ascii="微软雅黑" w:hAnsi="微软雅黑" w:cs="微软雅黑"/>
          <w:sz w:val="20"/>
          <w:szCs w:val="20"/>
          <w:highlight w:val="none"/>
        </w:rPr>
        <w:t>本评标办法采用综合评分法，</w:t>
      </w:r>
      <w:r>
        <w:rPr>
          <w:rFonts w:hint="eastAsia" w:ascii="微软雅黑" w:hAnsi="微软雅黑" w:cs="微软雅黑"/>
          <w:b/>
          <w:sz w:val="20"/>
          <w:szCs w:val="20"/>
          <w:highlight w:val="none"/>
        </w:rPr>
        <w:t>技术分值30%，商务分值20%，价格分值50%。</w:t>
      </w:r>
    </w:p>
    <w:p>
      <w:pPr>
        <w:widowControl w:val="0"/>
        <w:numPr>
          <w:ilvl w:val="0"/>
          <w:numId w:val="5"/>
        </w:numPr>
        <w:tabs>
          <w:tab w:val="left" w:pos="630"/>
        </w:tabs>
        <w:autoSpaceDE w:val="0"/>
        <w:autoSpaceDN w:val="0"/>
        <w:snapToGrid/>
        <w:spacing w:after="0" w:line="360" w:lineRule="auto"/>
        <w:jc w:val="both"/>
        <w:rPr>
          <w:rFonts w:ascii="微软雅黑" w:hAnsi="微软雅黑" w:cs="微软雅黑"/>
          <w:sz w:val="20"/>
          <w:szCs w:val="20"/>
          <w:highlight w:val="none"/>
        </w:rPr>
      </w:pPr>
      <w:r>
        <w:rPr>
          <w:rFonts w:hint="eastAsia" w:ascii="微软雅黑" w:hAnsi="微软雅黑" w:cs="微软雅黑"/>
          <w:sz w:val="20"/>
          <w:szCs w:val="20"/>
          <w:highlight w:val="none"/>
        </w:rPr>
        <w:t>评标步骤：评标委员会先进行投标文件初审，对通过初审的投标文件进行技术、商务及价格的详细评审最后评标委员会出具评标报告。</w:t>
      </w:r>
    </w:p>
    <w:p>
      <w:pPr>
        <w:widowControl w:val="0"/>
        <w:numPr>
          <w:ilvl w:val="0"/>
          <w:numId w:val="5"/>
        </w:numPr>
        <w:tabs>
          <w:tab w:val="left" w:pos="630"/>
        </w:tabs>
        <w:autoSpaceDE w:val="0"/>
        <w:autoSpaceDN w:val="0"/>
        <w:snapToGrid/>
        <w:spacing w:after="0" w:line="360" w:lineRule="auto"/>
        <w:jc w:val="both"/>
        <w:rPr>
          <w:rFonts w:ascii="微软雅黑" w:hAnsi="微软雅黑" w:cs="微软雅黑"/>
          <w:color w:val="000000"/>
          <w:sz w:val="20"/>
          <w:szCs w:val="20"/>
          <w:highlight w:val="none"/>
        </w:rPr>
      </w:pPr>
      <w:r>
        <w:rPr>
          <w:rFonts w:hint="eastAsia" w:ascii="微软雅黑" w:hAnsi="微软雅黑" w:cs="微软雅黑"/>
          <w:sz w:val="20"/>
          <w:szCs w:val="20"/>
          <w:highlight w:val="none"/>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pacing w:beforeLines="50" w:afterLines="50" w:line="360" w:lineRule="auto"/>
        <w:jc w:val="center"/>
        <w:rPr>
          <w:rFonts w:ascii="微软雅黑" w:hAnsi="微软雅黑" w:cs="宋体"/>
          <w:b/>
          <w:sz w:val="24"/>
          <w:szCs w:val="24"/>
          <w:highlight w:val="none"/>
        </w:rPr>
      </w:pPr>
      <w:r>
        <w:rPr>
          <w:rFonts w:hint="eastAsia" w:ascii="微软雅黑" w:hAnsi="微软雅黑" w:cs="宋体"/>
          <w:b/>
          <w:color w:val="000000"/>
          <w:sz w:val="24"/>
          <w:szCs w:val="24"/>
          <w:highlight w:val="none"/>
        </w:rPr>
        <w:t>资格性审查</w:t>
      </w:r>
    </w:p>
    <w:p>
      <w:pPr>
        <w:spacing w:line="360" w:lineRule="auto"/>
        <w:jc w:val="center"/>
        <w:rPr>
          <w:snapToGrid w:val="0"/>
          <w:color w:val="000000"/>
          <w:spacing w:val="8"/>
          <w:sz w:val="21"/>
          <w:szCs w:val="21"/>
          <w:highlight w:val="none"/>
        </w:rPr>
      </w:pPr>
      <w:r>
        <w:rPr>
          <w:rFonts w:hint="eastAsia" w:ascii="宋体" w:hAnsi="宋体" w:cs="宋体"/>
          <w:sz w:val="21"/>
          <w:szCs w:val="21"/>
          <w:highlight w:val="none"/>
        </w:rPr>
        <w:t>项目名称：</w:t>
      </w:r>
      <w:r>
        <w:rPr>
          <w:rFonts w:hint="default" w:ascii="微软雅黑" w:hAnsi="微软雅黑" w:cs="微软雅黑"/>
          <w:bCs/>
          <w:sz w:val="21"/>
          <w:szCs w:val="21"/>
          <w:highlight w:val="none"/>
        </w:rPr>
        <w:t>广州市增城自来水安装工程有限公司2021~2022年度远传水表采购项目</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7" w:hRule="atLeast"/>
        </w:trPr>
        <w:tc>
          <w:tcPr>
            <w:tcW w:w="961" w:type="dxa"/>
            <w:vAlign w:val="center"/>
          </w:tcPr>
          <w:p>
            <w:pPr>
              <w:spacing w:line="360" w:lineRule="auto"/>
              <w:ind w:left="-125" w:leftChars="-57"/>
              <w:jc w:val="center"/>
              <w:rPr>
                <w:rFonts w:ascii="微软雅黑" w:hAnsi="微软雅黑" w:cs="微软雅黑"/>
                <w:b/>
                <w:sz w:val="20"/>
                <w:szCs w:val="20"/>
                <w:highlight w:val="none"/>
              </w:rPr>
            </w:pPr>
            <w:r>
              <w:rPr>
                <w:rFonts w:hint="eastAsia" w:ascii="微软雅黑" w:hAnsi="微软雅黑" w:cs="微软雅黑"/>
                <w:b/>
                <w:sz w:val="20"/>
                <w:szCs w:val="20"/>
                <w:highlight w:val="none"/>
              </w:rPr>
              <w:t>序号</w:t>
            </w:r>
          </w:p>
        </w:tc>
        <w:tc>
          <w:tcPr>
            <w:tcW w:w="9001" w:type="dxa"/>
            <w:vAlign w:val="center"/>
          </w:tcPr>
          <w:p>
            <w:pPr>
              <w:spacing w:line="360" w:lineRule="auto"/>
              <w:jc w:val="center"/>
              <w:rPr>
                <w:rFonts w:ascii="微软雅黑" w:hAnsi="微软雅黑" w:cs="微软雅黑"/>
                <w:b/>
                <w:sz w:val="20"/>
                <w:szCs w:val="20"/>
                <w:highlight w:val="none"/>
              </w:rPr>
            </w:pPr>
            <w:r>
              <w:rPr>
                <w:rFonts w:hint="eastAsia" w:ascii="微软雅黑" w:hAnsi="微软雅黑" w:cs="微软雅黑"/>
                <w:b/>
                <w:sz w:val="20"/>
                <w:szCs w:val="20"/>
                <w:highlight w:val="none"/>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1</w:t>
            </w:r>
          </w:p>
        </w:tc>
        <w:tc>
          <w:tcPr>
            <w:tcW w:w="9001" w:type="dxa"/>
            <w:vAlign w:val="center"/>
          </w:tcPr>
          <w:p>
            <w:pPr>
              <w:spacing w:line="360" w:lineRule="auto"/>
              <w:rPr>
                <w:rFonts w:ascii="微软雅黑" w:hAnsi="微软雅黑" w:cs="微软雅黑"/>
                <w:bCs/>
                <w:sz w:val="20"/>
                <w:szCs w:val="20"/>
                <w:highlight w:val="none"/>
              </w:rPr>
            </w:pPr>
            <w:r>
              <w:rPr>
                <w:rFonts w:hint="eastAsia" w:ascii="微软雅黑" w:hAnsi="微软雅黑" w:cs="微软雅黑"/>
                <w:sz w:val="20"/>
                <w:szCs w:val="20"/>
                <w:highlight w:val="none"/>
              </w:rPr>
              <w:t>具备招标文件中规定资格要求的及资格证明文件齐全的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微软雅黑" w:hAnsi="微软雅黑" w:cs="微软雅黑"/>
                <w:sz w:val="20"/>
                <w:szCs w:val="20"/>
                <w:highlight w:val="none"/>
              </w:rPr>
            </w:pPr>
            <w:r>
              <w:rPr>
                <w:rFonts w:hint="eastAsia" w:ascii="微软雅黑" w:hAnsi="微软雅黑" w:cs="微软雅黑"/>
                <w:sz w:val="20"/>
                <w:szCs w:val="20"/>
                <w:highlight w:val="none"/>
              </w:rPr>
              <w:t>2</w:t>
            </w:r>
          </w:p>
        </w:tc>
        <w:tc>
          <w:tcPr>
            <w:tcW w:w="9001" w:type="dxa"/>
            <w:vAlign w:val="center"/>
          </w:tcPr>
          <w:p>
            <w:pPr>
              <w:spacing w:line="360" w:lineRule="auto"/>
              <w:rPr>
                <w:rFonts w:ascii="微软雅黑" w:hAnsi="微软雅黑" w:cs="微软雅黑"/>
                <w:bCs/>
                <w:sz w:val="20"/>
                <w:szCs w:val="20"/>
                <w:highlight w:val="none"/>
              </w:rPr>
            </w:pPr>
            <w:r>
              <w:rPr>
                <w:rFonts w:hint="eastAsia" w:ascii="微软雅黑" w:hAnsi="微软雅黑" w:cs="微软雅黑"/>
                <w:sz w:val="20"/>
                <w:szCs w:val="20"/>
                <w:highlight w:val="none"/>
              </w:rPr>
              <w:t>投标人按招标文件要求缴纳投标保证金的</w:t>
            </w:r>
          </w:p>
        </w:tc>
      </w:tr>
    </w:tbl>
    <w:p>
      <w:pPr>
        <w:spacing w:line="360" w:lineRule="auto"/>
        <w:jc w:val="both"/>
        <w:rPr>
          <w:rFonts w:ascii="宋体" w:hAnsi="宋体"/>
          <w:b/>
          <w:sz w:val="24"/>
          <w:highlight w:val="none"/>
        </w:rPr>
      </w:pPr>
    </w:p>
    <w:p>
      <w:pPr>
        <w:spacing w:line="360" w:lineRule="auto"/>
        <w:jc w:val="center"/>
        <w:rPr>
          <w:rFonts w:ascii="宋体" w:hAnsi="宋体"/>
          <w:b/>
          <w:sz w:val="24"/>
        </w:rPr>
      </w:pPr>
      <w:r>
        <w:rPr>
          <w:rFonts w:hint="eastAsia" w:ascii="宋体" w:hAnsi="宋体"/>
          <w:b/>
          <w:sz w:val="24"/>
          <w:highlight w:val="none"/>
        </w:rPr>
        <w:t>符合性</w:t>
      </w:r>
      <w:r>
        <w:rPr>
          <w:rFonts w:hint="eastAsia" w:ascii="宋体" w:hAnsi="宋体"/>
          <w:b/>
          <w:sz w:val="24"/>
        </w:rPr>
        <w:t>审查</w:t>
      </w:r>
    </w:p>
    <w:tbl>
      <w:tblPr>
        <w:tblStyle w:val="18"/>
        <w:tblW w:w="99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1"/>
        <w:gridCol w:w="917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top w:val="single" w:color="auto" w:sz="12" w:space="0"/>
              <w:bottom w:val="single" w:color="auto" w:sz="4" w:space="0"/>
            </w:tcBorders>
            <w:vAlign w:val="center"/>
          </w:tcPr>
          <w:p>
            <w:pPr>
              <w:spacing w:line="360" w:lineRule="auto"/>
              <w:ind w:left="-125" w:leftChars="-57"/>
              <w:jc w:val="center"/>
              <w:rPr>
                <w:rFonts w:ascii="微软雅黑" w:hAnsi="微软雅黑" w:cs="微软雅黑"/>
                <w:b/>
                <w:sz w:val="20"/>
                <w:szCs w:val="20"/>
              </w:rPr>
            </w:pPr>
            <w:r>
              <w:rPr>
                <w:rFonts w:hint="eastAsia" w:ascii="微软雅黑" w:hAnsi="微软雅黑" w:cs="微软雅黑"/>
                <w:b/>
                <w:sz w:val="20"/>
                <w:szCs w:val="20"/>
              </w:rPr>
              <w:t>序号</w:t>
            </w:r>
          </w:p>
        </w:tc>
        <w:tc>
          <w:tcPr>
            <w:tcW w:w="9171" w:type="dxa"/>
            <w:tcBorders>
              <w:top w:val="single" w:color="auto" w:sz="12" w:space="0"/>
            </w:tcBorders>
            <w:vAlign w:val="center"/>
          </w:tcPr>
          <w:p>
            <w:pPr>
              <w:spacing w:line="360" w:lineRule="auto"/>
              <w:jc w:val="center"/>
              <w:rPr>
                <w:rFonts w:ascii="微软雅黑" w:hAnsi="微软雅黑" w:cs="微软雅黑"/>
                <w:b/>
                <w:sz w:val="20"/>
                <w:szCs w:val="20"/>
              </w:rPr>
            </w:pPr>
            <w:r>
              <w:rPr>
                <w:rFonts w:hint="eastAsia" w:ascii="微软雅黑" w:hAnsi="微软雅黑" w:cs="微软雅黑"/>
                <w:b/>
                <w:sz w:val="20"/>
                <w:szCs w:val="20"/>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bottom w:val="single" w:color="auto" w:sz="4" w:space="0"/>
            </w:tcBorders>
            <w:vAlign w:val="center"/>
          </w:tcPr>
          <w:p>
            <w:pPr>
              <w:spacing w:line="360" w:lineRule="auto"/>
              <w:jc w:val="center"/>
              <w:rPr>
                <w:rFonts w:ascii="微软雅黑" w:hAnsi="微软雅黑" w:cs="微软雅黑"/>
                <w:sz w:val="20"/>
                <w:szCs w:val="20"/>
              </w:rPr>
            </w:pPr>
            <w:r>
              <w:rPr>
                <w:rFonts w:hint="eastAsia" w:ascii="微软雅黑" w:hAnsi="微软雅黑" w:cs="微软雅黑"/>
                <w:sz w:val="20"/>
                <w:szCs w:val="20"/>
              </w:rPr>
              <w:t>1</w:t>
            </w:r>
          </w:p>
        </w:tc>
        <w:tc>
          <w:tcPr>
            <w:tcW w:w="9171" w:type="dxa"/>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投标文件按照招标文件规定要求签署或盖章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791" w:type="dxa"/>
            <w:tcBorders>
              <w:top w:val="single" w:color="auto" w:sz="4" w:space="0"/>
              <w:bottom w:val="single" w:color="auto" w:sz="4" w:space="0"/>
            </w:tcBorders>
            <w:vAlign w:val="center"/>
          </w:tcPr>
          <w:p>
            <w:pPr>
              <w:spacing w:line="360" w:lineRule="auto"/>
              <w:jc w:val="center"/>
              <w:rPr>
                <w:rFonts w:ascii="微软雅黑" w:hAnsi="微软雅黑" w:cs="微软雅黑"/>
                <w:sz w:val="20"/>
                <w:szCs w:val="20"/>
              </w:rPr>
            </w:pPr>
            <w:r>
              <w:rPr>
                <w:rFonts w:hint="eastAsia" w:ascii="微软雅黑" w:hAnsi="微软雅黑" w:cs="微软雅黑"/>
                <w:sz w:val="20"/>
                <w:szCs w:val="20"/>
              </w:rPr>
              <w:t>2</w:t>
            </w:r>
          </w:p>
        </w:tc>
        <w:tc>
          <w:tcPr>
            <w:tcW w:w="9171" w:type="dxa"/>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投标人按招标文件要求缴纳投标保证金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791" w:type="dxa"/>
            <w:tcBorders>
              <w:top w:val="single" w:color="auto" w:sz="4" w:space="0"/>
              <w:bottom w:val="single" w:color="auto" w:sz="4" w:space="0"/>
            </w:tcBorders>
            <w:vAlign w:val="center"/>
          </w:tcPr>
          <w:p>
            <w:pPr>
              <w:spacing w:line="360" w:lineRule="auto"/>
              <w:jc w:val="center"/>
              <w:rPr>
                <w:rFonts w:ascii="微软雅黑" w:hAnsi="微软雅黑" w:cs="微软雅黑"/>
                <w:sz w:val="20"/>
                <w:szCs w:val="20"/>
              </w:rPr>
            </w:pPr>
            <w:r>
              <w:rPr>
                <w:rFonts w:hint="eastAsia" w:ascii="微软雅黑" w:hAnsi="微软雅黑" w:cs="微软雅黑"/>
                <w:sz w:val="20"/>
                <w:szCs w:val="20"/>
              </w:rPr>
              <w:t>3</w:t>
            </w:r>
          </w:p>
        </w:tc>
        <w:tc>
          <w:tcPr>
            <w:tcW w:w="9171" w:type="dxa"/>
            <w:vAlign w:val="center"/>
          </w:tcPr>
          <w:p>
            <w:pPr>
              <w:spacing w:line="360" w:lineRule="auto"/>
              <w:rPr>
                <w:rFonts w:ascii="微软雅黑" w:hAnsi="微软雅黑" w:cs="微软雅黑"/>
                <w:color w:val="FF0000"/>
                <w:sz w:val="20"/>
                <w:szCs w:val="20"/>
              </w:rPr>
            </w:pPr>
            <w:r>
              <w:rPr>
                <w:rFonts w:hint="eastAsia" w:ascii="微软雅黑" w:hAnsi="微软雅黑" w:cs="微软雅黑"/>
                <w:color w:val="000000"/>
                <w:sz w:val="20"/>
                <w:szCs w:val="20"/>
              </w:rPr>
              <w:t>能满足用户需求的主要参数（带“★”号条款）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791" w:type="dxa"/>
            <w:tcBorders>
              <w:top w:val="single" w:color="auto" w:sz="4" w:space="0"/>
            </w:tcBorders>
            <w:vAlign w:val="center"/>
          </w:tcPr>
          <w:p>
            <w:pPr>
              <w:spacing w:line="360" w:lineRule="auto"/>
              <w:jc w:val="center"/>
              <w:rPr>
                <w:rFonts w:ascii="微软雅黑" w:hAnsi="微软雅黑" w:cs="微软雅黑"/>
                <w:sz w:val="20"/>
                <w:szCs w:val="20"/>
              </w:rPr>
            </w:pPr>
            <w:r>
              <w:rPr>
                <w:rFonts w:hint="eastAsia" w:ascii="微软雅黑" w:hAnsi="微软雅黑" w:cs="微软雅黑"/>
                <w:sz w:val="20"/>
                <w:szCs w:val="20"/>
              </w:rPr>
              <w:t>4</w:t>
            </w:r>
          </w:p>
        </w:tc>
        <w:tc>
          <w:tcPr>
            <w:tcW w:w="9171" w:type="dxa"/>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bottom w:val="single" w:color="auto" w:sz="4" w:space="0"/>
            </w:tcBorders>
            <w:vAlign w:val="center"/>
          </w:tcPr>
          <w:p>
            <w:pPr>
              <w:spacing w:line="360" w:lineRule="auto"/>
              <w:jc w:val="center"/>
              <w:rPr>
                <w:rFonts w:ascii="微软雅黑" w:hAnsi="微软雅黑" w:cs="微软雅黑"/>
                <w:sz w:val="20"/>
                <w:szCs w:val="20"/>
              </w:rPr>
            </w:pPr>
            <w:r>
              <w:rPr>
                <w:rFonts w:hint="eastAsia" w:ascii="微软雅黑" w:hAnsi="微软雅黑" w:cs="微软雅黑"/>
                <w:sz w:val="20"/>
                <w:szCs w:val="20"/>
              </w:rPr>
              <w:t>5</w:t>
            </w:r>
          </w:p>
        </w:tc>
        <w:tc>
          <w:tcPr>
            <w:tcW w:w="9171" w:type="dxa"/>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有提供开标一览表及项目报价明细表的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bottom w:val="single" w:color="auto" w:sz="4" w:space="0"/>
            </w:tcBorders>
            <w:vAlign w:val="center"/>
          </w:tcPr>
          <w:p>
            <w:pPr>
              <w:spacing w:line="360" w:lineRule="auto"/>
              <w:jc w:val="center"/>
              <w:rPr>
                <w:rFonts w:ascii="微软雅黑" w:hAnsi="微软雅黑" w:cs="微软雅黑"/>
                <w:sz w:val="20"/>
                <w:szCs w:val="20"/>
              </w:rPr>
            </w:pPr>
            <w:r>
              <w:rPr>
                <w:rFonts w:hint="eastAsia" w:ascii="微软雅黑" w:hAnsi="微软雅黑" w:cs="微软雅黑"/>
                <w:sz w:val="20"/>
                <w:szCs w:val="20"/>
              </w:rPr>
              <w:t>6</w:t>
            </w:r>
          </w:p>
        </w:tc>
        <w:tc>
          <w:tcPr>
            <w:tcW w:w="9171" w:type="dxa"/>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未出现法律、法规、规章规定属于投标无效的其他情形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1" w:type="dxa"/>
            <w:tcBorders>
              <w:top w:val="single" w:color="auto" w:sz="4" w:space="0"/>
              <w:bottom w:val="single" w:color="auto" w:sz="4" w:space="0"/>
            </w:tcBorders>
            <w:vAlign w:val="center"/>
          </w:tcPr>
          <w:p>
            <w:pPr>
              <w:spacing w:line="360" w:lineRule="auto"/>
              <w:jc w:val="center"/>
              <w:rPr>
                <w:rFonts w:ascii="微软雅黑" w:hAnsi="微软雅黑" w:cs="微软雅黑"/>
                <w:sz w:val="20"/>
                <w:szCs w:val="20"/>
              </w:rPr>
            </w:pPr>
            <w:r>
              <w:rPr>
                <w:rFonts w:hint="eastAsia" w:ascii="微软雅黑" w:hAnsi="微软雅黑" w:cs="微软雅黑"/>
                <w:sz w:val="20"/>
                <w:szCs w:val="20"/>
              </w:rPr>
              <w:t>7</w:t>
            </w:r>
          </w:p>
        </w:tc>
        <w:tc>
          <w:tcPr>
            <w:tcW w:w="9171" w:type="dxa"/>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无招标文件中规定的被视为无效投标的其他条款的</w:t>
            </w:r>
          </w:p>
        </w:tc>
      </w:tr>
    </w:tbl>
    <w:p>
      <w:pPr>
        <w:pStyle w:val="17"/>
        <w:ind w:left="0" w:leftChars="0" w:firstLine="0" w:firstLineChars="0"/>
        <w:rPr>
          <w:b/>
          <w:sz w:val="28"/>
          <w:szCs w:val="28"/>
        </w:rPr>
      </w:pPr>
    </w:p>
    <w:p>
      <w:pPr>
        <w:jc w:val="center"/>
        <w:rPr>
          <w:b/>
          <w:sz w:val="28"/>
          <w:szCs w:val="28"/>
        </w:rPr>
      </w:pPr>
      <w:r>
        <w:rPr>
          <w:rFonts w:hint="eastAsia"/>
          <w:b/>
          <w:sz w:val="28"/>
          <w:szCs w:val="28"/>
        </w:rPr>
        <w:t>商务、技术评分</w:t>
      </w:r>
    </w:p>
    <w:tbl>
      <w:tblPr>
        <w:tblStyle w:val="18"/>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266"/>
        <w:gridCol w:w="683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ind w:left="372" w:leftChars="-22" w:hanging="420"/>
              <w:jc w:val="center"/>
              <w:rPr>
                <w:rFonts w:ascii="微软雅黑" w:hAnsi="微软雅黑" w:cs="微软雅黑"/>
                <w:b/>
                <w:bCs/>
                <w:color w:val="000000"/>
                <w:sz w:val="20"/>
                <w:szCs w:val="20"/>
                <w:lang w:val="en-GB"/>
              </w:rPr>
            </w:pPr>
            <w:r>
              <w:rPr>
                <w:rFonts w:hint="eastAsia" w:ascii="微软雅黑" w:hAnsi="微软雅黑" w:cs="微软雅黑"/>
                <w:b/>
                <w:bCs/>
                <w:color w:val="000000"/>
                <w:sz w:val="20"/>
                <w:szCs w:val="20"/>
                <w:lang w:val="en-GB"/>
              </w:rPr>
              <w:t>评审内容</w:t>
            </w:r>
          </w:p>
        </w:tc>
        <w:tc>
          <w:tcPr>
            <w:tcW w:w="809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pPr>
              <w:spacing w:after="0"/>
              <w:ind w:left="372" w:leftChars="-22" w:hanging="420"/>
              <w:jc w:val="center"/>
              <w:rPr>
                <w:rFonts w:ascii="微软雅黑" w:hAnsi="微软雅黑" w:cs="微软雅黑"/>
                <w:b/>
                <w:bCs/>
                <w:color w:val="000000"/>
                <w:sz w:val="20"/>
                <w:szCs w:val="20"/>
                <w:lang w:val="en-GB"/>
              </w:rPr>
            </w:pPr>
            <w:r>
              <w:rPr>
                <w:rFonts w:hint="eastAsia" w:ascii="微软雅黑" w:hAnsi="微软雅黑" w:cs="微软雅黑"/>
                <w:b/>
                <w:bCs/>
                <w:color w:val="000000"/>
                <w:sz w:val="20"/>
                <w:szCs w:val="20"/>
                <w:lang w:val="en-GB"/>
              </w:rPr>
              <w:t>评审子项</w:t>
            </w:r>
          </w:p>
        </w:tc>
        <w:tc>
          <w:tcPr>
            <w:tcW w:w="654" w:type="dxa"/>
            <w:tcBorders>
              <w:top w:val="single" w:color="auto" w:sz="4" w:space="0"/>
              <w:left w:val="single" w:color="auto" w:sz="4" w:space="0"/>
              <w:bottom w:val="single" w:color="auto" w:sz="4" w:space="0"/>
              <w:right w:val="single" w:color="auto" w:sz="4" w:space="0"/>
            </w:tcBorders>
            <w:shd w:val="clear" w:color="auto" w:fill="F3F3F3"/>
            <w:vAlign w:val="center"/>
          </w:tcPr>
          <w:p>
            <w:pPr>
              <w:spacing w:after="0"/>
              <w:ind w:left="295" w:leftChars="-57" w:hanging="420"/>
              <w:jc w:val="center"/>
              <w:rPr>
                <w:rFonts w:ascii="微软雅黑" w:hAnsi="微软雅黑" w:cs="微软雅黑"/>
                <w:b/>
                <w:bCs/>
                <w:color w:val="000000"/>
                <w:sz w:val="20"/>
                <w:szCs w:val="20"/>
                <w:lang w:val="en-GB"/>
              </w:rPr>
            </w:pPr>
            <w:r>
              <w:rPr>
                <w:rFonts w:hint="eastAsia" w:ascii="微软雅黑" w:hAnsi="微软雅黑" w:cs="微软雅黑"/>
                <w:b/>
                <w:bCs/>
                <w:color w:val="000000"/>
                <w:sz w:val="20"/>
                <w:szCs w:val="20"/>
                <w:lang w:val="en-GB"/>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93" w:type="dxa"/>
            <w:vMerge w:val="restart"/>
            <w:tcBorders>
              <w:left w:val="single" w:color="auto" w:sz="4" w:space="0"/>
              <w:right w:val="single" w:color="auto" w:sz="4" w:space="0"/>
            </w:tcBorders>
            <w:vAlign w:val="center"/>
          </w:tcPr>
          <w:p>
            <w:pPr>
              <w:spacing w:after="0"/>
              <w:rPr>
                <w:rFonts w:ascii="微软雅黑" w:hAnsi="微软雅黑" w:cs="微软雅黑"/>
                <w:sz w:val="20"/>
                <w:szCs w:val="20"/>
              </w:rPr>
            </w:pPr>
          </w:p>
          <w:p>
            <w:pPr>
              <w:spacing w:after="0"/>
              <w:rPr>
                <w:rFonts w:ascii="微软雅黑" w:hAnsi="微软雅黑" w:cs="微软雅黑"/>
                <w:sz w:val="20"/>
                <w:szCs w:val="20"/>
              </w:rPr>
            </w:pPr>
          </w:p>
          <w:p>
            <w:pPr>
              <w:spacing w:after="0"/>
              <w:rPr>
                <w:rFonts w:ascii="微软雅黑" w:hAnsi="微软雅黑" w:cs="微软雅黑"/>
                <w:sz w:val="20"/>
                <w:szCs w:val="20"/>
              </w:rPr>
            </w:pPr>
          </w:p>
          <w:p>
            <w:pPr>
              <w:spacing w:after="0"/>
              <w:rPr>
                <w:rFonts w:ascii="微软雅黑" w:hAnsi="微软雅黑" w:cs="微软雅黑"/>
                <w:sz w:val="20"/>
                <w:szCs w:val="20"/>
              </w:rPr>
            </w:pPr>
          </w:p>
          <w:p>
            <w:pPr>
              <w:spacing w:after="0"/>
              <w:rPr>
                <w:rFonts w:ascii="微软雅黑" w:hAnsi="微软雅黑" w:cs="微软雅黑"/>
                <w:sz w:val="20"/>
                <w:szCs w:val="20"/>
              </w:rPr>
            </w:pPr>
          </w:p>
          <w:p>
            <w:pPr>
              <w:spacing w:after="0"/>
              <w:rPr>
                <w:rFonts w:ascii="微软雅黑" w:hAnsi="微软雅黑" w:cs="微软雅黑"/>
                <w:sz w:val="20"/>
                <w:szCs w:val="20"/>
              </w:rPr>
            </w:pPr>
          </w:p>
          <w:p>
            <w:pPr>
              <w:spacing w:after="0"/>
              <w:rPr>
                <w:rFonts w:ascii="微软雅黑" w:hAnsi="微软雅黑" w:cs="微软雅黑"/>
                <w:sz w:val="20"/>
                <w:szCs w:val="20"/>
              </w:rPr>
            </w:pPr>
          </w:p>
          <w:p>
            <w:pPr>
              <w:spacing w:after="0"/>
              <w:rPr>
                <w:rFonts w:ascii="微软雅黑" w:hAnsi="微软雅黑" w:cs="微软雅黑"/>
                <w:sz w:val="20"/>
                <w:szCs w:val="20"/>
              </w:rPr>
            </w:pPr>
            <w:r>
              <w:rPr>
                <w:rFonts w:hint="eastAsia" w:ascii="微软雅黑" w:hAnsi="微软雅黑" w:cs="微软雅黑"/>
                <w:sz w:val="20"/>
                <w:szCs w:val="20"/>
              </w:rPr>
              <w:t>技术分</w:t>
            </w:r>
          </w:p>
          <w:p>
            <w:pPr>
              <w:spacing w:after="0"/>
              <w:rPr>
                <w:rFonts w:ascii="微软雅黑" w:hAnsi="微软雅黑" w:cs="微软雅黑"/>
                <w:sz w:val="20"/>
                <w:szCs w:val="20"/>
              </w:rPr>
            </w:pPr>
            <w:r>
              <w:rPr>
                <w:rFonts w:hint="eastAsia" w:ascii="微软雅黑" w:hAnsi="微软雅黑" w:cs="微软雅黑"/>
                <w:sz w:val="20"/>
                <w:szCs w:val="20"/>
              </w:rPr>
              <w:t>（30分）</w:t>
            </w:r>
          </w:p>
        </w:tc>
        <w:tc>
          <w:tcPr>
            <w:tcW w:w="126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微软雅黑" w:hAnsi="微软雅黑" w:cs="微软雅黑"/>
                <w:color w:val="auto"/>
                <w:sz w:val="20"/>
                <w:szCs w:val="20"/>
              </w:rPr>
            </w:pPr>
            <w:r>
              <w:rPr>
                <w:rFonts w:hint="eastAsia" w:ascii="微软雅黑" w:hAnsi="微软雅黑" w:cs="微软雅黑"/>
                <w:color w:val="auto"/>
                <w:sz w:val="20"/>
                <w:szCs w:val="20"/>
              </w:rPr>
              <w:t>校验能力（4分）</w:t>
            </w:r>
          </w:p>
        </w:tc>
        <w:tc>
          <w:tcPr>
            <w:tcW w:w="6832"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cs="微软雅黑"/>
                <w:color w:val="auto"/>
                <w:sz w:val="20"/>
                <w:szCs w:val="20"/>
              </w:rPr>
            </w:pPr>
            <w:r>
              <w:rPr>
                <w:rFonts w:hint="eastAsia" w:ascii="微软雅黑" w:hAnsi="微软雅黑" w:cs="微软雅黑"/>
                <w:color w:val="auto"/>
                <w:sz w:val="20"/>
                <w:szCs w:val="20"/>
              </w:rPr>
              <w:t xml:space="preserve">对投标人具有的校验设备装置数量从多到少进行排序，第一名至第二名得4分；第三名至第四名得3分；第五名至第六名得2分；其他得1分。没有提供校验设备装置不得分。                                      </w:t>
            </w:r>
          </w:p>
          <w:p>
            <w:pPr>
              <w:rPr>
                <w:rFonts w:ascii="微软雅黑" w:hAnsi="微软雅黑" w:cs="微软雅黑"/>
                <w:color w:val="auto"/>
                <w:sz w:val="20"/>
                <w:szCs w:val="20"/>
              </w:rPr>
            </w:pPr>
            <w:r>
              <w:rPr>
                <w:rFonts w:hint="eastAsia" w:ascii="微软雅黑" w:hAnsi="微软雅黑" w:cs="微软雅黑"/>
                <w:color w:val="auto"/>
                <w:sz w:val="20"/>
                <w:szCs w:val="20"/>
              </w:rPr>
              <w:t xml:space="preserve"> 注：1、所提供的校验设备装置需为市级或以上计量院标定器具，并出具有效证书复印件，否则不予计算。</w:t>
            </w:r>
          </w:p>
          <w:p>
            <w:pPr>
              <w:spacing w:after="0"/>
              <w:rPr>
                <w:rFonts w:ascii="微软雅黑" w:hAnsi="微软雅黑" w:cs="微软雅黑"/>
                <w:color w:val="auto"/>
                <w:sz w:val="20"/>
                <w:szCs w:val="20"/>
              </w:rPr>
            </w:pPr>
            <w:r>
              <w:rPr>
                <w:rFonts w:hint="eastAsia" w:ascii="微软雅黑" w:hAnsi="微软雅黑" w:cs="微软雅黑"/>
                <w:color w:val="auto"/>
                <w:sz w:val="20"/>
                <w:szCs w:val="20"/>
              </w:rPr>
              <w:t>2、如出现排名并列的情况，不占用后续的名次。</w:t>
            </w:r>
          </w:p>
        </w:tc>
        <w:tc>
          <w:tcPr>
            <w:tcW w:w="654"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sz w:val="20"/>
                <w:szCs w:val="20"/>
              </w:rPr>
            </w:pPr>
            <w:r>
              <w:rPr>
                <w:rFonts w:ascii="微软雅黑" w:hAnsi="微软雅黑" w:cs="微软雅黑"/>
                <w:color w:val="auto"/>
                <w:sz w:val="20"/>
                <w:szCs w:val="20"/>
              </w:rPr>
              <w:t>4</w:t>
            </w:r>
            <w:r>
              <w:rPr>
                <w:rFonts w:hint="eastAsia" w:ascii="微软雅黑" w:hAnsi="微软雅黑" w:cs="微软雅黑"/>
                <w:color w:val="auto"/>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93" w:type="dxa"/>
            <w:vMerge w:val="continue"/>
            <w:tcBorders>
              <w:left w:val="single" w:color="auto" w:sz="4" w:space="0"/>
              <w:right w:val="single" w:color="auto" w:sz="4" w:space="0"/>
            </w:tcBorders>
            <w:vAlign w:val="center"/>
          </w:tcPr>
          <w:p>
            <w:pPr>
              <w:spacing w:after="0"/>
              <w:rPr>
                <w:rFonts w:ascii="微软雅黑" w:hAnsi="微软雅黑" w:cs="微软雅黑"/>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微软雅黑" w:hAnsi="微软雅黑" w:cs="微软雅黑"/>
                <w:color w:val="auto"/>
                <w:sz w:val="20"/>
                <w:szCs w:val="20"/>
                <w:highlight w:val="none"/>
              </w:rPr>
            </w:pPr>
            <w:r>
              <w:rPr>
                <w:rFonts w:hint="eastAsia" w:ascii="微软雅黑" w:hAnsi="微软雅黑" w:cs="微软雅黑"/>
                <w:color w:val="auto"/>
                <w:sz w:val="20"/>
                <w:szCs w:val="20"/>
                <w:highlight w:val="none"/>
              </w:rPr>
              <w:t>设备性能及参数指标（6分）</w:t>
            </w:r>
          </w:p>
        </w:tc>
        <w:tc>
          <w:tcPr>
            <w:tcW w:w="6832"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、对投标人拟供水表的性能及参数指标进行横向比较，</w:t>
            </w:r>
          </w:p>
          <w:p>
            <w:pPr>
              <w:rPr>
                <w:color w:val="auto"/>
                <w:sz w:val="20"/>
                <w:szCs w:val="20"/>
                <w:highlight w:val="none"/>
              </w:rPr>
            </w:pPr>
            <w:r>
              <w:rPr>
                <w:rFonts w:hint="eastAsia"/>
                <w:color w:val="auto"/>
                <w:sz w:val="20"/>
                <w:szCs w:val="20"/>
                <w:highlight w:val="none"/>
              </w:rPr>
              <w:t>水表性能及参数指标优越、计量精度</w:t>
            </w:r>
            <w:r>
              <w:rPr>
                <w:rFonts w:hint="eastAsia"/>
                <w:color w:val="auto"/>
                <w:sz w:val="20"/>
                <w:szCs w:val="20"/>
                <w:highlight w:val="none"/>
                <w:lang w:val="en-US" w:eastAsia="zh-Hans"/>
              </w:rPr>
              <w:t>最高</w:t>
            </w:r>
            <w:r>
              <w:rPr>
                <w:rFonts w:hint="eastAsia"/>
                <w:color w:val="auto"/>
                <w:sz w:val="20"/>
                <w:szCs w:val="20"/>
                <w:highlight w:val="none"/>
              </w:rPr>
              <w:t>得3分；</w:t>
            </w:r>
          </w:p>
          <w:p>
            <w:pPr>
              <w:rPr>
                <w:color w:val="auto"/>
                <w:sz w:val="20"/>
                <w:szCs w:val="20"/>
                <w:highlight w:val="none"/>
              </w:rPr>
            </w:pPr>
            <w:r>
              <w:rPr>
                <w:rFonts w:hint="eastAsia"/>
                <w:color w:val="auto"/>
                <w:sz w:val="20"/>
                <w:szCs w:val="20"/>
                <w:highlight w:val="none"/>
              </w:rPr>
              <w:t>水表性能及参数指标较优越、计量精度</w:t>
            </w:r>
            <w:r>
              <w:rPr>
                <w:rFonts w:hint="eastAsia"/>
                <w:color w:val="auto"/>
                <w:sz w:val="20"/>
                <w:szCs w:val="20"/>
                <w:highlight w:val="none"/>
                <w:lang w:val="en-US" w:eastAsia="zh-Hans"/>
              </w:rPr>
              <w:t>一般</w:t>
            </w:r>
            <w:r>
              <w:rPr>
                <w:rFonts w:hint="eastAsia"/>
                <w:color w:val="auto"/>
                <w:sz w:val="20"/>
                <w:szCs w:val="20"/>
                <w:highlight w:val="none"/>
              </w:rPr>
              <w:t>得2分；</w:t>
            </w:r>
          </w:p>
          <w:p>
            <w:pPr>
              <w:rPr>
                <w:color w:val="auto"/>
                <w:sz w:val="20"/>
                <w:szCs w:val="20"/>
                <w:highlight w:val="none"/>
              </w:rPr>
            </w:pPr>
            <w:r>
              <w:rPr>
                <w:rFonts w:hint="eastAsia"/>
                <w:color w:val="auto"/>
                <w:sz w:val="20"/>
                <w:szCs w:val="20"/>
                <w:highlight w:val="none"/>
              </w:rPr>
              <w:t>水表性能及参数指标一般、计量精度</w:t>
            </w:r>
            <w:r>
              <w:rPr>
                <w:rFonts w:hint="eastAsia"/>
                <w:color w:val="auto"/>
                <w:sz w:val="20"/>
                <w:szCs w:val="20"/>
                <w:highlight w:val="none"/>
                <w:lang w:val="en-US" w:eastAsia="zh-Hans"/>
              </w:rPr>
              <w:t>较差</w:t>
            </w:r>
            <w:r>
              <w:rPr>
                <w:rFonts w:hint="eastAsia"/>
                <w:color w:val="auto"/>
                <w:sz w:val="20"/>
                <w:szCs w:val="20"/>
                <w:highlight w:val="none"/>
              </w:rPr>
              <w:t>得1分。</w:t>
            </w:r>
          </w:p>
          <w:p>
            <w:pPr>
              <w:pStyle w:val="7"/>
              <w:ind w:left="0" w:leftChars="0" w:firstLine="0" w:firstLineChars="0"/>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2、</w:t>
            </w:r>
            <w:r>
              <w:rPr>
                <w:rFonts w:hint="eastAsia" w:ascii="微软雅黑" w:hAnsi="微软雅黑" w:eastAsia="微软雅黑" w:cs="微软雅黑"/>
                <w:color w:val="auto"/>
                <w:sz w:val="20"/>
                <w:szCs w:val="20"/>
                <w:highlight w:val="none"/>
              </w:rPr>
              <w:t>投标人</w:t>
            </w:r>
            <w:r>
              <w:rPr>
                <w:rFonts w:hint="eastAsia" w:ascii="微软雅黑" w:hAnsi="微软雅黑" w:cs="微软雅黑"/>
                <w:color w:val="auto"/>
                <w:sz w:val="20"/>
                <w:szCs w:val="20"/>
                <w:highlight w:val="none"/>
                <w:lang w:eastAsia="zh-CN"/>
              </w:rPr>
              <w:t>提供</w:t>
            </w:r>
            <w:r>
              <w:rPr>
                <w:rFonts w:hint="eastAsia" w:ascii="微软雅黑" w:hAnsi="微软雅黑" w:eastAsia="微软雅黑" w:cs="微软雅黑"/>
                <w:color w:val="auto"/>
                <w:sz w:val="20"/>
                <w:szCs w:val="20"/>
                <w:highlight w:val="none"/>
              </w:rPr>
              <w:t>水表“型式评价报告”</w:t>
            </w:r>
            <w:r>
              <w:rPr>
                <w:rFonts w:hint="eastAsia" w:ascii="微软雅黑" w:hAnsi="微软雅黑" w:cs="微软雅黑"/>
                <w:color w:val="auto"/>
                <w:sz w:val="20"/>
                <w:szCs w:val="20"/>
                <w:highlight w:val="none"/>
                <w:lang w:eastAsia="zh-CN"/>
              </w:rPr>
              <w:t>（</w:t>
            </w:r>
            <w:r>
              <w:rPr>
                <w:rFonts w:hint="eastAsia" w:ascii="微软雅黑" w:hAnsi="微软雅黑" w:eastAsia="微软雅黑" w:cs="微软雅黑"/>
                <w:color w:val="auto"/>
                <w:sz w:val="20"/>
                <w:szCs w:val="20"/>
                <w:highlight w:val="none"/>
              </w:rPr>
              <w:t>关键零部件和材料</w:t>
            </w:r>
            <w:r>
              <w:rPr>
                <w:rFonts w:hint="eastAsia" w:ascii="微软雅黑" w:hAnsi="微软雅黑" w:cs="微软雅黑"/>
                <w:color w:val="auto"/>
                <w:sz w:val="20"/>
                <w:szCs w:val="20"/>
                <w:highlight w:val="none"/>
                <w:lang w:val="en-US" w:eastAsia="zh-Hans"/>
              </w:rPr>
              <w:t>须为投标人生产制造</w:t>
            </w:r>
            <w:r>
              <w:rPr>
                <w:rFonts w:hint="eastAsia" w:ascii="微软雅黑" w:hAnsi="微软雅黑" w:cs="微软雅黑"/>
                <w:color w:val="auto"/>
                <w:sz w:val="20"/>
                <w:szCs w:val="20"/>
                <w:highlight w:val="none"/>
                <w:lang w:eastAsia="zh-CN"/>
              </w:rPr>
              <w:t>），每提供一种口径水表的</w:t>
            </w:r>
            <w:r>
              <w:rPr>
                <w:rFonts w:hint="eastAsia" w:ascii="微软雅黑" w:hAnsi="微软雅黑" w:eastAsia="微软雅黑" w:cs="微软雅黑"/>
                <w:color w:val="auto"/>
                <w:sz w:val="20"/>
                <w:szCs w:val="20"/>
                <w:highlight w:val="none"/>
              </w:rPr>
              <w:t>“型式评价报告”</w:t>
            </w:r>
            <w:r>
              <w:rPr>
                <w:rFonts w:hint="eastAsia" w:ascii="微软雅黑" w:hAnsi="微软雅黑" w:cs="微软雅黑"/>
                <w:color w:val="auto"/>
                <w:sz w:val="20"/>
                <w:szCs w:val="20"/>
                <w:highlight w:val="none"/>
                <w:lang w:eastAsia="zh-CN"/>
              </w:rPr>
              <w:t>得</w:t>
            </w:r>
            <w:r>
              <w:rPr>
                <w:rFonts w:hint="eastAsia" w:ascii="微软雅黑" w:hAnsi="微软雅黑" w:cs="微软雅黑"/>
                <w:color w:val="auto"/>
                <w:sz w:val="20"/>
                <w:szCs w:val="20"/>
                <w:highlight w:val="none"/>
                <w:lang w:val="en-US" w:eastAsia="zh-CN"/>
              </w:rPr>
              <w:t>0.5分 共</w:t>
            </w:r>
            <w:r>
              <w:rPr>
                <w:rFonts w:hint="eastAsia" w:ascii="微软雅黑" w:hAnsi="微软雅黑" w:eastAsia="微软雅黑" w:cs="微软雅黑"/>
                <w:color w:val="auto"/>
                <w:sz w:val="20"/>
                <w:szCs w:val="20"/>
                <w:highlight w:val="none"/>
              </w:rPr>
              <w:t>2分。</w:t>
            </w:r>
          </w:p>
          <w:p>
            <w:pPr>
              <w:pStyle w:val="7"/>
              <w:ind w:left="0" w:leftChars="0" w:firstLine="0" w:firstLineChars="0"/>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注：投标人</w:t>
            </w:r>
            <w:r>
              <w:rPr>
                <w:rFonts w:hint="eastAsia" w:ascii="微软雅黑" w:hAnsi="微软雅黑" w:cs="微软雅黑"/>
                <w:color w:val="auto"/>
                <w:sz w:val="20"/>
                <w:szCs w:val="20"/>
                <w:highlight w:val="none"/>
                <w:lang w:val="en-US" w:eastAsia="zh-Hans"/>
              </w:rPr>
              <w:t>须</w:t>
            </w:r>
            <w:r>
              <w:rPr>
                <w:rFonts w:hint="eastAsia" w:ascii="微软雅黑" w:hAnsi="微软雅黑" w:eastAsia="微软雅黑" w:cs="微软雅黑"/>
                <w:color w:val="auto"/>
                <w:sz w:val="20"/>
                <w:szCs w:val="20"/>
                <w:highlight w:val="none"/>
              </w:rPr>
              <w:t>提供水表的“计量器具型式评价报告”复印件并加盖投标人公章</w:t>
            </w:r>
            <w:r>
              <w:rPr>
                <w:rFonts w:hint="default" w:ascii="微软雅黑" w:hAnsi="微软雅黑" w:cs="微软雅黑"/>
                <w:color w:val="auto"/>
                <w:sz w:val="20"/>
                <w:szCs w:val="20"/>
                <w:highlight w:val="none"/>
              </w:rPr>
              <w:t>。</w:t>
            </w:r>
          </w:p>
          <w:p>
            <w:pPr>
              <w:pStyle w:val="7"/>
              <w:ind w:left="0" w:leftChars="0" w:firstLine="0" w:firstLineChars="0"/>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3投标人可以制造1级准确度的水表产品或“Q3/Q1”指标≥R500水表产品的，得1分。</w:t>
            </w:r>
          </w:p>
          <w:p>
            <w:pPr>
              <w:pStyle w:val="7"/>
              <w:ind w:firstLine="0"/>
              <w:rPr>
                <w:rFonts w:ascii="微软雅黑" w:hAnsi="微软雅黑" w:cs="微软雅黑"/>
                <w:color w:val="auto"/>
                <w:sz w:val="20"/>
                <w:szCs w:val="20"/>
                <w:highlight w:val="none"/>
              </w:rPr>
            </w:pPr>
            <w:r>
              <w:rPr>
                <w:rFonts w:hint="eastAsia" w:ascii="微软雅黑" w:hAnsi="微软雅黑" w:eastAsia="微软雅黑" w:cs="微软雅黑"/>
                <w:color w:val="auto"/>
                <w:sz w:val="20"/>
                <w:szCs w:val="20"/>
                <w:highlight w:val="none"/>
              </w:rPr>
              <w:t>注：投标人须提供</w:t>
            </w:r>
            <w:r>
              <w:rPr>
                <w:rFonts w:hint="eastAsia" w:ascii="微软雅黑" w:hAnsi="微软雅黑" w:cs="微软雅黑"/>
                <w:color w:val="auto"/>
                <w:sz w:val="20"/>
                <w:szCs w:val="20"/>
                <w:highlight w:val="none"/>
                <w:lang w:eastAsia="zh-CN"/>
              </w:rPr>
              <w:t>相关证书</w:t>
            </w:r>
            <w:r>
              <w:rPr>
                <w:rFonts w:hint="eastAsia" w:ascii="微软雅黑" w:hAnsi="微软雅黑" w:eastAsia="微软雅黑" w:cs="微软雅黑"/>
                <w:color w:val="auto"/>
                <w:sz w:val="20"/>
                <w:szCs w:val="20"/>
                <w:highlight w:val="none"/>
              </w:rPr>
              <w:t>复印件加盖投标人公章。</w:t>
            </w:r>
          </w:p>
        </w:tc>
        <w:tc>
          <w:tcPr>
            <w:tcW w:w="654"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sz w:val="20"/>
                <w:szCs w:val="20"/>
                <w:highlight w:val="none"/>
              </w:rPr>
            </w:pPr>
            <w:r>
              <w:rPr>
                <w:rFonts w:ascii="微软雅黑" w:hAnsi="微软雅黑" w:cs="微软雅黑"/>
                <w:color w:val="auto"/>
                <w:sz w:val="20"/>
                <w:szCs w:val="20"/>
                <w:highlight w:val="none"/>
              </w:rPr>
              <w:t>6</w:t>
            </w:r>
            <w:r>
              <w:rPr>
                <w:rFonts w:hint="eastAsia" w:ascii="微软雅黑" w:hAnsi="微软雅黑" w:cs="微软雅黑"/>
                <w:color w:val="auto"/>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93" w:type="dxa"/>
            <w:vMerge w:val="continue"/>
            <w:tcBorders>
              <w:left w:val="single" w:color="auto" w:sz="4" w:space="0"/>
              <w:right w:val="single" w:color="auto" w:sz="4" w:space="0"/>
            </w:tcBorders>
            <w:vAlign w:val="center"/>
          </w:tcPr>
          <w:p>
            <w:pPr>
              <w:spacing w:after="0"/>
              <w:rPr>
                <w:rFonts w:ascii="微软雅黑" w:hAnsi="微软雅黑" w:cs="微软雅黑"/>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color w:val="auto"/>
                <w:sz w:val="20"/>
                <w:szCs w:val="20"/>
              </w:rPr>
            </w:pPr>
            <w:r>
              <w:rPr>
                <w:rFonts w:hint="eastAsia" w:ascii="微软雅黑" w:hAnsi="微软雅黑" w:cs="微软雅黑"/>
                <w:color w:val="auto"/>
                <w:sz w:val="20"/>
                <w:szCs w:val="20"/>
              </w:rPr>
              <w:t>售后方案</w:t>
            </w:r>
          </w:p>
        </w:tc>
        <w:tc>
          <w:tcPr>
            <w:tcW w:w="6832" w:type="dxa"/>
            <w:tcBorders>
              <w:top w:val="single" w:color="auto" w:sz="4" w:space="0"/>
              <w:left w:val="single" w:color="auto" w:sz="4" w:space="0"/>
              <w:bottom w:val="single" w:color="auto" w:sz="4" w:space="0"/>
              <w:right w:val="single" w:color="auto" w:sz="4" w:space="0"/>
            </w:tcBorders>
            <w:vAlign w:val="center"/>
          </w:tcPr>
          <w:p>
            <w:pPr>
              <w:pStyle w:val="24"/>
              <w:ind w:left="1" w:firstLine="0" w:firstLineChars="0"/>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(1)按服务措施、服务承诺（处理问题响应时间、零部件提供时间等）、违约承诺、设备巡检与人员培训等方面对投标人提供的售后服务方案进行综合对比：</w:t>
            </w:r>
            <w:r>
              <w:rPr>
                <w:rFonts w:hint="default" w:ascii="微软雅黑" w:hAnsi="微软雅黑" w:eastAsia="微软雅黑" w:cs="微软雅黑"/>
                <w:color w:val="auto"/>
                <w:sz w:val="20"/>
                <w:szCs w:val="20"/>
              </w:rPr>
              <w:t>å</w:t>
            </w:r>
          </w:p>
          <w:p>
            <w:pPr>
              <w:pStyle w:val="24"/>
              <w:ind w:left="1" w:firstLine="0" w:firstLineChars="0"/>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方案对比最优得6 分；</w:t>
            </w:r>
          </w:p>
          <w:p>
            <w:pPr>
              <w:pStyle w:val="24"/>
              <w:ind w:left="1" w:firstLine="0" w:firstLineChars="0"/>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方案对比良好得4 分；</w:t>
            </w:r>
          </w:p>
          <w:p>
            <w:pPr>
              <w:pStyle w:val="24"/>
              <w:ind w:left="1" w:firstLine="0" w:firstLineChars="0"/>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方案对比一般得2 分。</w:t>
            </w:r>
          </w:p>
          <w:p>
            <w:pPr>
              <w:pStyle w:val="24"/>
              <w:ind w:left="1" w:firstLine="0" w:firstLineChars="0"/>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(2)投标人在广东省内设有固定办事机构及拥有储备仓库的得1分，其他或不能提供得0分(见注①)；</w:t>
            </w:r>
          </w:p>
          <w:p>
            <w:pPr>
              <w:pStyle w:val="24"/>
              <w:ind w:left="1" w:firstLine="0" w:firstLineChars="0"/>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(3)投标人在广东省办事机构的具有专业售后技术服务人员队伍情况的，得1分，其他或不能提供得0分（见注②）。</w:t>
            </w:r>
          </w:p>
          <w:p>
            <w:pPr>
              <w:pStyle w:val="24"/>
              <w:ind w:left="1" w:firstLine="0" w:firstLineChars="0"/>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注①：同时提供办事机构及仓库的租赁证明、租赁发票或产权证明；</w:t>
            </w:r>
          </w:p>
          <w:p>
            <w:pPr>
              <w:pStyle w:val="24"/>
              <w:ind w:left="1" w:firstLine="0" w:firstLineChars="0"/>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注②：技术服务人员证明：需加盖固定办事机构当地政府有关部门印章的打印日期在本项目报名截止日之前3个月以内的《投保单》或《社会保险参保人员证明》，或单位代缴个人所得税税单等。</w:t>
            </w:r>
          </w:p>
        </w:tc>
        <w:tc>
          <w:tcPr>
            <w:tcW w:w="654"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sz w:val="20"/>
                <w:szCs w:val="20"/>
              </w:rPr>
            </w:pPr>
            <w:r>
              <w:rPr>
                <w:rFonts w:hint="eastAsia" w:ascii="微软雅黑" w:hAnsi="微软雅黑" w:cs="微软雅黑"/>
                <w:color w:val="auto"/>
                <w:sz w:val="20"/>
                <w:szCs w:val="2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393" w:type="dxa"/>
            <w:vMerge w:val="continue"/>
            <w:tcBorders>
              <w:left w:val="single" w:color="auto" w:sz="4" w:space="0"/>
              <w:right w:val="single" w:color="auto" w:sz="4" w:space="0"/>
            </w:tcBorders>
            <w:vAlign w:val="center"/>
          </w:tcPr>
          <w:p>
            <w:pPr>
              <w:spacing w:after="0"/>
              <w:rPr>
                <w:rFonts w:ascii="微软雅黑" w:hAnsi="微软雅黑" w:cs="微软雅黑"/>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微软雅黑" w:hAnsi="微软雅黑" w:cs="微软雅黑"/>
                <w:color w:val="auto"/>
                <w:sz w:val="20"/>
                <w:szCs w:val="20"/>
              </w:rPr>
            </w:pPr>
            <w:r>
              <w:rPr>
                <w:rFonts w:hint="eastAsia" w:ascii="微软雅黑" w:hAnsi="微软雅黑" w:cs="微软雅黑"/>
                <w:color w:val="auto"/>
                <w:sz w:val="20"/>
                <w:szCs w:val="20"/>
              </w:rPr>
              <w:t>数据兼容性</w:t>
            </w:r>
          </w:p>
        </w:tc>
        <w:tc>
          <w:tcPr>
            <w:tcW w:w="6832"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60" w:lineRule="auto"/>
              <w:rPr>
                <w:rFonts w:hint="eastAsia" w:ascii="微软雅黑" w:hAnsi="微软雅黑" w:cs="微软雅黑"/>
                <w:color w:val="auto"/>
                <w:sz w:val="20"/>
                <w:szCs w:val="20"/>
              </w:rPr>
            </w:pPr>
            <w:r>
              <w:rPr>
                <w:rFonts w:hint="eastAsia" w:ascii="微软雅黑" w:hAnsi="微软雅黑" w:cs="微软雅黑"/>
                <w:color w:val="auto"/>
                <w:sz w:val="20"/>
                <w:szCs w:val="20"/>
              </w:rPr>
              <w:t>向招标人免费提供的抄表平台、抄表网关等符合国家相关规定，</w:t>
            </w:r>
            <w:r>
              <w:rPr>
                <w:rFonts w:hint="eastAsia" w:ascii="微软雅黑" w:hAnsi="微软雅黑" w:cs="微软雅黑"/>
                <w:color w:val="auto"/>
                <w:sz w:val="20"/>
                <w:szCs w:val="20"/>
                <w:lang w:val="en-US" w:eastAsia="zh-Hans"/>
              </w:rPr>
              <w:t>且</w:t>
            </w:r>
            <w:r>
              <w:rPr>
                <w:rFonts w:hint="eastAsia" w:ascii="微软雅黑" w:hAnsi="微软雅黑" w:cs="微软雅黑"/>
                <w:color w:val="auto"/>
                <w:sz w:val="20"/>
                <w:szCs w:val="20"/>
              </w:rPr>
              <w:t>承诺本次招标水表采集的数据可直接发送招标人指定系统，不得外泄、使用</w:t>
            </w:r>
            <w:r>
              <w:rPr>
                <w:rFonts w:hint="eastAsia" w:ascii="微软雅黑" w:hAnsi="微软雅黑" w:cs="微软雅黑"/>
                <w:color w:val="auto"/>
                <w:sz w:val="20"/>
                <w:szCs w:val="20"/>
                <w:lang w:val="en-US" w:eastAsia="zh-Hans"/>
              </w:rPr>
              <w:t>的</w:t>
            </w:r>
            <w:r>
              <w:rPr>
                <w:rFonts w:hint="default" w:ascii="微软雅黑" w:hAnsi="微软雅黑" w:cs="微软雅黑"/>
                <w:color w:val="auto"/>
                <w:sz w:val="20"/>
                <w:szCs w:val="20"/>
                <w:lang w:eastAsia="zh-Hans"/>
              </w:rPr>
              <w:t>，</w:t>
            </w:r>
            <w:r>
              <w:rPr>
                <w:rFonts w:hint="eastAsia" w:ascii="微软雅黑" w:hAnsi="微软雅黑" w:cs="微软雅黑"/>
                <w:color w:val="auto"/>
                <w:sz w:val="20"/>
                <w:szCs w:val="20"/>
                <w:lang w:val="en-US" w:eastAsia="zh-Hans"/>
              </w:rPr>
              <w:t>得</w:t>
            </w:r>
            <w:r>
              <w:rPr>
                <w:rFonts w:hint="default" w:ascii="微软雅黑" w:hAnsi="微软雅黑" w:cs="微软雅黑"/>
                <w:color w:val="auto"/>
                <w:sz w:val="20"/>
                <w:szCs w:val="20"/>
                <w:lang w:eastAsia="zh-Hans"/>
              </w:rPr>
              <w:t>2</w:t>
            </w:r>
            <w:r>
              <w:rPr>
                <w:rFonts w:hint="eastAsia" w:ascii="微软雅黑" w:hAnsi="微软雅黑" w:cs="微软雅黑"/>
                <w:color w:val="auto"/>
                <w:sz w:val="20"/>
                <w:szCs w:val="20"/>
                <w:lang w:val="en-US" w:eastAsia="zh-Hans"/>
              </w:rPr>
              <w:t>分</w:t>
            </w:r>
            <w:r>
              <w:rPr>
                <w:rFonts w:hint="eastAsia" w:ascii="微软雅黑" w:hAnsi="微软雅黑" w:cs="微软雅黑"/>
                <w:color w:val="auto"/>
                <w:sz w:val="20"/>
                <w:szCs w:val="20"/>
              </w:rPr>
              <w:t>。</w:t>
            </w:r>
          </w:p>
          <w:p>
            <w:pPr>
              <w:numPr>
                <w:ilvl w:val="-1"/>
                <w:numId w:val="0"/>
              </w:numPr>
              <w:spacing w:line="360" w:lineRule="auto"/>
              <w:rPr>
                <w:rFonts w:ascii="微软雅黑" w:hAnsi="微软雅黑" w:cs="微软雅黑"/>
                <w:color w:val="auto"/>
                <w:sz w:val="20"/>
                <w:szCs w:val="20"/>
              </w:rPr>
            </w:pPr>
            <w:r>
              <w:rPr>
                <w:rFonts w:hint="eastAsia" w:ascii="微软雅黑" w:hAnsi="微软雅黑" w:cs="微软雅黑"/>
                <w:color w:val="auto"/>
                <w:sz w:val="20"/>
                <w:szCs w:val="20"/>
                <w:lang w:val="en-US" w:eastAsia="zh-Hans"/>
              </w:rPr>
              <w:t>注</w:t>
            </w:r>
            <w:r>
              <w:rPr>
                <w:rFonts w:hint="default" w:ascii="微软雅黑" w:hAnsi="微软雅黑" w:cs="微软雅黑"/>
                <w:color w:val="auto"/>
                <w:sz w:val="20"/>
                <w:szCs w:val="20"/>
                <w:lang w:eastAsia="zh-Hans"/>
              </w:rPr>
              <w:t>：</w:t>
            </w:r>
            <w:r>
              <w:rPr>
                <w:rFonts w:hint="eastAsia" w:ascii="微软雅黑" w:hAnsi="微软雅黑" w:cs="微软雅黑"/>
                <w:color w:val="auto"/>
                <w:sz w:val="20"/>
                <w:szCs w:val="20"/>
                <w:lang w:val="en-US" w:eastAsia="zh-Hans"/>
              </w:rPr>
              <w:t>需提供承诺函并加盖公章</w:t>
            </w:r>
            <w:r>
              <w:rPr>
                <w:rFonts w:hint="default" w:ascii="微软雅黑" w:hAnsi="微软雅黑" w:cs="微软雅黑"/>
                <w:color w:val="auto"/>
                <w:sz w:val="20"/>
                <w:szCs w:val="20"/>
                <w:lang w:eastAsia="zh-Hans"/>
              </w:rPr>
              <w:t>。</w:t>
            </w:r>
          </w:p>
        </w:tc>
        <w:tc>
          <w:tcPr>
            <w:tcW w:w="654"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sz w:val="20"/>
                <w:szCs w:val="20"/>
              </w:rPr>
            </w:pPr>
            <w:r>
              <w:rPr>
                <w:rFonts w:hint="eastAsia" w:ascii="微软雅黑" w:hAnsi="微软雅黑" w:cs="微软雅黑"/>
                <w:color w:val="auto"/>
                <w:sz w:val="20"/>
                <w:szCs w:val="2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93" w:type="dxa"/>
            <w:vMerge w:val="continue"/>
            <w:tcBorders>
              <w:left w:val="single" w:color="auto" w:sz="4" w:space="0"/>
              <w:right w:val="single" w:color="auto" w:sz="4" w:space="0"/>
            </w:tcBorders>
            <w:vAlign w:val="center"/>
          </w:tcPr>
          <w:p>
            <w:pPr>
              <w:spacing w:after="0"/>
              <w:rPr>
                <w:rFonts w:ascii="微软雅黑" w:hAnsi="微软雅黑" w:cs="微软雅黑"/>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微软雅黑" w:hAnsi="微软雅黑" w:cs="微软雅黑"/>
                <w:color w:val="auto"/>
                <w:sz w:val="20"/>
                <w:szCs w:val="20"/>
              </w:rPr>
            </w:pPr>
            <w:r>
              <w:rPr>
                <w:rFonts w:hint="eastAsia" w:ascii="微软雅黑" w:hAnsi="微软雅黑" w:cs="微软雅黑"/>
                <w:color w:val="auto"/>
                <w:sz w:val="20"/>
                <w:szCs w:val="20"/>
              </w:rPr>
              <w:t>生产设备的配置情况</w:t>
            </w:r>
          </w:p>
        </w:tc>
        <w:tc>
          <w:tcPr>
            <w:tcW w:w="6832" w:type="dxa"/>
            <w:tcBorders>
              <w:top w:val="single" w:color="auto" w:sz="4" w:space="0"/>
              <w:left w:val="single" w:color="auto" w:sz="4" w:space="0"/>
              <w:bottom w:val="single" w:color="auto" w:sz="4" w:space="0"/>
              <w:right w:val="single" w:color="auto" w:sz="4" w:space="0"/>
            </w:tcBorders>
            <w:vAlign w:val="center"/>
          </w:tcPr>
          <w:p>
            <w:pPr>
              <w:spacing w:after="0"/>
              <w:rPr>
                <w:color w:val="auto"/>
              </w:rPr>
            </w:pPr>
            <w:r>
              <w:rPr>
                <w:rFonts w:hint="eastAsia"/>
                <w:color w:val="auto"/>
              </w:rPr>
              <w:t>生产设备设施、制造工艺的先进性，质量检测设备及质量管控措施，须提供生产设备（包括贴片机、数控机床、水表机芯自动装配线、流水线）、水表检定装置和校验台的实物清晰照片和设备购置发票复印件以及生产、检验车间实景清晰照片（照片须附详细介绍说明，对生产能力、设备先进性、自动化程度、工艺流程、质量控制进行评审）。</w:t>
            </w:r>
          </w:p>
          <w:p>
            <w:pPr>
              <w:spacing w:after="0"/>
              <w:rPr>
                <w:color w:val="auto"/>
              </w:rPr>
            </w:pPr>
            <w:r>
              <w:rPr>
                <w:rFonts w:hint="eastAsia"/>
                <w:color w:val="auto"/>
              </w:rPr>
              <w:t>评为优秀得10分：生产能力强、设备先进、生产自动化程度高，工艺流程控制严格，质检手段完善。</w:t>
            </w:r>
          </w:p>
          <w:p>
            <w:pPr>
              <w:spacing w:after="0"/>
              <w:rPr>
                <w:color w:val="auto"/>
              </w:rPr>
            </w:pPr>
            <w:r>
              <w:rPr>
                <w:rFonts w:hint="eastAsia"/>
                <w:color w:val="auto"/>
              </w:rPr>
              <w:t>评为良好得7分：生产能力一般、设备及生产自动化程度一般、具备一定工艺流程控制能力。</w:t>
            </w:r>
          </w:p>
          <w:p>
            <w:pPr>
              <w:spacing w:after="0"/>
              <w:rPr>
                <w:color w:val="auto"/>
              </w:rPr>
            </w:pPr>
            <w:r>
              <w:rPr>
                <w:rFonts w:hint="eastAsia"/>
                <w:color w:val="auto"/>
              </w:rPr>
              <w:t>评为一般得4分：生产能力较小、生产自动化程度较低、未有相应工艺流程控制措施。</w:t>
            </w:r>
          </w:p>
          <w:p>
            <w:pPr>
              <w:spacing w:after="0"/>
              <w:rPr>
                <w:color w:val="auto"/>
              </w:rPr>
            </w:pPr>
            <w:r>
              <w:rPr>
                <w:rFonts w:hint="eastAsia"/>
                <w:color w:val="auto"/>
              </w:rPr>
              <w:t>注：投标人所投产品须具有可溯源的产品生产批号，并提供可追溯生产批号的系统资料。</w:t>
            </w:r>
            <w:r>
              <w:rPr>
                <w:rFonts w:hint="eastAsia"/>
                <w:color w:val="auto"/>
                <w:lang w:val="en-US" w:eastAsia="zh-Hans"/>
              </w:rPr>
              <w:t>若无提供则</w:t>
            </w:r>
            <w:r>
              <w:rPr>
                <w:rFonts w:hint="eastAsia"/>
                <w:color w:val="auto"/>
              </w:rPr>
              <w:t>不得评</w:t>
            </w:r>
            <w:r>
              <w:rPr>
                <w:rFonts w:hint="eastAsia"/>
                <w:color w:val="auto"/>
                <w:lang w:val="en-US" w:eastAsia="zh-Hans"/>
              </w:rPr>
              <w:t>为</w:t>
            </w:r>
            <w:r>
              <w:rPr>
                <w:rFonts w:hint="eastAsia"/>
                <w:color w:val="auto"/>
              </w:rPr>
              <w:t>优</w:t>
            </w:r>
            <w:r>
              <w:rPr>
                <w:rFonts w:hint="eastAsia"/>
                <w:color w:val="auto"/>
                <w:lang w:val="en-US" w:eastAsia="zh-Hans"/>
              </w:rPr>
              <w:t>秀</w:t>
            </w:r>
            <w:r>
              <w:rPr>
                <w:rFonts w:hint="eastAsia"/>
                <w:color w:val="auto"/>
              </w:rPr>
              <w:t>。</w:t>
            </w:r>
          </w:p>
          <w:p>
            <w:pPr>
              <w:spacing w:after="0"/>
              <w:rPr>
                <w:color w:val="auto"/>
              </w:rPr>
            </w:pPr>
          </w:p>
        </w:tc>
        <w:tc>
          <w:tcPr>
            <w:tcW w:w="654"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sz w:val="20"/>
                <w:szCs w:val="20"/>
              </w:rPr>
            </w:pPr>
          </w:p>
          <w:p>
            <w:pPr>
              <w:spacing w:after="0"/>
              <w:rPr>
                <w:rFonts w:ascii="微软雅黑" w:hAnsi="微软雅黑" w:cs="微软雅黑"/>
                <w:color w:val="auto"/>
                <w:sz w:val="20"/>
                <w:szCs w:val="20"/>
              </w:rPr>
            </w:pPr>
            <w:r>
              <w:rPr>
                <w:rFonts w:ascii="微软雅黑" w:hAnsi="微软雅黑" w:cs="微软雅黑"/>
                <w:color w:val="auto"/>
                <w:sz w:val="20"/>
                <w:szCs w:val="20"/>
              </w:rPr>
              <w:t>1</w:t>
            </w:r>
            <w:r>
              <w:rPr>
                <w:rFonts w:hint="eastAsia" w:ascii="微软雅黑" w:hAnsi="微软雅黑" w:cs="微软雅黑"/>
                <w:color w:val="auto"/>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93" w:type="dxa"/>
            <w:vMerge w:val="restart"/>
            <w:tcBorders>
              <w:left w:val="single" w:color="auto" w:sz="4" w:space="0"/>
              <w:right w:val="single" w:color="auto" w:sz="4" w:space="0"/>
            </w:tcBorders>
            <w:vAlign w:val="center"/>
          </w:tcPr>
          <w:p>
            <w:pPr>
              <w:spacing w:after="0"/>
              <w:jc w:val="center"/>
              <w:rPr>
                <w:rFonts w:ascii="微软雅黑" w:hAnsi="微软雅黑" w:cs="微软雅黑"/>
                <w:sz w:val="20"/>
                <w:szCs w:val="20"/>
              </w:rPr>
            </w:pPr>
            <w:r>
              <w:rPr>
                <w:rFonts w:hint="eastAsia" w:ascii="微软雅黑" w:hAnsi="微软雅黑" w:cs="微软雅黑"/>
                <w:sz w:val="20"/>
                <w:szCs w:val="20"/>
              </w:rPr>
              <w:t>商务分</w:t>
            </w:r>
          </w:p>
          <w:p>
            <w:pPr>
              <w:spacing w:after="0"/>
              <w:jc w:val="center"/>
              <w:rPr>
                <w:rFonts w:ascii="微软雅黑" w:hAnsi="微软雅黑" w:cs="微软雅黑"/>
                <w:sz w:val="20"/>
                <w:szCs w:val="20"/>
              </w:rPr>
            </w:pPr>
            <w:r>
              <w:rPr>
                <w:rFonts w:hint="eastAsia" w:ascii="微软雅黑" w:hAnsi="微软雅黑" w:cs="微软雅黑"/>
                <w:sz w:val="20"/>
                <w:szCs w:val="20"/>
              </w:rPr>
              <w:t>（20分）</w:t>
            </w:r>
          </w:p>
        </w:tc>
        <w:tc>
          <w:tcPr>
            <w:tcW w:w="126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微软雅黑" w:hAnsi="微软雅黑" w:cs="微软雅黑"/>
                <w:color w:val="auto"/>
                <w:sz w:val="20"/>
                <w:szCs w:val="20"/>
                <w:highlight w:val="none"/>
              </w:rPr>
            </w:pPr>
            <w:r>
              <w:rPr>
                <w:rFonts w:hint="eastAsia" w:ascii="微软雅黑" w:hAnsi="微软雅黑" w:cs="微软雅黑"/>
                <w:color w:val="auto"/>
                <w:sz w:val="20"/>
                <w:szCs w:val="20"/>
                <w:highlight w:val="none"/>
              </w:rPr>
              <w:t>NBIOT无线远传水表业绩证明</w:t>
            </w:r>
          </w:p>
        </w:tc>
        <w:tc>
          <w:tcPr>
            <w:tcW w:w="6832"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sz w:val="20"/>
                <w:szCs w:val="20"/>
                <w:highlight w:val="none"/>
              </w:rPr>
            </w:pPr>
            <w:r>
              <w:rPr>
                <w:rFonts w:hint="eastAsia" w:ascii="微软雅黑" w:hAnsi="微软雅黑" w:cs="微软雅黑"/>
                <w:color w:val="auto"/>
                <w:sz w:val="20"/>
                <w:szCs w:val="20"/>
                <w:highlight w:val="none"/>
              </w:rPr>
              <w:t>投标人提供所投品牌水表（含制造商或经销商）近三年与国内省会级、直辖市城市公共供水企业或广东省供水行业内公共供水企业（不包括自建设施供水）签订含有NBIOT无线远传水表业绩证明。</w:t>
            </w:r>
          </w:p>
          <w:p>
            <w:pPr>
              <w:spacing w:after="0"/>
              <w:rPr>
                <w:rFonts w:ascii="微软雅黑" w:hAnsi="微软雅黑" w:cs="微软雅黑"/>
                <w:color w:val="auto"/>
                <w:sz w:val="20"/>
                <w:szCs w:val="20"/>
                <w:highlight w:val="none"/>
              </w:rPr>
            </w:pPr>
            <w:r>
              <w:rPr>
                <w:rFonts w:hint="eastAsia" w:ascii="微软雅黑" w:hAnsi="微软雅黑" w:cs="微软雅黑"/>
                <w:color w:val="auto"/>
                <w:sz w:val="20"/>
                <w:szCs w:val="20"/>
                <w:highlight w:val="none"/>
              </w:rPr>
              <w:t>每提供一个业绩合同金额≥人民币500万元的业绩证明的，得2分，本项最高得1</w:t>
            </w:r>
            <w:r>
              <w:rPr>
                <w:rFonts w:hint="eastAsia" w:ascii="微软雅黑" w:hAnsi="微软雅黑" w:cs="微软雅黑"/>
                <w:color w:val="auto"/>
                <w:sz w:val="20"/>
                <w:szCs w:val="20"/>
                <w:highlight w:val="none"/>
                <w:lang w:val="en-US" w:eastAsia="zh-CN"/>
              </w:rPr>
              <w:t>4</w:t>
            </w:r>
            <w:r>
              <w:rPr>
                <w:rFonts w:hint="eastAsia" w:ascii="微软雅黑" w:hAnsi="微软雅黑" w:cs="微软雅黑"/>
                <w:color w:val="auto"/>
                <w:sz w:val="20"/>
                <w:szCs w:val="20"/>
                <w:highlight w:val="none"/>
              </w:rPr>
              <w:t xml:space="preserve">分。业绩证明有重复的，不重复计分。 </w:t>
            </w:r>
          </w:p>
          <w:p>
            <w:pPr>
              <w:spacing w:after="0"/>
              <w:rPr>
                <w:rFonts w:ascii="微软雅黑" w:hAnsi="微软雅黑" w:cs="微软雅黑"/>
                <w:color w:val="auto"/>
                <w:sz w:val="20"/>
                <w:szCs w:val="20"/>
                <w:highlight w:val="none"/>
              </w:rPr>
            </w:pPr>
            <w:r>
              <w:rPr>
                <w:rFonts w:hint="eastAsia" w:ascii="微软雅黑" w:hAnsi="微软雅黑" w:cs="微软雅黑"/>
                <w:color w:val="auto"/>
                <w:sz w:val="20"/>
                <w:szCs w:val="20"/>
                <w:highlight w:val="none"/>
              </w:rPr>
              <w:t>注：业绩证明以合同复印件或中标通知书或使用证明复印件形式提供，复印件并加盖投标人公章。</w:t>
            </w:r>
          </w:p>
        </w:tc>
        <w:tc>
          <w:tcPr>
            <w:tcW w:w="654"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sz w:val="20"/>
                <w:szCs w:val="20"/>
                <w:highlight w:val="none"/>
              </w:rPr>
            </w:pPr>
          </w:p>
          <w:p>
            <w:pPr>
              <w:spacing w:after="0"/>
              <w:rPr>
                <w:rFonts w:ascii="微软雅黑" w:hAnsi="微软雅黑" w:cs="微软雅黑"/>
                <w:color w:val="auto"/>
                <w:sz w:val="20"/>
                <w:szCs w:val="20"/>
                <w:highlight w:val="none"/>
              </w:rPr>
            </w:pPr>
            <w:r>
              <w:rPr>
                <w:rFonts w:hint="eastAsia" w:ascii="微软雅黑" w:hAnsi="微软雅黑" w:cs="微软雅黑"/>
                <w:color w:val="auto"/>
                <w:sz w:val="20"/>
                <w:szCs w:val="20"/>
                <w:highlight w:val="none"/>
              </w:rPr>
              <w:t>1</w:t>
            </w:r>
            <w:r>
              <w:rPr>
                <w:rFonts w:hint="eastAsia" w:ascii="微软雅黑" w:hAnsi="微软雅黑" w:cs="微软雅黑"/>
                <w:color w:val="auto"/>
                <w:sz w:val="20"/>
                <w:szCs w:val="20"/>
                <w:highlight w:val="none"/>
                <w:lang w:val="en-US" w:eastAsia="zh-CN"/>
              </w:rPr>
              <w:t>4</w:t>
            </w:r>
            <w:r>
              <w:rPr>
                <w:rFonts w:hint="eastAsia" w:ascii="微软雅黑" w:hAnsi="微软雅黑" w:cs="微软雅黑"/>
                <w:color w:val="auto"/>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393" w:type="dxa"/>
            <w:vMerge w:val="continue"/>
            <w:tcBorders>
              <w:left w:val="single" w:color="auto" w:sz="4" w:space="0"/>
              <w:right w:val="single" w:color="auto" w:sz="4" w:space="0"/>
            </w:tcBorders>
            <w:vAlign w:val="center"/>
          </w:tcPr>
          <w:p>
            <w:pPr>
              <w:spacing w:after="0"/>
              <w:rPr>
                <w:rFonts w:ascii="微软雅黑" w:hAnsi="微软雅黑" w:cs="微软雅黑"/>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微软雅黑" w:hAnsi="微软雅黑" w:cs="微软雅黑"/>
                <w:color w:val="auto"/>
                <w:sz w:val="20"/>
                <w:szCs w:val="20"/>
                <w:highlight w:val="none"/>
              </w:rPr>
            </w:pPr>
            <w:r>
              <w:rPr>
                <w:rFonts w:hint="eastAsia" w:ascii="微软雅黑" w:hAnsi="微软雅黑" w:cs="微软雅黑"/>
                <w:color w:val="auto"/>
                <w:sz w:val="20"/>
                <w:szCs w:val="20"/>
                <w:highlight w:val="none"/>
              </w:rPr>
              <w:t>企业实力</w:t>
            </w:r>
          </w:p>
        </w:tc>
        <w:tc>
          <w:tcPr>
            <w:tcW w:w="6832"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highlight w:val="none"/>
              </w:rPr>
            </w:pPr>
            <w:r>
              <w:rPr>
                <w:rFonts w:hint="eastAsia" w:ascii="微软雅黑" w:hAnsi="微软雅黑" w:cs="微软雅黑"/>
                <w:color w:val="auto"/>
                <w:highlight w:val="none"/>
              </w:rPr>
              <w:t>投标人具有由国家认证认可监督管理部门批准设立的认证机构颁发并在有效期内的（每项1分）</w:t>
            </w:r>
          </w:p>
          <w:p>
            <w:pPr>
              <w:spacing w:after="0"/>
              <w:rPr>
                <w:rFonts w:ascii="微软雅黑" w:hAnsi="微软雅黑" w:cs="微软雅黑"/>
                <w:color w:val="auto"/>
                <w:highlight w:val="none"/>
              </w:rPr>
            </w:pPr>
            <w:r>
              <w:rPr>
                <w:rFonts w:hint="eastAsia" w:ascii="微软雅黑" w:hAnsi="微软雅黑" w:cs="微软雅黑"/>
                <w:color w:val="auto"/>
                <w:highlight w:val="none"/>
              </w:rPr>
              <w:t>1质量管理体系认证证书；</w:t>
            </w:r>
          </w:p>
          <w:p>
            <w:pPr>
              <w:spacing w:after="0"/>
              <w:rPr>
                <w:rFonts w:hint="eastAsia" w:ascii="微软雅黑" w:hAnsi="微软雅黑" w:cs="微软雅黑"/>
                <w:color w:val="auto"/>
                <w:highlight w:val="none"/>
              </w:rPr>
            </w:pPr>
            <w:r>
              <w:rPr>
                <w:rFonts w:hint="eastAsia" w:ascii="微软雅黑" w:hAnsi="微软雅黑" w:cs="微软雅黑"/>
                <w:color w:val="auto"/>
                <w:highlight w:val="none"/>
              </w:rPr>
              <w:t>2环境管理体系认证证书；</w:t>
            </w:r>
          </w:p>
          <w:p>
            <w:pPr>
              <w:rPr>
                <w:rFonts w:hint="default"/>
                <w:lang w:val="en-US"/>
              </w:rPr>
            </w:pPr>
            <w:r>
              <w:rPr>
                <w:rFonts w:hint="default"/>
                <w:lang w:val="en-US"/>
              </w:rPr>
              <w:t>3</w:t>
            </w:r>
            <w:r>
              <w:rPr>
                <w:rFonts w:hint="eastAsia"/>
              </w:rPr>
              <w:t>职业健康安全管理体系认证</w:t>
            </w:r>
            <w:r>
              <w:rPr>
                <w:rFonts w:hint="eastAsia"/>
                <w:lang w:val="en-US" w:eastAsia="zh-Hans"/>
              </w:rPr>
              <w:t>证书</w:t>
            </w:r>
            <w:r>
              <w:rPr>
                <w:rFonts w:hint="default"/>
                <w:lang w:val="en-US"/>
              </w:rPr>
              <w:t>;</w:t>
            </w:r>
          </w:p>
          <w:p>
            <w:r>
              <w:rPr>
                <w:rFonts w:hint="default"/>
                <w:lang w:val="en-US"/>
              </w:rPr>
              <w:t>4</w:t>
            </w:r>
            <w:r>
              <w:rPr>
                <w:rFonts w:hint="eastAsia"/>
              </w:rPr>
              <w:t>产品任一口径材料必须符合《生活饮用水输配水设备及防护材料卫生安全评价规范》或相关规范要求的规定，同时提供产品符合采购文件或相关规范要求的承诺书。</w:t>
            </w:r>
          </w:p>
          <w:p>
            <w:pPr>
              <w:rPr>
                <w:color w:val="auto"/>
                <w:highlight w:val="none"/>
              </w:rPr>
            </w:pPr>
            <w:r>
              <w:rPr>
                <w:rFonts w:hint="default" w:ascii="微软雅黑" w:hAnsi="微软雅黑" w:cs="微软雅黑"/>
                <w:color w:val="auto"/>
                <w:highlight w:val="none"/>
                <w:lang w:val="en-US"/>
              </w:rPr>
              <w:t>5</w:t>
            </w:r>
            <w:r>
              <w:rPr>
                <w:rFonts w:hint="eastAsia" w:ascii="微软雅黑" w:hAnsi="微软雅黑" w:cs="微软雅黑"/>
                <w:color w:val="auto"/>
                <w:highlight w:val="none"/>
              </w:rPr>
              <w:t>产</w:t>
            </w:r>
            <w:r>
              <w:rPr>
                <w:rFonts w:hint="eastAsia"/>
                <w:color w:val="auto"/>
                <w:highlight w:val="none"/>
              </w:rPr>
              <w:t>品任一口径获得了省级或以上资质的疾控中心出具的检验报告。所有检验结果须符合《生活饮用水输配水设备及防护材料卫生安全评价规范》或CJ 266-2008 《饮用水冷水水表安全规则》要求。</w:t>
            </w:r>
          </w:p>
          <w:p>
            <w:pPr>
              <w:rPr>
                <w:color w:val="auto"/>
                <w:highlight w:val="none"/>
              </w:rPr>
            </w:pPr>
            <w:r>
              <w:rPr>
                <w:rFonts w:hint="default"/>
                <w:color w:val="auto"/>
                <w:highlight w:val="none"/>
                <w:lang w:val="en-US"/>
              </w:rPr>
              <w:t>6</w:t>
            </w:r>
            <w:r>
              <w:rPr>
                <w:rFonts w:hint="eastAsia"/>
                <w:color w:val="auto"/>
                <w:highlight w:val="none"/>
              </w:rPr>
              <w:t>投标人的NB-IoT产品具有国家工信部颁发的“电信设备进网许可证”，得1分，其余不得分。</w:t>
            </w:r>
          </w:p>
          <w:p>
            <w:pPr>
              <w:rPr>
                <w:color w:val="auto"/>
                <w:highlight w:val="none"/>
              </w:rPr>
            </w:pPr>
            <w:r>
              <w:rPr>
                <w:rFonts w:hint="eastAsia"/>
                <w:color w:val="auto"/>
                <w:highlight w:val="none"/>
              </w:rPr>
              <w:t>每项得1分，本项最高得</w:t>
            </w:r>
            <w:r>
              <w:rPr>
                <w:rFonts w:hint="eastAsia"/>
                <w:color w:val="auto"/>
                <w:highlight w:val="none"/>
                <w:lang w:val="en-US" w:eastAsia="zh-CN"/>
              </w:rPr>
              <w:t>6</w:t>
            </w:r>
            <w:r>
              <w:rPr>
                <w:rFonts w:hint="eastAsia"/>
                <w:color w:val="auto"/>
                <w:highlight w:val="none"/>
              </w:rPr>
              <w:t>分。</w:t>
            </w:r>
          </w:p>
          <w:p>
            <w:pPr>
              <w:pStyle w:val="30"/>
              <w:adjustRightInd/>
              <w:spacing w:line="400" w:lineRule="exact"/>
              <w:ind w:left="11" w:hanging="11" w:hangingChars="5"/>
              <w:textAlignment w:val="auto"/>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Cs w:val="22"/>
                <w:highlight w:val="none"/>
              </w:rPr>
              <w:t>注：证书须在有效期内，提供证书的复印件并加盖投标人公章。</w:t>
            </w:r>
          </w:p>
        </w:tc>
        <w:tc>
          <w:tcPr>
            <w:tcW w:w="654"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color w:val="auto"/>
                <w:sz w:val="20"/>
                <w:szCs w:val="20"/>
                <w:highlight w:val="none"/>
              </w:rPr>
            </w:pPr>
            <w:r>
              <w:rPr>
                <w:rFonts w:hint="default" w:ascii="微软雅黑" w:hAnsi="微软雅黑" w:cs="微软雅黑"/>
                <w:color w:val="auto"/>
                <w:sz w:val="20"/>
                <w:szCs w:val="20"/>
                <w:highlight w:val="none"/>
                <w:lang w:val="en-US"/>
              </w:rPr>
              <w:t>6</w:t>
            </w:r>
            <w:r>
              <w:rPr>
                <w:rFonts w:hint="eastAsia" w:ascii="微软雅黑" w:hAnsi="微软雅黑" w:cs="微软雅黑"/>
                <w:color w:val="auto"/>
                <w:sz w:val="20"/>
                <w:szCs w:val="20"/>
                <w:highlight w:val="none"/>
              </w:rPr>
              <w:t>分</w:t>
            </w:r>
          </w:p>
        </w:tc>
      </w:tr>
    </w:tbl>
    <w:p/>
    <w:p>
      <w:pPr>
        <w:rPr>
          <w:rFonts w:ascii="微软雅黑" w:hAnsi="微软雅黑" w:cs="微软雅黑"/>
          <w:color w:val="000000"/>
          <w:sz w:val="21"/>
          <w:szCs w:val="21"/>
        </w:rPr>
      </w:pPr>
      <w:r>
        <w:rPr>
          <w:rFonts w:hint="eastAsia" w:ascii="微软雅黑" w:hAnsi="微软雅黑" w:cs="微软雅黑"/>
          <w:color w:val="000000"/>
          <w:sz w:val="21"/>
          <w:szCs w:val="21"/>
        </w:rPr>
        <w:t>备注：</w:t>
      </w:r>
    </w:p>
    <w:p>
      <w:pPr>
        <w:rPr>
          <w:rFonts w:ascii="微软雅黑" w:hAnsi="微软雅黑" w:cs="微软雅黑"/>
          <w:color w:val="000000"/>
          <w:sz w:val="21"/>
          <w:szCs w:val="21"/>
        </w:rPr>
      </w:pPr>
      <w:r>
        <w:rPr>
          <w:rFonts w:hint="eastAsia" w:ascii="微软雅黑" w:hAnsi="微软雅黑" w:cs="微软雅黑"/>
          <w:color w:val="000000"/>
          <w:sz w:val="21"/>
          <w:szCs w:val="21"/>
        </w:rPr>
        <w:t>招标文件要求提交的与评价指标体系相关的各类有效资料，投标人如未按要求提交的，该项评分为零分。</w:t>
      </w:r>
    </w:p>
    <w:p>
      <w:pPr>
        <w:rPr>
          <w:rFonts w:ascii="宋体" w:hAnsi="宋体"/>
          <w:sz w:val="21"/>
          <w:szCs w:val="21"/>
        </w:rPr>
      </w:pPr>
      <w:r>
        <w:rPr>
          <w:rFonts w:hint="eastAsia" w:ascii="微软雅黑" w:hAnsi="微软雅黑" w:cs="微软雅黑"/>
          <w:color w:val="000000"/>
          <w:sz w:val="21"/>
          <w:szCs w:val="21"/>
        </w:rPr>
        <w:t>技术、商务评分为评委评分分值的算术平均值（四舍五入后，小数点后保留两位有效数）。</w:t>
      </w:r>
    </w:p>
    <w:p>
      <w:pPr>
        <w:jc w:val="both"/>
        <w:rPr>
          <w:sz w:val="24"/>
          <w:szCs w:val="24"/>
        </w:rPr>
      </w:pPr>
    </w:p>
    <w:p>
      <w:pPr>
        <w:jc w:val="center"/>
        <w:rPr>
          <w:b/>
          <w:sz w:val="28"/>
          <w:szCs w:val="28"/>
        </w:rPr>
      </w:pPr>
      <w:r>
        <w:rPr>
          <w:rFonts w:hint="eastAsia"/>
          <w:b/>
          <w:sz w:val="28"/>
          <w:szCs w:val="28"/>
        </w:rPr>
        <w:t>价格评分</w:t>
      </w:r>
    </w:p>
    <w:tbl>
      <w:tblPr>
        <w:tblStyle w:val="18"/>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jc w:val="center"/>
        </w:trPr>
        <w:tc>
          <w:tcPr>
            <w:tcW w:w="1393" w:type="dxa"/>
            <w:tcBorders>
              <w:left w:val="single" w:color="auto" w:sz="4" w:space="0"/>
              <w:right w:val="single" w:color="auto" w:sz="4" w:space="0"/>
            </w:tcBorders>
            <w:vAlign w:val="center"/>
          </w:tcPr>
          <w:p>
            <w:pPr>
              <w:spacing w:after="0"/>
              <w:rPr>
                <w:rFonts w:ascii="微软雅黑" w:hAnsi="微软雅黑" w:cs="微软雅黑"/>
                <w:sz w:val="20"/>
                <w:szCs w:val="20"/>
              </w:rPr>
            </w:pPr>
            <w:r>
              <w:rPr>
                <w:rFonts w:hint="eastAsia" w:ascii="微软雅黑" w:hAnsi="微软雅黑" w:cs="微软雅黑"/>
                <w:sz w:val="20"/>
                <w:szCs w:val="20"/>
              </w:rPr>
              <w:t>价格评分（50分）</w:t>
            </w:r>
          </w:p>
        </w:tc>
        <w:tc>
          <w:tcPr>
            <w:tcW w:w="8752" w:type="dxa"/>
            <w:tcBorders>
              <w:top w:val="single" w:color="auto" w:sz="4" w:space="0"/>
              <w:left w:val="single" w:color="auto" w:sz="4" w:space="0"/>
              <w:bottom w:val="single" w:color="auto" w:sz="4" w:space="0"/>
              <w:right w:val="single" w:color="auto" w:sz="4" w:space="0"/>
            </w:tcBorders>
            <w:vAlign w:val="center"/>
          </w:tcPr>
          <w:p>
            <w:pPr>
              <w:spacing w:after="0"/>
              <w:rPr>
                <w:rFonts w:ascii="微软雅黑" w:hAnsi="微软雅黑" w:cs="微软雅黑"/>
                <w:sz w:val="20"/>
                <w:szCs w:val="20"/>
              </w:rPr>
            </w:pPr>
            <w:r>
              <w:rPr>
                <w:rFonts w:hint="eastAsia" w:ascii="微软雅黑" w:hAnsi="微软雅黑" w:cs="微软雅黑"/>
                <w:sz w:val="20"/>
                <w:szCs w:val="20"/>
                <w:highlight w:val="none"/>
              </w:rPr>
              <w:t>1.本项目的评审参考价计算设置有效报价区间，区间范围为最高限价的85%至最高限价之间。</w:t>
            </w:r>
            <w:r>
              <w:rPr>
                <w:rFonts w:hint="eastAsia" w:ascii="微软雅黑" w:hAnsi="微软雅黑" w:cs="微软雅黑"/>
                <w:sz w:val="20"/>
                <w:szCs w:val="20"/>
                <w:highlight w:val="none"/>
              </w:rPr>
              <w:br w:type="textWrapping"/>
            </w:r>
            <w:r>
              <w:rPr>
                <w:rFonts w:hint="eastAsia" w:ascii="微软雅黑" w:hAnsi="微软雅黑" w:cs="微软雅黑"/>
                <w:sz w:val="20"/>
                <w:szCs w:val="20"/>
                <w:highlight w:val="none"/>
              </w:rPr>
              <w:t>2.在有效报价区间内，如有效报价的意向供应方人数大于5名时，去掉一个有效报价的最高价和一个有效报价的最低价后，取在有效报价区间中余下的有效项目报价的算术平均值作为评审参考价。</w:t>
            </w:r>
            <w:r>
              <w:rPr>
                <w:rFonts w:hint="eastAsia" w:ascii="微软雅黑" w:hAnsi="微软雅黑" w:cs="微软雅黑"/>
                <w:sz w:val="20"/>
                <w:szCs w:val="20"/>
                <w:highlight w:val="none"/>
              </w:rPr>
              <w:br w:type="textWrapping"/>
            </w:r>
            <w:r>
              <w:rPr>
                <w:rFonts w:hint="eastAsia" w:ascii="微软雅黑" w:hAnsi="微软雅黑" w:cs="微软雅黑"/>
                <w:sz w:val="20"/>
                <w:szCs w:val="20"/>
                <w:highlight w:val="none"/>
              </w:rPr>
              <w:t>3.在有效报价区间内，如有效报价的意向供应方人数2-5名时，取在有效报价区间中的有效项目报价的算术平均值作为评审参考价。</w:t>
            </w:r>
            <w:r>
              <w:rPr>
                <w:rFonts w:hint="eastAsia" w:ascii="微软雅黑" w:hAnsi="微软雅黑" w:cs="微软雅黑"/>
                <w:sz w:val="20"/>
                <w:szCs w:val="20"/>
                <w:highlight w:val="none"/>
              </w:rPr>
              <w:br w:type="textWrapping"/>
            </w:r>
            <w:r>
              <w:rPr>
                <w:rFonts w:hint="eastAsia" w:ascii="微软雅黑" w:hAnsi="微软雅黑" w:cs="微软雅黑"/>
                <w:sz w:val="20"/>
                <w:szCs w:val="20"/>
                <w:highlight w:val="none"/>
              </w:rPr>
              <w:t>4.在有效报价区间内，如有效报价的意向供应方人数等于1名时，其报价将作为评审参考价，其价格分得分为50分。</w:t>
            </w:r>
            <w:r>
              <w:rPr>
                <w:rFonts w:hint="eastAsia" w:ascii="微软雅黑" w:hAnsi="微软雅黑" w:cs="微软雅黑"/>
                <w:sz w:val="20"/>
                <w:szCs w:val="20"/>
                <w:highlight w:val="none"/>
              </w:rPr>
              <w:br w:type="textWrapping"/>
            </w:r>
            <w:r>
              <w:rPr>
                <w:rFonts w:hint="eastAsia" w:ascii="微软雅黑" w:hAnsi="微软雅黑" w:cs="微软雅黑"/>
                <w:sz w:val="20"/>
                <w:szCs w:val="20"/>
                <w:highlight w:val="none"/>
              </w:rPr>
              <w:t>5.若所有意向供应方的项目报价均低于最高限价85%的，则按以下方式计算评审参考价：</w:t>
            </w:r>
            <w:r>
              <w:rPr>
                <w:rFonts w:hint="eastAsia" w:ascii="微软雅黑" w:hAnsi="微软雅黑" w:cs="微软雅黑"/>
                <w:sz w:val="20"/>
                <w:szCs w:val="20"/>
                <w:highlight w:val="none"/>
              </w:rPr>
              <w:br w:type="textWrapping"/>
            </w:r>
            <w:r>
              <w:rPr>
                <w:rFonts w:hint="eastAsia" w:ascii="微软雅黑" w:hAnsi="微软雅黑" w:cs="微软雅黑"/>
                <w:sz w:val="20"/>
                <w:szCs w:val="20"/>
                <w:highlight w:val="none"/>
              </w:rPr>
              <w:t>①　如报价的意向供应方人数大于5名时，去掉一个最高价和一个最低价后，取余下的报价的算术平均值作为评审参考价；</w:t>
            </w:r>
            <w:r>
              <w:rPr>
                <w:rFonts w:hint="eastAsia" w:ascii="微软雅黑" w:hAnsi="微软雅黑" w:cs="微软雅黑"/>
                <w:sz w:val="20"/>
                <w:szCs w:val="20"/>
                <w:highlight w:val="none"/>
              </w:rPr>
              <w:br w:type="textWrapping"/>
            </w:r>
            <w:r>
              <w:rPr>
                <w:rFonts w:hint="eastAsia" w:ascii="微软雅黑" w:hAnsi="微软雅黑" w:cs="微软雅黑"/>
                <w:sz w:val="20"/>
                <w:szCs w:val="20"/>
                <w:highlight w:val="none"/>
              </w:rPr>
              <w:t>②　如报价的意向供应方人数小于或等于5名时，取所有报价的算术平均值作为评审参考价。</w:t>
            </w:r>
            <w:r>
              <w:rPr>
                <w:rFonts w:hint="eastAsia" w:ascii="微软雅黑" w:hAnsi="微软雅黑" w:cs="微软雅黑"/>
                <w:sz w:val="20"/>
                <w:szCs w:val="20"/>
                <w:highlight w:val="none"/>
              </w:rPr>
              <w:br w:type="textWrapping"/>
            </w:r>
            <w:r>
              <w:rPr>
                <w:rFonts w:hint="eastAsia" w:ascii="微软雅黑" w:hAnsi="微软雅黑" w:cs="微软雅黑"/>
                <w:sz w:val="20"/>
                <w:szCs w:val="20"/>
                <w:highlight w:val="none"/>
              </w:rPr>
              <w:t>6.当项目报价等于评审参考价时得50分，项目报价每高于评审参考价1%（不足1%部分按比例进行扣分），扣1分，每低于评审参考价1%（不足1%部分按比例进行扣分），扣0.5分，扣至0分为止，得分精确到小数点后两位</w:t>
            </w:r>
          </w:p>
        </w:tc>
      </w:tr>
    </w:tbl>
    <w:p>
      <w:pPr>
        <w:pStyle w:val="5"/>
        <w:sectPr>
          <w:headerReference r:id="rId5" w:type="default"/>
          <w:footerReference r:id="rId6" w:type="default"/>
          <w:pgSz w:w="11906" w:h="16838"/>
          <w:pgMar w:top="1440" w:right="1080" w:bottom="1440" w:left="1080" w:header="657" w:footer="481" w:gutter="0"/>
          <w:cols w:space="720" w:num="1"/>
        </w:sectPr>
      </w:pPr>
    </w:p>
    <w:p>
      <w:pPr>
        <w:spacing w:line="360" w:lineRule="auto"/>
        <w:jc w:val="center"/>
        <w:outlineLvl w:val="0"/>
        <w:rPr>
          <w:rFonts w:ascii="黑体" w:hAnsi="华文中宋" w:eastAsia="黑体" w:cs="华文中宋"/>
          <w:b/>
          <w:bCs/>
          <w:sz w:val="32"/>
          <w:szCs w:val="32"/>
        </w:rPr>
      </w:pPr>
      <w:bookmarkStart w:id="1133" w:name="_Toc453957425"/>
      <w:bookmarkStart w:id="1134" w:name="_Toc453956666"/>
      <w:r>
        <w:rPr>
          <w:rFonts w:hint="eastAsia" w:ascii="黑体" w:hAnsi="华文中宋" w:eastAsia="黑体" w:cs="华文中宋"/>
          <w:b/>
          <w:bCs/>
          <w:sz w:val="32"/>
          <w:szCs w:val="32"/>
        </w:rPr>
        <w:t>第五章  投标文件格式</w:t>
      </w:r>
      <w:bookmarkEnd w:id="1133"/>
      <w:bookmarkEnd w:id="1134"/>
    </w:p>
    <w:p>
      <w:pPr>
        <w:pStyle w:val="5"/>
        <w:spacing w:line="440" w:lineRule="exact"/>
        <w:jc w:val="center"/>
        <w:rPr>
          <w:b w:val="0"/>
        </w:rPr>
      </w:pPr>
      <w:bookmarkStart w:id="1135" w:name="_Toc453957426"/>
      <w:bookmarkStart w:id="1136" w:name="_Toc275865604"/>
      <w:r>
        <w:rPr>
          <w:rFonts w:hint="eastAsia"/>
          <w:b w:val="0"/>
        </w:rPr>
        <w:t>投标文件包装封面参考</w:t>
      </w:r>
      <w:bookmarkEnd w:id="1135"/>
    </w:p>
    <w:tbl>
      <w:tblPr>
        <w:tblStyle w:val="18"/>
        <w:tblW w:w="96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27" w:hRule="atLeast"/>
        </w:trPr>
        <w:tc>
          <w:tcPr>
            <w:tcW w:w="9657" w:type="dxa"/>
            <w:tcBorders>
              <w:top w:val="single" w:color="auto" w:sz="12" w:space="0"/>
              <w:left w:val="single" w:color="auto" w:sz="12" w:space="0"/>
              <w:bottom w:val="single" w:color="auto" w:sz="12" w:space="0"/>
              <w:right w:val="single" w:color="auto" w:sz="12" w:space="0"/>
            </w:tcBorders>
          </w:tcPr>
          <w:p>
            <w:pPr>
              <w:pStyle w:val="3"/>
              <w:spacing w:line="360" w:lineRule="auto"/>
              <w:ind w:firstLine="482" w:firstLineChars="150"/>
              <w:rPr>
                <w:rFonts w:ascii="仿宋_GB2312" w:eastAsia="仿宋_GB2312"/>
                <w:b/>
                <w:sz w:val="32"/>
              </w:rPr>
            </w:pPr>
          </w:p>
          <w:p>
            <w:pPr>
              <w:pStyle w:val="3"/>
              <w:spacing w:line="360" w:lineRule="auto"/>
              <w:ind w:firstLine="482" w:firstLineChars="150"/>
              <w:rPr>
                <w:rFonts w:ascii="仿宋_GB2312" w:eastAsia="仿宋_GB2312"/>
                <w:b/>
                <w:sz w:val="32"/>
              </w:rPr>
            </w:pPr>
          </w:p>
          <w:p>
            <w:pPr>
              <w:pStyle w:val="3"/>
              <w:spacing w:line="360" w:lineRule="auto"/>
              <w:jc w:val="center"/>
              <w:rPr>
                <w:rFonts w:ascii="黑体" w:eastAsia="黑体"/>
                <w:b/>
                <w:sz w:val="72"/>
                <w:szCs w:val="72"/>
              </w:rPr>
            </w:pPr>
            <w:r>
              <w:rPr>
                <w:rFonts w:hint="eastAsia" w:ascii="黑体" w:eastAsia="黑体"/>
                <w:b/>
                <w:sz w:val="72"/>
                <w:szCs w:val="72"/>
              </w:rPr>
              <w:t>投 标 文 件</w:t>
            </w:r>
          </w:p>
          <w:p>
            <w:pPr>
              <w:pStyle w:val="3"/>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开标信封</w:t>
            </w:r>
          </w:p>
          <w:p>
            <w:pPr>
              <w:pStyle w:val="3"/>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3"/>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3"/>
              <w:spacing w:line="360" w:lineRule="auto"/>
              <w:ind w:firstLine="1968" w:firstLineChars="700"/>
              <w:rPr>
                <w:rFonts w:ascii="黑体" w:eastAsia="黑体"/>
                <w:b/>
                <w:sz w:val="28"/>
                <w:szCs w:val="22"/>
              </w:rPr>
            </w:pPr>
          </w:p>
          <w:p>
            <w:pPr>
              <w:pStyle w:val="3"/>
              <w:spacing w:line="360" w:lineRule="auto"/>
              <w:ind w:left="859" w:leftChars="390" w:hanging="1"/>
              <w:rPr>
                <w:rFonts w:ascii="黑体" w:hAnsi="仿宋_GB2312" w:eastAsia="黑体"/>
                <w:b/>
                <w:bCs/>
                <w:sz w:val="28"/>
                <w:szCs w:val="28"/>
              </w:rPr>
            </w:pPr>
            <w:r>
              <w:rPr>
                <w:rFonts w:hint="eastAsia" w:ascii="黑体" w:hAnsi="仿宋_GB2312" w:eastAsia="黑体"/>
                <w:b/>
                <w:bCs/>
                <w:sz w:val="28"/>
                <w:szCs w:val="28"/>
              </w:rPr>
              <w:t>项目编号：GZBC21HG11004</w:t>
            </w:r>
          </w:p>
          <w:p>
            <w:pPr>
              <w:pStyle w:val="3"/>
              <w:ind w:left="880" w:leftChars="400"/>
              <w:rPr>
                <w:rFonts w:ascii="黑体" w:hAnsi="仿宋_GB2312" w:eastAsia="黑体"/>
                <w:b/>
                <w:bCs/>
                <w:sz w:val="28"/>
                <w:szCs w:val="28"/>
              </w:rPr>
            </w:pPr>
            <w:r>
              <w:rPr>
                <w:rFonts w:hint="eastAsia" w:ascii="黑体" w:hAnsi="仿宋_GB2312" w:eastAsia="黑体"/>
                <w:b/>
                <w:bCs/>
                <w:sz w:val="28"/>
                <w:szCs w:val="28"/>
              </w:rPr>
              <w:t>项目名称：</w:t>
            </w:r>
            <w:r>
              <w:rPr>
                <w:rFonts w:hint="default" w:ascii="黑体" w:hAnsi="仿宋_GB2312" w:eastAsia="黑体"/>
                <w:b/>
                <w:bCs/>
                <w:sz w:val="28"/>
                <w:szCs w:val="28"/>
              </w:rPr>
              <w:t>广州市增城自来水安装工程有限公司2021~2022年度远传水表采购项目</w:t>
            </w:r>
          </w:p>
          <w:p>
            <w:pPr>
              <w:pStyle w:val="3"/>
              <w:ind w:left="880" w:leftChars="400"/>
              <w:rPr>
                <w:rFonts w:ascii="黑体" w:hAnsi="仿宋_GB2312" w:eastAsia="黑体"/>
                <w:b/>
                <w:bCs/>
                <w:sz w:val="28"/>
                <w:szCs w:val="28"/>
              </w:rPr>
            </w:pPr>
            <w:r>
              <w:rPr>
                <w:rFonts w:hint="eastAsia" w:ascii="黑体" w:hAnsi="仿宋_GB2312" w:eastAsia="黑体"/>
                <w:b/>
                <w:bCs/>
                <w:sz w:val="28"/>
                <w:szCs w:val="28"/>
              </w:rPr>
              <w:t>项目投标人名称：</w:t>
            </w:r>
          </w:p>
          <w:p>
            <w:pPr>
              <w:pStyle w:val="3"/>
              <w:ind w:left="880" w:leftChars="400"/>
              <w:rPr>
                <w:rFonts w:ascii="黑体" w:eastAsia="黑体"/>
                <w:b/>
                <w:color w:val="000000"/>
                <w:sz w:val="28"/>
                <w:szCs w:val="28"/>
              </w:rPr>
            </w:pPr>
            <w:r>
              <w:rPr>
                <w:rFonts w:hint="eastAsia" w:ascii="黑体" w:eastAsia="黑体"/>
                <w:b/>
                <w:color w:val="000000"/>
                <w:sz w:val="28"/>
                <w:szCs w:val="28"/>
              </w:rPr>
              <w:t>投标人地址：</w:t>
            </w:r>
          </w:p>
          <w:p>
            <w:pPr>
              <w:tabs>
                <w:tab w:val="left" w:pos="851"/>
              </w:tabs>
              <w:spacing w:line="420" w:lineRule="auto"/>
              <w:rPr>
                <w:rFonts w:ascii="仿宋_GB2312" w:eastAsia="仿宋_GB2312"/>
                <w:b/>
                <w:sz w:val="32"/>
              </w:rPr>
            </w:pPr>
            <w:r>
              <w:rPr>
                <w:rFonts w:hint="eastAsia" w:ascii="黑体" w:eastAsia="黑体"/>
                <w:b/>
                <w:color w:val="000000"/>
                <w:sz w:val="28"/>
                <w:szCs w:val="28"/>
              </w:rPr>
              <w:t xml:space="preserve">     (年月日时分)</w:t>
            </w:r>
            <w:r>
              <w:rPr>
                <w:rFonts w:hint="eastAsia" w:ascii="黑体" w:eastAsia="黑体"/>
                <w:b/>
                <w:sz w:val="28"/>
                <w:szCs w:val="28"/>
              </w:rPr>
              <w:t>之前不得启封</w:t>
            </w:r>
          </w:p>
        </w:tc>
      </w:tr>
    </w:tbl>
    <w:p>
      <w:pPr>
        <w:rPr>
          <w:b/>
        </w:rPr>
      </w:pPr>
      <w:bookmarkStart w:id="1137" w:name="_Toc453957427"/>
    </w:p>
    <w:p>
      <w:pPr>
        <w:pStyle w:val="5"/>
        <w:spacing w:line="440" w:lineRule="exact"/>
        <w:jc w:val="center"/>
        <w:rPr>
          <w:rFonts w:ascii="黑体" w:hAnsi="宋体"/>
          <w:b w:val="0"/>
          <w:sz w:val="18"/>
          <w:szCs w:val="18"/>
        </w:rPr>
      </w:pPr>
      <w:r>
        <w:rPr>
          <w:rFonts w:hint="eastAsia"/>
          <w:b w:val="0"/>
        </w:rPr>
        <w:t>投标文件目录表</w:t>
      </w:r>
      <w:bookmarkEnd w:id="1136"/>
      <w:bookmarkEnd w:id="1137"/>
    </w:p>
    <w:p>
      <w:pPr>
        <w:spacing w:line="360" w:lineRule="auto"/>
        <w:rPr>
          <w:rFonts w:ascii="微软雅黑" w:hAnsi="微软雅黑" w:cs="微软雅黑"/>
          <w:bCs/>
          <w:sz w:val="21"/>
          <w:szCs w:val="21"/>
        </w:rPr>
      </w:pPr>
      <w:r>
        <w:rPr>
          <w:rFonts w:hint="eastAsia" w:ascii="宋体" w:hAnsi="宋体"/>
          <w:sz w:val="21"/>
          <w:szCs w:val="21"/>
        </w:rPr>
        <w:t>项目名称：</w:t>
      </w:r>
      <w:r>
        <w:rPr>
          <w:rFonts w:hint="default" w:ascii="微软雅黑" w:hAnsi="微软雅黑" w:cs="微软雅黑"/>
          <w:bCs/>
          <w:sz w:val="21"/>
          <w:szCs w:val="21"/>
        </w:rPr>
        <w:t>广州市增城自来水安装工程有限公司2021~2022年度远传水表采购项目</w:t>
      </w:r>
    </w:p>
    <w:p>
      <w:pPr>
        <w:spacing w:line="360" w:lineRule="auto"/>
        <w:rPr>
          <w:rFonts w:ascii="宋体" w:hAnsi="宋体"/>
          <w:b/>
          <w:bCs/>
          <w:sz w:val="21"/>
          <w:szCs w:val="21"/>
        </w:rPr>
      </w:pPr>
      <w:r>
        <w:rPr>
          <w:rFonts w:hint="eastAsia" w:ascii="宋体" w:hAnsi="宋体"/>
          <w:sz w:val="21"/>
          <w:szCs w:val="21"/>
        </w:rPr>
        <w:t>项目编号：GZBC21HG11004</w:t>
      </w:r>
    </w:p>
    <w:tbl>
      <w:tblPr>
        <w:tblStyle w:val="18"/>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669"/>
        <w:gridCol w:w="5048"/>
        <w:gridCol w:w="536"/>
        <w:gridCol w:w="487"/>
        <w:gridCol w:w="725"/>
        <w:gridCol w:w="7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12" w:space="0"/>
              <w:left w:val="single" w:color="auto" w:sz="12" w:space="0"/>
              <w:bottom w:val="single" w:color="auto" w:sz="6" w:space="0"/>
              <w:right w:val="single" w:color="auto" w:sz="6" w:space="0"/>
            </w:tcBorders>
            <w:shd w:val="clear" w:color="auto" w:fill="EEECE1"/>
            <w:vAlign w:val="center"/>
          </w:tcPr>
          <w:p>
            <w:pPr>
              <w:jc w:val="center"/>
              <w:rPr>
                <w:rFonts w:ascii="微软雅黑" w:hAnsi="微软雅黑" w:cs="微软雅黑"/>
                <w:b/>
                <w:sz w:val="20"/>
                <w:szCs w:val="20"/>
              </w:rPr>
            </w:pPr>
            <w:r>
              <w:rPr>
                <w:rFonts w:hint="eastAsia" w:ascii="微软雅黑" w:hAnsi="微软雅黑" w:cs="微软雅黑"/>
                <w:b/>
                <w:sz w:val="20"/>
                <w:szCs w:val="20"/>
              </w:rPr>
              <w:t>文件类型</w:t>
            </w:r>
          </w:p>
        </w:tc>
        <w:tc>
          <w:tcPr>
            <w:tcW w:w="669"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ind w:left="-106" w:leftChars="-48" w:right="-103" w:rightChars="-47"/>
              <w:jc w:val="center"/>
              <w:rPr>
                <w:rFonts w:ascii="微软雅黑" w:hAnsi="微软雅黑" w:cs="微软雅黑"/>
                <w:b/>
                <w:sz w:val="20"/>
                <w:szCs w:val="20"/>
              </w:rPr>
            </w:pPr>
            <w:r>
              <w:rPr>
                <w:rFonts w:hint="eastAsia" w:ascii="微软雅黑" w:hAnsi="微软雅黑" w:cs="微软雅黑"/>
                <w:b/>
                <w:sz w:val="20"/>
                <w:szCs w:val="20"/>
              </w:rPr>
              <w:t>序号</w:t>
            </w:r>
          </w:p>
        </w:tc>
        <w:tc>
          <w:tcPr>
            <w:tcW w:w="5048"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sz w:val="20"/>
                <w:szCs w:val="20"/>
              </w:rPr>
            </w:pPr>
            <w:r>
              <w:rPr>
                <w:rFonts w:hint="eastAsia" w:ascii="微软雅黑" w:hAnsi="微软雅黑" w:cs="微软雅黑"/>
                <w:b/>
                <w:sz w:val="20"/>
                <w:szCs w:val="20"/>
              </w:rPr>
              <w:t>文    件    名    称</w:t>
            </w:r>
          </w:p>
        </w:tc>
        <w:tc>
          <w:tcPr>
            <w:tcW w:w="1023" w:type="dxa"/>
            <w:gridSpan w:val="2"/>
            <w:tcBorders>
              <w:top w:val="single" w:color="auto" w:sz="12" w:space="0"/>
              <w:left w:val="single" w:color="auto" w:sz="6" w:space="0"/>
              <w:bottom w:val="single" w:color="auto" w:sz="6" w:space="0"/>
              <w:right w:val="single" w:color="auto" w:sz="6" w:space="0"/>
            </w:tcBorders>
            <w:shd w:val="clear" w:color="auto" w:fill="EEECE1"/>
            <w:vAlign w:val="center"/>
          </w:tcPr>
          <w:p>
            <w:pPr>
              <w:ind w:left="-123" w:leftChars="-56" w:right="-99" w:rightChars="-45"/>
              <w:jc w:val="center"/>
              <w:rPr>
                <w:rFonts w:ascii="微软雅黑" w:hAnsi="微软雅黑" w:cs="微软雅黑"/>
                <w:b/>
                <w:sz w:val="20"/>
                <w:szCs w:val="20"/>
              </w:rPr>
            </w:pPr>
            <w:r>
              <w:rPr>
                <w:rFonts w:hint="eastAsia" w:ascii="微软雅黑" w:hAnsi="微软雅黑" w:cs="微软雅黑"/>
                <w:b/>
                <w:sz w:val="20"/>
                <w:szCs w:val="20"/>
              </w:rPr>
              <w:t>提交情况</w:t>
            </w:r>
          </w:p>
        </w:tc>
        <w:tc>
          <w:tcPr>
            <w:tcW w:w="725"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sz w:val="20"/>
                <w:szCs w:val="20"/>
              </w:rPr>
            </w:pPr>
            <w:r>
              <w:rPr>
                <w:rFonts w:hint="eastAsia" w:ascii="微软雅黑" w:hAnsi="微软雅黑" w:cs="微软雅黑"/>
                <w:b/>
                <w:sz w:val="20"/>
                <w:szCs w:val="20"/>
              </w:rPr>
              <w:t>页码范围</w:t>
            </w:r>
          </w:p>
        </w:tc>
        <w:tc>
          <w:tcPr>
            <w:tcW w:w="726" w:type="dxa"/>
            <w:vMerge w:val="restart"/>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b/>
                <w:sz w:val="20"/>
                <w:szCs w:val="20"/>
              </w:rPr>
            </w:pPr>
            <w:r>
              <w:rPr>
                <w:rFonts w:hint="eastAsia" w:ascii="微软雅黑" w:hAnsi="微软雅黑" w:cs="微软雅黑"/>
                <w:b/>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151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5048"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536"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sz w:val="20"/>
                <w:szCs w:val="20"/>
              </w:rPr>
            </w:pPr>
            <w:r>
              <w:rPr>
                <w:rFonts w:hint="eastAsia" w:ascii="微软雅黑" w:hAnsi="微软雅黑" w:cs="微软雅黑"/>
                <w:b/>
                <w:sz w:val="20"/>
                <w:szCs w:val="20"/>
              </w:rPr>
              <w:t>有</w:t>
            </w:r>
          </w:p>
        </w:tc>
        <w:tc>
          <w:tcPr>
            <w:tcW w:w="48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sz w:val="20"/>
                <w:szCs w:val="20"/>
              </w:rPr>
            </w:pPr>
            <w:r>
              <w:rPr>
                <w:rFonts w:hint="eastAsia" w:ascii="微软雅黑" w:hAnsi="微软雅黑" w:cs="微软雅黑"/>
                <w:b/>
                <w:sz w:val="20"/>
                <w:szCs w:val="20"/>
              </w:rPr>
              <w:t>无</w:t>
            </w:r>
          </w:p>
        </w:tc>
        <w:tc>
          <w:tcPr>
            <w:tcW w:w="725" w:type="dxa"/>
            <w:vMerge w:val="continue"/>
            <w:tcBorders>
              <w:top w:val="single" w:color="auto" w:sz="12" w:space="0"/>
              <w:left w:val="single" w:color="auto" w:sz="6" w:space="0"/>
              <w:bottom w:val="single" w:color="auto" w:sz="6" w:space="0"/>
              <w:right w:val="single" w:color="auto" w:sz="6" w:space="0"/>
            </w:tcBorders>
            <w:vAlign w:val="center"/>
          </w:tcPr>
          <w:p>
            <w:pPr>
              <w:adjustRightInd/>
              <w:rPr>
                <w:rFonts w:ascii="微软雅黑" w:hAnsi="微软雅黑" w:cs="微软雅黑"/>
                <w:b/>
                <w:sz w:val="20"/>
                <w:szCs w:val="20"/>
              </w:rPr>
            </w:pPr>
          </w:p>
        </w:tc>
        <w:tc>
          <w:tcPr>
            <w:tcW w:w="726" w:type="dxa"/>
            <w:vMerge w:val="continue"/>
            <w:tcBorders>
              <w:top w:val="single" w:color="auto" w:sz="12" w:space="0"/>
              <w:left w:val="single" w:color="auto" w:sz="6" w:space="0"/>
              <w:bottom w:val="single" w:color="auto" w:sz="6" w:space="0"/>
              <w:right w:val="single" w:color="auto" w:sz="12" w:space="0"/>
            </w:tcBorders>
            <w:vAlign w:val="center"/>
          </w:tcPr>
          <w:p>
            <w:pPr>
              <w:adjustRightInd/>
              <w:rPr>
                <w:rFonts w:ascii="微软雅黑" w:hAnsi="微软雅黑" w:cs="微软雅黑"/>
                <w:b/>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ascii="微软雅黑" w:hAnsi="微软雅黑" w:cs="微软雅黑"/>
                <w:b/>
                <w:sz w:val="20"/>
                <w:szCs w:val="20"/>
              </w:rPr>
            </w:pPr>
            <w:r>
              <w:rPr>
                <w:rFonts w:hint="eastAsia" w:ascii="微软雅黑" w:hAnsi="微软雅黑" w:cs="微软雅黑"/>
                <w:b/>
                <w:sz w:val="20"/>
                <w:szCs w:val="20"/>
              </w:rPr>
              <w:t>初审文件（加盖投标人公章）</w:t>
            </w: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6"/>
              </w:numPr>
              <w:autoSpaceDN w:val="0"/>
              <w:adjustRightInd/>
              <w:snapToGrid/>
              <w:spacing w:after="0"/>
              <w:jc w:val="center"/>
              <w:rPr>
                <w:rFonts w:ascii="微软雅黑" w:hAnsi="微软雅黑" w:cs="微软雅黑"/>
                <w:sz w:val="20"/>
                <w:szCs w:val="20"/>
              </w:rPr>
            </w:pP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color w:val="000000"/>
                <w:sz w:val="20"/>
                <w:szCs w:val="20"/>
              </w:rPr>
            </w:pPr>
            <w:r>
              <w:rPr>
                <w:rFonts w:hint="eastAsia" w:ascii="微软雅黑" w:hAnsi="微软雅黑" w:eastAsia="微软雅黑" w:cs="微软雅黑"/>
                <w:sz w:val="20"/>
                <w:szCs w:val="20"/>
              </w:rPr>
              <w:t>投标函（见格式1）</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6"/>
              </w:numPr>
              <w:autoSpaceDN w:val="0"/>
              <w:adjustRightInd/>
              <w:snapToGrid/>
              <w:spacing w:after="0"/>
              <w:jc w:val="center"/>
              <w:rPr>
                <w:rFonts w:ascii="微软雅黑" w:hAnsi="微软雅黑" w:cs="微软雅黑"/>
                <w:sz w:val="20"/>
                <w:szCs w:val="20"/>
              </w:rPr>
            </w:pP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color w:val="000000"/>
                <w:sz w:val="20"/>
                <w:szCs w:val="20"/>
              </w:rPr>
            </w:pPr>
            <w:r>
              <w:rPr>
                <w:rFonts w:hint="eastAsia" w:ascii="微软雅黑" w:hAnsi="微软雅黑" w:eastAsia="微软雅黑" w:cs="微软雅黑"/>
                <w:sz w:val="20"/>
                <w:szCs w:val="20"/>
              </w:rPr>
              <w:t>投标人资格声明函（见格式2）</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6"/>
              </w:numPr>
              <w:autoSpaceDN w:val="0"/>
              <w:adjustRightInd/>
              <w:snapToGrid/>
              <w:spacing w:after="0"/>
              <w:jc w:val="center"/>
              <w:rPr>
                <w:rFonts w:ascii="微软雅黑" w:hAnsi="微软雅黑" w:cs="微软雅黑"/>
                <w:sz w:val="20"/>
                <w:szCs w:val="20"/>
              </w:rPr>
            </w:pP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sz w:val="20"/>
                <w:szCs w:val="20"/>
              </w:rPr>
            </w:pPr>
            <w:r>
              <w:rPr>
                <w:rFonts w:hint="eastAsia" w:ascii="微软雅黑" w:hAnsi="微软雅黑" w:eastAsia="微软雅黑" w:cs="微软雅黑"/>
                <w:sz w:val="20"/>
                <w:szCs w:val="20"/>
              </w:rPr>
              <w:t>承诺函（见格式3）</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sz w:val="20"/>
                <w:szCs w:val="20"/>
              </w:rPr>
            </w:pPr>
            <w:r>
              <w:rPr>
                <w:rFonts w:hint="eastAsia" w:ascii="微软雅黑" w:hAnsi="微软雅黑" w:cs="微软雅黑"/>
                <w:sz w:val="20"/>
                <w:szCs w:val="20"/>
              </w:rPr>
              <w:t>4</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bCs/>
                <w:sz w:val="20"/>
                <w:szCs w:val="20"/>
              </w:rPr>
            </w:pPr>
            <w:r>
              <w:rPr>
                <w:rFonts w:hint="eastAsia" w:ascii="微软雅黑" w:hAnsi="微软雅黑" w:eastAsia="微软雅黑" w:cs="微软雅黑"/>
                <w:bCs/>
                <w:sz w:val="20"/>
                <w:szCs w:val="20"/>
              </w:rPr>
              <w:t>《公平竞争承诺书》原件</w:t>
            </w:r>
            <w:r>
              <w:rPr>
                <w:rFonts w:hint="eastAsia" w:ascii="微软雅黑" w:hAnsi="微软雅黑" w:eastAsia="微软雅黑" w:cs="微软雅黑"/>
                <w:sz w:val="20"/>
                <w:szCs w:val="20"/>
              </w:rPr>
              <w:t>（见格式4）</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sz w:val="20"/>
                <w:szCs w:val="20"/>
              </w:rPr>
            </w:pPr>
            <w:r>
              <w:rPr>
                <w:rFonts w:hint="eastAsia" w:ascii="微软雅黑" w:hAnsi="微软雅黑" w:cs="微软雅黑"/>
                <w:sz w:val="20"/>
                <w:szCs w:val="20"/>
              </w:rPr>
              <w:t>5</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sz w:val="20"/>
                <w:szCs w:val="20"/>
              </w:rPr>
            </w:pPr>
            <w:r>
              <w:rPr>
                <w:rFonts w:hint="eastAsia" w:ascii="微软雅黑" w:hAnsi="微软雅黑" w:eastAsia="微软雅黑" w:cs="微软雅黑"/>
                <w:sz w:val="20"/>
                <w:szCs w:val="20"/>
              </w:rPr>
              <w:t>法定代表人授权委托书或法定代表人证明书（见格式5、6）</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color w:val="auto"/>
                <w:sz w:val="20"/>
                <w:szCs w:val="20"/>
              </w:rPr>
            </w:pPr>
            <w:r>
              <w:rPr>
                <w:rFonts w:hint="eastAsia" w:ascii="微软雅黑" w:hAnsi="微软雅黑" w:cs="微软雅黑"/>
                <w:color w:val="auto"/>
                <w:sz w:val="20"/>
                <w:szCs w:val="20"/>
              </w:rPr>
              <w:t>6</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rPr>
                <w:rFonts w:ascii="微软雅黑" w:hAnsi="微软雅黑" w:cs="微软雅黑"/>
                <w:color w:val="auto"/>
                <w:sz w:val="20"/>
                <w:szCs w:val="20"/>
              </w:rPr>
            </w:pPr>
            <w:r>
              <w:rPr>
                <w:rFonts w:hint="eastAsia" w:ascii="微软雅黑" w:hAnsi="微软雅黑" w:cs="微软雅黑"/>
                <w:color w:val="auto"/>
                <w:sz w:val="20"/>
                <w:szCs w:val="20"/>
                <w:lang w:val="hr-HR"/>
              </w:rPr>
              <w:t>投标人须为中华人民共和国境内注册并合法存续的法人或非法人组织，提供营业执照复印件。</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color w:val="auto"/>
                <w:sz w:val="20"/>
                <w:szCs w:val="20"/>
              </w:rPr>
            </w:pPr>
            <w:r>
              <w:rPr>
                <w:rFonts w:hint="eastAsia" w:ascii="微软雅黑" w:hAnsi="微软雅黑" w:cs="微软雅黑"/>
                <w:color w:val="auto"/>
                <w:sz w:val="20"/>
                <w:szCs w:val="20"/>
              </w:rPr>
              <w:t>7</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utoSpaceDN w:val="0"/>
              <w:adjustRightInd/>
              <w:spacing w:after="0" w:line="360" w:lineRule="auto"/>
              <w:jc w:val="both"/>
              <w:rPr>
                <w:rFonts w:ascii="微软雅黑" w:hAnsi="微软雅黑" w:cs="微软雅黑"/>
                <w:color w:val="auto"/>
                <w:sz w:val="20"/>
                <w:szCs w:val="20"/>
              </w:rPr>
            </w:pPr>
            <w:r>
              <w:rPr>
                <w:rFonts w:hint="eastAsia" w:ascii="微软雅黑" w:hAnsi="微软雅黑" w:cs="微软雅黑"/>
                <w:color w:val="auto"/>
                <w:sz w:val="20"/>
                <w:szCs w:val="20"/>
                <w:lang w:val="hr-HR"/>
              </w:rPr>
              <w:t>投标人必须是所投货物的生产厂家，须提供相关制造资历（需提供证明文件）；</w:t>
            </w:r>
            <w:r>
              <w:rPr>
                <w:rFonts w:ascii="微软雅黑" w:hAnsi="微软雅黑" w:cs="微软雅黑"/>
                <w:color w:val="auto"/>
                <w:sz w:val="20"/>
                <w:szCs w:val="20"/>
              </w:rPr>
              <w:t xml:space="preserve"> </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color w:val="auto"/>
                <w:sz w:val="20"/>
                <w:szCs w:val="20"/>
              </w:rPr>
            </w:pPr>
            <w:r>
              <w:rPr>
                <w:rFonts w:hint="eastAsia" w:ascii="微软雅黑" w:hAnsi="微软雅黑" w:cs="微软雅黑"/>
                <w:color w:val="auto"/>
                <w:sz w:val="20"/>
                <w:szCs w:val="20"/>
              </w:rPr>
              <w:t>8</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utoSpaceDN w:val="0"/>
              <w:adjustRightInd/>
              <w:spacing w:after="0" w:line="360" w:lineRule="auto"/>
              <w:jc w:val="both"/>
              <w:rPr>
                <w:rFonts w:ascii="微软雅黑" w:hAnsi="微软雅黑" w:cs="微软雅黑"/>
                <w:color w:val="auto"/>
                <w:sz w:val="20"/>
                <w:szCs w:val="20"/>
              </w:rPr>
            </w:pPr>
            <w:r>
              <w:rPr>
                <w:rFonts w:hint="eastAsia" w:ascii="微软雅黑" w:hAnsi="微软雅黑" w:cs="微软雅黑"/>
                <w:color w:val="auto"/>
                <w:sz w:val="20"/>
                <w:szCs w:val="20"/>
                <w:lang w:val="hr-HR"/>
              </w:rPr>
              <w:t>投标人所投货物的生产厂家必须具有专门的研究、测试或检测等机构，提供相关证明文件。</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color w:val="auto"/>
                <w:sz w:val="20"/>
                <w:szCs w:val="20"/>
              </w:rPr>
            </w:pPr>
            <w:r>
              <w:rPr>
                <w:rFonts w:hint="eastAsia" w:ascii="微软雅黑" w:hAnsi="微软雅黑" w:cs="微软雅黑"/>
                <w:color w:val="auto"/>
                <w:sz w:val="20"/>
                <w:szCs w:val="20"/>
              </w:rPr>
              <w:t>9</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utoSpaceDN w:val="0"/>
              <w:adjustRightInd/>
              <w:spacing w:after="0" w:line="360" w:lineRule="auto"/>
              <w:jc w:val="both"/>
              <w:rPr>
                <w:rFonts w:ascii="微软雅黑" w:hAnsi="微软雅黑" w:cs="微软雅黑"/>
                <w:color w:val="auto"/>
                <w:sz w:val="20"/>
                <w:szCs w:val="20"/>
                <w:lang w:val="hr-HR"/>
              </w:rPr>
            </w:pPr>
            <w:r>
              <w:rPr>
                <w:rFonts w:hint="eastAsia" w:ascii="微软雅黑" w:hAnsi="微软雅黑" w:cs="微软雅黑"/>
                <w:color w:val="auto"/>
                <w:sz w:val="20"/>
                <w:szCs w:val="20"/>
              </w:rPr>
              <w:t>投标人所投远传水表的生产厂家须有基表和电子模块的生产能力，且所投远传水表的电子模块与基表必须为同一生产厂家，提供相关证明文件（提供远传水表的计量器具型式批准证书）；所投其他水表须有基表的生产能力，提供省级或以上质量监督部门颁发的计量器具型式批准证书</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color w:val="auto"/>
                <w:sz w:val="20"/>
                <w:szCs w:val="20"/>
              </w:rPr>
            </w:pPr>
            <w:r>
              <w:rPr>
                <w:rFonts w:hint="eastAsia" w:ascii="微软雅黑" w:hAnsi="微软雅黑" w:cs="微软雅黑"/>
                <w:color w:val="auto"/>
                <w:sz w:val="20"/>
                <w:szCs w:val="20"/>
              </w:rPr>
              <w:t>10</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utoSpaceDN w:val="0"/>
              <w:adjustRightInd/>
              <w:spacing w:after="0" w:line="360" w:lineRule="auto"/>
              <w:jc w:val="both"/>
              <w:rPr>
                <w:rFonts w:ascii="微软雅黑" w:hAnsi="微软雅黑" w:cs="微软雅黑"/>
                <w:color w:val="auto"/>
                <w:sz w:val="20"/>
                <w:szCs w:val="20"/>
                <w:lang w:val="hr-HR"/>
              </w:rPr>
            </w:pPr>
            <w:r>
              <w:rPr>
                <w:rFonts w:hint="eastAsia" w:ascii="微软雅黑" w:hAnsi="微软雅黑" w:cs="微软雅黑"/>
                <w:color w:val="auto"/>
                <w:sz w:val="20"/>
                <w:szCs w:val="20"/>
              </w:rPr>
              <w:t>投标人须持有省级或以上质量技术监督部门颁发的《中华人民共和国计量器具型式批准证书》，且本次采购的水表类型必须包括在许可范围内</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color w:val="auto"/>
                <w:sz w:val="20"/>
                <w:szCs w:val="20"/>
              </w:rPr>
            </w:pPr>
            <w:r>
              <w:rPr>
                <w:rFonts w:hint="eastAsia" w:ascii="微软雅黑" w:hAnsi="微软雅黑" w:cs="微软雅黑"/>
                <w:color w:val="auto"/>
                <w:sz w:val="20"/>
                <w:szCs w:val="20"/>
              </w:rPr>
              <w:t>11</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utoSpaceDN w:val="0"/>
              <w:adjustRightInd/>
              <w:spacing w:after="0" w:line="360" w:lineRule="auto"/>
              <w:jc w:val="both"/>
              <w:rPr>
                <w:rFonts w:ascii="微软雅黑" w:hAnsi="微软雅黑" w:cs="微软雅黑"/>
                <w:color w:val="auto"/>
                <w:sz w:val="20"/>
                <w:szCs w:val="20"/>
              </w:rPr>
            </w:pPr>
            <w:r>
              <w:rPr>
                <w:rFonts w:hint="eastAsia" w:ascii="微软雅黑" w:hAnsi="微软雅黑" w:cs="微软雅黑"/>
                <w:color w:val="auto"/>
                <w:sz w:val="20"/>
                <w:szCs w:val="20"/>
              </w:rPr>
              <w:t>投标人没有处于被责令停业或破产状态，且资产未被重组、接管和冻结，声明在经营活动及投标活动中三年内没有重大违法活动和涉嫌违规行为，提供相关声明文件。</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jc w:val="center"/>
              <w:rPr>
                <w:rFonts w:ascii="微软雅黑" w:hAnsi="微软雅黑" w:cs="微软雅黑"/>
                <w:color w:val="auto"/>
                <w:sz w:val="20"/>
                <w:szCs w:val="20"/>
              </w:rPr>
            </w:pPr>
            <w:r>
              <w:rPr>
                <w:rFonts w:hint="eastAsia" w:ascii="微软雅黑" w:hAnsi="微软雅黑" w:cs="微软雅黑"/>
                <w:color w:val="auto"/>
                <w:sz w:val="20"/>
                <w:szCs w:val="20"/>
              </w:rPr>
              <w:t>12</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autoSpaceDN w:val="0"/>
              <w:adjustRightInd/>
              <w:spacing w:after="0" w:line="360" w:lineRule="auto"/>
              <w:jc w:val="both"/>
              <w:rPr>
                <w:rFonts w:ascii="微软雅黑" w:hAnsi="微软雅黑" w:cs="微软雅黑"/>
                <w:color w:val="auto"/>
                <w:sz w:val="20"/>
                <w:szCs w:val="20"/>
              </w:rPr>
            </w:pPr>
            <w:r>
              <w:rPr>
                <w:rFonts w:hint="eastAsia" w:ascii="微软雅黑" w:hAnsi="微软雅黑" w:cs="微软雅黑"/>
                <w:color w:val="auto"/>
                <w:sz w:val="20"/>
                <w:szCs w:val="20"/>
              </w:rPr>
              <w:t>投标人未被列入“信用中国”网站(www.creditchina.gov.cn)记录失信被执行人或重大税收违法案件当事人名单，投标人须提供《信用记录承诺函》附“信用中国”网站（www.creditchina.gov.cn）的信用记录查询结果截图并打印页面加盖公章（见格式14）。</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微软雅黑" w:hAnsi="微软雅黑" w:eastAsia="微软雅黑" w:cs="微软雅黑"/>
                <w:sz w:val="20"/>
                <w:szCs w:val="20"/>
              </w:rPr>
            </w:pPr>
            <w:r>
              <w:rPr>
                <w:rFonts w:hint="eastAsia" w:ascii="微软雅黑" w:hAnsi="微软雅黑" w:eastAsia="微软雅黑" w:cs="微软雅黑"/>
                <w:sz w:val="20"/>
                <w:szCs w:val="20"/>
              </w:rPr>
              <w:t>11</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sz w:val="20"/>
                <w:szCs w:val="20"/>
              </w:rPr>
            </w:pPr>
            <w:r>
              <w:rPr>
                <w:rFonts w:hint="eastAsia" w:ascii="微软雅黑" w:hAnsi="微软雅黑" w:eastAsia="微软雅黑" w:cs="微软雅黑"/>
                <w:b/>
                <w:sz w:val="20"/>
                <w:szCs w:val="20"/>
              </w:rPr>
              <w:t>开标一览表、项目报价明细表（见格式7）</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ind w:left="113" w:right="113"/>
              <w:jc w:val="center"/>
              <w:rPr>
                <w:rFonts w:ascii="微软雅黑" w:hAnsi="微软雅黑" w:cs="微软雅黑"/>
                <w:sz w:val="20"/>
                <w:szCs w:val="20"/>
              </w:rPr>
            </w:pPr>
            <w:r>
              <w:rPr>
                <w:rFonts w:hint="eastAsia" w:ascii="微软雅黑" w:hAnsi="微软雅黑" w:cs="微软雅黑"/>
                <w:b/>
                <w:sz w:val="20"/>
                <w:szCs w:val="20"/>
              </w:rPr>
              <w:t>投标人应提交的技术文件（</w:t>
            </w:r>
            <w:r>
              <w:rPr>
                <w:rFonts w:hint="eastAsia" w:ascii="微软雅黑" w:hAnsi="微软雅黑" w:cs="微软雅黑"/>
                <w:b/>
                <w:bCs/>
                <w:sz w:val="20"/>
                <w:szCs w:val="20"/>
              </w:rPr>
              <w:t>加盖投标人公章</w:t>
            </w:r>
            <w:r>
              <w:rPr>
                <w:rFonts w:hint="eastAsia" w:ascii="微软雅黑" w:hAnsi="微软雅黑" w:cs="微软雅黑"/>
                <w:b/>
                <w:sz w:val="20"/>
                <w:szCs w:val="20"/>
              </w:rPr>
              <w:t>）</w:t>
            </w: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7"/>
              </w:numPr>
              <w:autoSpaceDN w:val="0"/>
              <w:adjustRightInd/>
              <w:snapToGrid/>
              <w:spacing w:after="0"/>
              <w:jc w:val="center"/>
              <w:rPr>
                <w:rFonts w:ascii="微软雅黑" w:hAnsi="微软雅黑" w:cs="微软雅黑"/>
                <w:sz w:val="20"/>
                <w:szCs w:val="20"/>
              </w:rPr>
            </w:pP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sz w:val="20"/>
                <w:szCs w:val="20"/>
              </w:rPr>
            </w:pPr>
            <w:r>
              <w:rPr>
                <w:rFonts w:hint="eastAsia" w:ascii="微软雅黑" w:hAnsi="微软雅黑" w:eastAsia="微软雅黑" w:cs="微软雅黑"/>
                <w:sz w:val="20"/>
                <w:szCs w:val="20"/>
              </w:rPr>
              <w:t>服务方案（见格式8）</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7"/>
              </w:numPr>
              <w:autoSpaceDN w:val="0"/>
              <w:adjustRightInd/>
              <w:snapToGrid/>
              <w:spacing w:after="0"/>
              <w:jc w:val="center"/>
              <w:rPr>
                <w:rFonts w:ascii="微软雅黑" w:hAnsi="微软雅黑" w:cs="微软雅黑"/>
                <w:sz w:val="20"/>
                <w:szCs w:val="20"/>
              </w:rPr>
            </w:pP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bCs/>
                <w:sz w:val="20"/>
                <w:szCs w:val="20"/>
              </w:rPr>
            </w:pPr>
            <w:r>
              <w:rPr>
                <w:rFonts w:hint="eastAsia" w:ascii="微软雅黑" w:hAnsi="微软雅黑" w:eastAsia="微软雅黑" w:cs="微软雅黑"/>
                <w:bCs/>
                <w:sz w:val="20"/>
                <w:szCs w:val="20"/>
              </w:rPr>
              <w:t>投标人认为需要提供的其它说明和资料</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right w:val="single" w:color="auto" w:sz="6" w:space="0"/>
            </w:tcBorders>
            <w:shd w:val="clear" w:color="auto" w:fill="auto"/>
            <w:vAlign w:val="center"/>
          </w:tcPr>
          <w:p>
            <w:pPr>
              <w:jc w:val="center"/>
              <w:rPr>
                <w:rFonts w:ascii="微软雅黑" w:hAnsi="微软雅黑" w:cs="微软雅黑"/>
                <w:sz w:val="20"/>
                <w:szCs w:val="20"/>
              </w:rPr>
            </w:pPr>
            <w:r>
              <w:rPr>
                <w:rFonts w:hint="eastAsia" w:ascii="微软雅黑" w:hAnsi="微软雅黑" w:cs="微软雅黑"/>
                <w:b/>
                <w:color w:val="000000"/>
                <w:sz w:val="20"/>
                <w:szCs w:val="20"/>
              </w:rPr>
              <w:t>投标人应提交的商务文件（</w:t>
            </w:r>
            <w:r>
              <w:rPr>
                <w:rFonts w:hint="eastAsia" w:ascii="微软雅黑" w:hAnsi="微软雅黑" w:cs="微软雅黑"/>
                <w:b/>
                <w:bCs/>
                <w:sz w:val="20"/>
                <w:szCs w:val="20"/>
              </w:rPr>
              <w:t>加盖投标人公章</w:t>
            </w:r>
            <w:r>
              <w:rPr>
                <w:rFonts w:hint="eastAsia" w:ascii="微软雅黑" w:hAnsi="微软雅黑" w:cs="微软雅黑"/>
                <w:b/>
                <w:color w:val="000000"/>
                <w:sz w:val="20"/>
                <w:szCs w:val="20"/>
              </w:rPr>
              <w:t>）</w:t>
            </w: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1</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bCs/>
                <w:sz w:val="20"/>
                <w:szCs w:val="20"/>
              </w:rPr>
            </w:pPr>
            <w:r>
              <w:rPr>
                <w:rFonts w:hint="eastAsia" w:ascii="微软雅黑" w:hAnsi="微软雅黑" w:eastAsia="微软雅黑" w:cs="微软雅黑"/>
                <w:bCs/>
                <w:sz w:val="20"/>
                <w:szCs w:val="20"/>
              </w:rPr>
              <w:t>投标人基本情况表（见格式9）</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sz w:val="20"/>
                <w:szCs w:val="20"/>
              </w:rPr>
            </w:pPr>
            <w:r>
              <w:rPr>
                <w:rFonts w:hint="eastAsia" w:ascii="微软雅黑" w:hAnsi="微软雅黑" w:cs="微软雅黑"/>
                <w:sz w:val="20"/>
                <w:szCs w:val="20"/>
              </w:rPr>
              <w:t>2</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微软雅黑" w:hAnsi="微软雅黑" w:cs="微软雅黑"/>
                <w:bCs/>
                <w:sz w:val="20"/>
                <w:szCs w:val="20"/>
              </w:rPr>
            </w:pPr>
            <w:r>
              <w:rPr>
                <w:rFonts w:hint="eastAsia" w:ascii="微软雅黑" w:hAnsi="微软雅黑" w:cs="微软雅黑"/>
                <w:sz w:val="20"/>
                <w:szCs w:val="20"/>
              </w:rPr>
              <w:t>NBIOT无线远传水表业绩证明</w:t>
            </w:r>
            <w:r>
              <w:rPr>
                <w:rFonts w:hint="eastAsia" w:ascii="微软雅黑" w:hAnsi="微软雅黑" w:cs="微软雅黑"/>
                <w:bCs/>
                <w:sz w:val="20"/>
                <w:szCs w:val="20"/>
              </w:rPr>
              <w:t>（格式自定）</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sz w:val="20"/>
                <w:szCs w:val="20"/>
              </w:rPr>
            </w:pPr>
            <w:r>
              <w:rPr>
                <w:rFonts w:hint="eastAsia" w:ascii="微软雅黑" w:hAnsi="微软雅黑" w:cs="微软雅黑"/>
                <w:sz w:val="20"/>
                <w:szCs w:val="20"/>
              </w:rPr>
              <w:t>3</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微软雅黑" w:hAnsi="微软雅黑" w:cs="微软雅黑"/>
                <w:bCs/>
                <w:sz w:val="20"/>
                <w:szCs w:val="20"/>
              </w:rPr>
            </w:pPr>
            <w:r>
              <w:rPr>
                <w:rFonts w:hint="eastAsia" w:ascii="微软雅黑" w:hAnsi="微软雅黑" w:cs="微软雅黑"/>
                <w:sz w:val="20"/>
                <w:szCs w:val="20"/>
              </w:rPr>
              <w:t>所投产品证书或证明</w:t>
            </w:r>
            <w:r>
              <w:rPr>
                <w:rFonts w:hint="eastAsia" w:ascii="微软雅黑" w:hAnsi="微软雅黑" w:cs="微软雅黑"/>
                <w:bCs/>
                <w:sz w:val="20"/>
                <w:szCs w:val="20"/>
              </w:rPr>
              <w:t>（格式自定）</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sz w:val="20"/>
                <w:szCs w:val="20"/>
              </w:rPr>
            </w:pPr>
            <w:r>
              <w:rPr>
                <w:rFonts w:hint="eastAsia" w:ascii="微软雅黑" w:hAnsi="微软雅黑" w:cs="微软雅黑"/>
                <w:sz w:val="20"/>
                <w:szCs w:val="20"/>
              </w:rPr>
              <w:t>4</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微软雅黑" w:hAnsi="微软雅黑" w:cs="微软雅黑"/>
                <w:bCs/>
                <w:sz w:val="20"/>
                <w:szCs w:val="20"/>
              </w:rPr>
            </w:pPr>
            <w:r>
              <w:rPr>
                <w:rFonts w:hint="eastAsia" w:ascii="微软雅黑" w:hAnsi="微软雅黑" w:cs="微软雅黑"/>
                <w:sz w:val="20"/>
                <w:szCs w:val="20"/>
              </w:rPr>
              <w:t>企业实力</w:t>
            </w:r>
            <w:r>
              <w:rPr>
                <w:rFonts w:hint="eastAsia" w:ascii="微软雅黑" w:hAnsi="微软雅黑" w:cs="微软雅黑"/>
                <w:bCs/>
                <w:sz w:val="20"/>
                <w:szCs w:val="20"/>
              </w:rPr>
              <w:t>（格式自定）</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0000FF"/>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FF"/>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FF"/>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5</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bCs/>
                <w:sz w:val="20"/>
                <w:szCs w:val="20"/>
              </w:rPr>
            </w:pPr>
            <w:r>
              <w:rPr>
                <w:rFonts w:hint="eastAsia" w:ascii="微软雅黑" w:hAnsi="微软雅黑" w:eastAsia="微软雅黑" w:cs="微软雅黑"/>
                <w:bCs/>
                <w:sz w:val="20"/>
                <w:szCs w:val="20"/>
              </w:rPr>
              <w:t>用户需求响应一览表（见格式10）</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6</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cs="微软雅黑"/>
                <w:bCs/>
                <w:sz w:val="20"/>
                <w:szCs w:val="20"/>
              </w:rPr>
            </w:pPr>
            <w:r>
              <w:rPr>
                <w:rFonts w:hint="eastAsia" w:ascii="微软雅黑" w:hAnsi="微软雅黑" w:eastAsia="微软雅黑" w:cs="微软雅黑"/>
                <w:sz w:val="20"/>
                <w:szCs w:val="20"/>
                <w:lang w:val="en-GB"/>
              </w:rPr>
              <w:t>实质性响应条款一览表（见格式</w:t>
            </w:r>
            <w:r>
              <w:rPr>
                <w:rFonts w:hint="eastAsia" w:ascii="微软雅黑" w:hAnsi="微软雅黑" w:eastAsia="微软雅黑" w:cs="微软雅黑"/>
                <w:sz w:val="20"/>
                <w:szCs w:val="20"/>
              </w:rPr>
              <w:t>11</w:t>
            </w:r>
            <w:r>
              <w:rPr>
                <w:rFonts w:hint="eastAsia" w:ascii="微软雅黑" w:hAnsi="微软雅黑" w:eastAsia="微软雅黑" w:cs="微软雅黑"/>
                <w:sz w:val="20"/>
                <w:szCs w:val="20"/>
                <w:lang w:val="en-GB"/>
              </w:rPr>
              <w:t>）</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r>
              <w:rPr>
                <w:rFonts w:hint="eastAsia" w:ascii="微软雅黑" w:hAnsi="微软雅黑" w:cs="微软雅黑"/>
                <w:sz w:val="20"/>
                <w:szCs w:val="20"/>
              </w:rPr>
              <w:t>7</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bCs/>
                <w:sz w:val="20"/>
                <w:szCs w:val="20"/>
              </w:rPr>
            </w:pPr>
            <w:r>
              <w:rPr>
                <w:rFonts w:hint="eastAsia" w:ascii="微软雅黑" w:hAnsi="微软雅黑" w:eastAsia="微软雅黑" w:cs="微软雅黑"/>
                <w:bCs/>
                <w:sz w:val="20"/>
                <w:szCs w:val="20"/>
              </w:rPr>
              <w:t>退投标保证金说明（见格式12）</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r>
              <w:rPr>
                <w:rFonts w:hint="eastAsia" w:ascii="微软雅黑" w:hAnsi="微软雅黑" w:cs="微软雅黑"/>
                <w:sz w:val="20"/>
                <w:szCs w:val="20"/>
              </w:rPr>
              <w:t>8</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rPr>
                <w:rFonts w:ascii="微软雅黑" w:hAnsi="微软雅黑" w:eastAsia="微软雅黑" w:cs="微软雅黑"/>
                <w:bCs/>
                <w:sz w:val="20"/>
                <w:szCs w:val="20"/>
              </w:rPr>
            </w:pPr>
            <w:r>
              <w:rPr>
                <w:rFonts w:hint="eastAsia" w:ascii="微软雅黑" w:hAnsi="微软雅黑" w:eastAsia="微软雅黑" w:cs="微软雅黑"/>
                <w:bCs/>
                <w:sz w:val="20"/>
                <w:szCs w:val="20"/>
              </w:rPr>
              <w:t>信用记录承诺函（见格式13）</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bottom w:val="single" w:color="auto" w:sz="12" w:space="0"/>
              <w:right w:val="single" w:color="auto" w:sz="6" w:space="0"/>
            </w:tcBorders>
            <w:shd w:val="clear" w:color="auto" w:fill="auto"/>
            <w:vAlign w:val="center"/>
          </w:tcPr>
          <w:p>
            <w:pPr>
              <w:adjustRightInd/>
              <w:rPr>
                <w:rFonts w:ascii="微软雅黑" w:hAnsi="微软雅黑" w:cs="微软雅黑"/>
                <w:sz w:val="20"/>
                <w:szCs w:val="20"/>
              </w:rPr>
            </w:pPr>
          </w:p>
        </w:tc>
        <w:tc>
          <w:tcPr>
            <w:tcW w:w="669"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微软雅黑" w:hAnsi="微软雅黑" w:cs="微软雅黑"/>
                <w:sz w:val="20"/>
                <w:szCs w:val="20"/>
              </w:rPr>
            </w:pPr>
            <w:r>
              <w:rPr>
                <w:rFonts w:hint="eastAsia" w:ascii="微软雅黑" w:hAnsi="微软雅黑" w:cs="微软雅黑"/>
                <w:sz w:val="20"/>
                <w:szCs w:val="20"/>
              </w:rPr>
              <w:t>9</w:t>
            </w:r>
          </w:p>
        </w:tc>
        <w:tc>
          <w:tcPr>
            <w:tcW w:w="5048"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11"/>
              <w:rPr>
                <w:rFonts w:ascii="微软雅黑" w:hAnsi="微软雅黑" w:eastAsia="微软雅黑" w:cs="微软雅黑"/>
                <w:bCs/>
                <w:sz w:val="20"/>
                <w:szCs w:val="20"/>
              </w:rPr>
            </w:pPr>
            <w:r>
              <w:rPr>
                <w:rFonts w:hint="eastAsia" w:ascii="微软雅黑" w:hAnsi="微软雅黑" w:eastAsia="微软雅黑" w:cs="微软雅黑"/>
                <w:bCs/>
                <w:sz w:val="20"/>
                <w:szCs w:val="20"/>
              </w:rPr>
              <w:t>投标人认为需要提供的其他商务资料</w:t>
            </w:r>
          </w:p>
        </w:tc>
        <w:tc>
          <w:tcPr>
            <w:tcW w:w="536"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微软雅黑" w:hAnsi="微软雅黑" w:cs="微软雅黑"/>
                <w:sz w:val="20"/>
                <w:szCs w:val="20"/>
              </w:rPr>
            </w:pPr>
          </w:p>
        </w:tc>
        <w:tc>
          <w:tcPr>
            <w:tcW w:w="487"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微软雅黑" w:hAnsi="微软雅黑" w:cs="微软雅黑"/>
                <w:sz w:val="20"/>
                <w:szCs w:val="20"/>
              </w:rPr>
            </w:pPr>
          </w:p>
        </w:tc>
        <w:tc>
          <w:tcPr>
            <w:tcW w:w="725" w:type="dxa"/>
            <w:tcBorders>
              <w:top w:val="single" w:color="auto" w:sz="6" w:space="0"/>
              <w:left w:val="single" w:color="auto" w:sz="6" w:space="0"/>
              <w:bottom w:val="single" w:color="auto" w:sz="12" w:space="0"/>
              <w:right w:val="single" w:color="auto" w:sz="6" w:space="0"/>
            </w:tcBorders>
            <w:shd w:val="clear" w:color="auto" w:fill="EEECE1"/>
            <w:vAlign w:val="center"/>
          </w:tcPr>
          <w:p>
            <w:pPr>
              <w:jc w:val="center"/>
              <w:rPr>
                <w:rFonts w:ascii="微软雅黑" w:hAnsi="微软雅黑" w:cs="微软雅黑"/>
                <w:sz w:val="20"/>
                <w:szCs w:val="20"/>
              </w:rPr>
            </w:pPr>
          </w:p>
        </w:tc>
        <w:tc>
          <w:tcPr>
            <w:tcW w:w="726" w:type="dxa"/>
            <w:tcBorders>
              <w:top w:val="single" w:color="auto" w:sz="6" w:space="0"/>
              <w:left w:val="single" w:color="auto" w:sz="6" w:space="0"/>
              <w:bottom w:val="single" w:color="auto" w:sz="12" w:space="0"/>
              <w:right w:val="single" w:color="auto" w:sz="12" w:space="0"/>
            </w:tcBorders>
            <w:shd w:val="clear" w:color="auto" w:fill="EEECE1"/>
            <w:vAlign w:val="center"/>
          </w:tcPr>
          <w:p>
            <w:pPr>
              <w:jc w:val="center"/>
              <w:rPr>
                <w:rFonts w:ascii="微软雅黑" w:hAnsi="微软雅黑" w:cs="微软雅黑"/>
                <w:sz w:val="20"/>
                <w:szCs w:val="20"/>
              </w:rPr>
            </w:pPr>
          </w:p>
        </w:tc>
      </w:tr>
    </w:tbl>
    <w:p>
      <w:pPr>
        <w:adjustRightInd/>
        <w:spacing w:line="360" w:lineRule="auto"/>
        <w:rPr>
          <w:rFonts w:ascii="宋体" w:hAnsi="宋体"/>
          <w:b/>
          <w:szCs w:val="21"/>
        </w:rPr>
        <w:sectPr>
          <w:pgSz w:w="11906" w:h="16838"/>
          <w:pgMar w:top="1440" w:right="1080" w:bottom="1440" w:left="1080" w:header="657" w:footer="481" w:gutter="0"/>
          <w:cols w:space="720" w:num="1"/>
        </w:sectPr>
      </w:pPr>
    </w:p>
    <w:p>
      <w:pPr>
        <w:widowControl w:val="0"/>
        <w:numPr>
          <w:ilvl w:val="0"/>
          <w:numId w:val="8"/>
        </w:numPr>
        <w:autoSpaceDN w:val="0"/>
        <w:adjustRightInd/>
        <w:snapToGrid/>
        <w:spacing w:after="0" w:line="440" w:lineRule="exact"/>
        <w:jc w:val="both"/>
        <w:rPr>
          <w:rFonts w:ascii="黑体" w:eastAsia="黑体"/>
          <w:bCs/>
          <w:sz w:val="28"/>
        </w:rPr>
      </w:pPr>
    </w:p>
    <w:p>
      <w:pPr>
        <w:pStyle w:val="5"/>
        <w:adjustRightInd w:val="0"/>
        <w:snapToGrid w:val="0"/>
        <w:spacing w:beforeLines="50" w:afterLines="50" w:line="360" w:lineRule="auto"/>
        <w:jc w:val="center"/>
        <w:rPr>
          <w:b w:val="0"/>
        </w:rPr>
      </w:pPr>
      <w:bookmarkStart w:id="1138" w:name="_Toc453957428"/>
      <w:bookmarkStart w:id="1139" w:name="_Toc275865605"/>
      <w:r>
        <w:rPr>
          <w:rFonts w:hint="eastAsia"/>
          <w:b w:val="0"/>
        </w:rPr>
        <w:t>投标函</w:t>
      </w:r>
      <w:bookmarkEnd w:id="1138"/>
      <w:bookmarkEnd w:id="1139"/>
    </w:p>
    <w:p>
      <w:pPr>
        <w:spacing w:line="360" w:lineRule="auto"/>
        <w:ind w:left="110" w:leftChars="50" w:firstLine="2"/>
        <w:rPr>
          <w:rFonts w:ascii="宋体" w:hAnsi="宋体"/>
          <w:b/>
          <w:sz w:val="21"/>
          <w:szCs w:val="21"/>
        </w:rPr>
      </w:pPr>
      <w:r>
        <w:rPr>
          <w:rFonts w:hint="eastAsia" w:ascii="宋体" w:hAnsi="宋体"/>
          <w:b/>
          <w:sz w:val="21"/>
          <w:szCs w:val="21"/>
        </w:rPr>
        <w:t>致：广州宝诚招标代理咨询有限公司</w:t>
      </w:r>
    </w:p>
    <w:p>
      <w:pPr>
        <w:spacing w:line="360" w:lineRule="auto"/>
        <w:ind w:left="110" w:leftChars="50" w:firstLine="420" w:firstLineChars="200"/>
        <w:rPr>
          <w:rFonts w:ascii="宋体" w:hAnsi="宋体"/>
          <w:sz w:val="21"/>
          <w:szCs w:val="21"/>
        </w:rPr>
      </w:pPr>
      <w:r>
        <w:rPr>
          <w:rFonts w:hint="eastAsia" w:ascii="宋体" w:hAnsi="宋体"/>
          <w:sz w:val="21"/>
          <w:szCs w:val="21"/>
        </w:rPr>
        <w:t>我方确认收到贵方</w:t>
      </w:r>
      <w:r>
        <w:rPr>
          <w:rFonts w:hint="default" w:ascii="微软雅黑" w:hAnsi="微软雅黑" w:cs="微软雅黑"/>
          <w:bCs/>
          <w:sz w:val="21"/>
          <w:szCs w:val="21"/>
          <w:u w:val="single"/>
        </w:rPr>
        <w:t>广州市增城自来水安装工程有限公司2021~2022年度远传水表采购项目</w:t>
      </w:r>
      <w:r>
        <w:rPr>
          <w:rFonts w:hint="eastAsia" w:ascii="宋体" w:hAnsi="宋体"/>
          <w:kern w:val="28"/>
          <w:sz w:val="21"/>
          <w:szCs w:val="21"/>
        </w:rPr>
        <w:t>服务内容</w:t>
      </w:r>
      <w:r>
        <w:rPr>
          <w:rFonts w:hint="eastAsia" w:ascii="宋体" w:hAnsi="宋体"/>
          <w:sz w:val="21"/>
          <w:szCs w:val="21"/>
        </w:rPr>
        <w:t>及相关服务的招标文件（项目编号：GZBC21HG11004），</w:t>
      </w:r>
      <w:r>
        <w:rPr>
          <w:rFonts w:hint="eastAsia" w:ascii="宋体" w:hAnsi="宋体"/>
          <w:sz w:val="21"/>
          <w:szCs w:val="21"/>
          <w:u w:val="single"/>
        </w:rPr>
        <w:t xml:space="preserve"> (投标人名称、地址)</w:t>
      </w:r>
      <w:r>
        <w:rPr>
          <w:rFonts w:hint="eastAsia" w:ascii="宋体" w:hAnsi="宋体"/>
          <w:sz w:val="21"/>
          <w:szCs w:val="21"/>
        </w:rPr>
        <w:t>作为投标人已正式授权</w:t>
      </w:r>
      <w:r>
        <w:rPr>
          <w:rFonts w:hint="eastAsia" w:ascii="宋体" w:hAnsi="宋体"/>
          <w:sz w:val="21"/>
          <w:szCs w:val="21"/>
          <w:u w:val="single"/>
        </w:rPr>
        <w:t xml:space="preserve"> (被投标人授权代表全名、职务)</w:t>
      </w:r>
      <w:r>
        <w:rPr>
          <w:rFonts w:hint="eastAsia" w:ascii="宋体" w:hAnsi="宋体"/>
          <w:sz w:val="21"/>
          <w:szCs w:val="21"/>
        </w:rPr>
        <w:t>为我方签名代表，签名代表在此声明并同意：</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我们愿意遵守采购代理机构招标文件的各项规定，自愿参加投标, 并已清楚招标文件的要求及有关文件规定，并严格按照招标文件的规定履行全部责任和义务。</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我们同意本投标自投标截止之日起</w:t>
      </w:r>
      <w:r>
        <w:rPr>
          <w:rFonts w:hint="eastAsia" w:ascii="宋体" w:hAnsi="宋体"/>
          <w:b/>
          <w:sz w:val="21"/>
          <w:szCs w:val="21"/>
          <w:u w:val="single"/>
        </w:rPr>
        <w:t>90</w:t>
      </w:r>
      <w:r>
        <w:rPr>
          <w:rFonts w:hint="eastAsia" w:ascii="宋体" w:hAnsi="宋体"/>
          <w:b/>
          <w:sz w:val="21"/>
          <w:szCs w:val="21"/>
        </w:rPr>
        <w:t>天内有效。如果我们的投标被接受，则直至合同生效时止，本投标始终有效并不撤回已递交的投标文件。</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我们已经详细地阅读并完全明白了全部招标文件及附件，包括澄清（如有）及参考文件，我们完全理解本招标文件的要求，</w:t>
      </w:r>
      <w:r>
        <w:rPr>
          <w:rFonts w:hint="eastAsia" w:ascii="宋体"/>
          <w:b/>
          <w:sz w:val="21"/>
          <w:szCs w:val="21"/>
        </w:rPr>
        <w:t>我们同意放弃对招标文件提出不明或误解的一切权力</w:t>
      </w:r>
      <w:r>
        <w:rPr>
          <w:rFonts w:hint="eastAsia" w:ascii="宋体" w:hAnsi="宋体"/>
          <w:b/>
          <w:sz w:val="21"/>
          <w:szCs w:val="21"/>
        </w:rPr>
        <w:t>。</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我们同意提供招标采购单位与评标委员会要求的有关投标的一切数据或资料。</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我们理解招标采购单位与评标委员会并无义务必须接受最低报价的投标或其它任何投标，完全理解采购代理机构拒绝迟到的任何投标和最低投标报价不是被授予中标的唯一条件。</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 xml:space="preserve">如果我们未对招标文件全部要求作出实质性响应，则完全同意并接受按无效投标处理。 </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我们是依法注册的法人，在法律、财务及运作上完全独立于（采购人）和广州宝诚招标代理咨询有限公司（采购代理机构）。</w:t>
      </w:r>
    </w:p>
    <w:p>
      <w:pPr>
        <w:widowControl w:val="0"/>
        <w:numPr>
          <w:ilvl w:val="0"/>
          <w:numId w:val="9"/>
        </w:numPr>
        <w:autoSpaceDN w:val="0"/>
        <w:adjustRightInd/>
        <w:spacing w:after="0" w:line="360" w:lineRule="auto"/>
        <w:jc w:val="both"/>
        <w:rPr>
          <w:rFonts w:ascii="宋体" w:hAnsi="宋体"/>
          <w:b/>
          <w:sz w:val="21"/>
          <w:szCs w:val="21"/>
        </w:rPr>
      </w:pPr>
      <w:r>
        <w:rPr>
          <w:rFonts w:hint="eastAsia" w:ascii="宋体" w:hAnsi="宋体"/>
          <w:b/>
          <w:sz w:val="21"/>
          <w:szCs w:val="21"/>
        </w:rPr>
        <w:t xml:space="preserve">所有有关本次投标的函电请寄：  （投标人地址）     </w:t>
      </w:r>
    </w:p>
    <w:p>
      <w:pPr>
        <w:spacing w:line="360" w:lineRule="auto"/>
        <w:ind w:left="420" w:firstLine="310"/>
        <w:rPr>
          <w:rFonts w:ascii="宋体" w:hAnsi="宋体"/>
          <w:b/>
          <w:sz w:val="21"/>
          <w:szCs w:val="21"/>
        </w:rPr>
      </w:pPr>
      <w:r>
        <w:rPr>
          <w:rFonts w:hint="eastAsia" w:ascii="宋体" w:hAnsi="宋体"/>
          <w:b/>
          <w:sz w:val="21"/>
          <w:szCs w:val="21"/>
        </w:rPr>
        <w:t>备注：本投标函内容不得擅自删改，否则视为无效投标。（</w:t>
      </w:r>
      <w:r>
        <w:rPr>
          <w:rFonts w:hint="eastAsia"/>
          <w:b/>
          <w:sz w:val="21"/>
          <w:szCs w:val="21"/>
        </w:rPr>
        <w:t>此表须另附在开标小信封中。）</w:t>
      </w:r>
    </w:p>
    <w:p>
      <w:pPr>
        <w:spacing w:line="360" w:lineRule="auto"/>
        <w:rPr>
          <w:rFonts w:ascii="宋体" w:hAnsi="宋体"/>
          <w:b/>
          <w:sz w:val="21"/>
          <w:szCs w:val="21"/>
        </w:rPr>
      </w:pPr>
    </w:p>
    <w:p>
      <w:pPr>
        <w:spacing w:line="360" w:lineRule="auto"/>
        <w:ind w:left="504" w:leftChars="229" w:firstLine="210" w:firstLineChars="100"/>
        <w:rPr>
          <w:rFonts w:ascii="宋体" w:hAnsi="宋体"/>
          <w:sz w:val="21"/>
          <w:szCs w:val="21"/>
        </w:rPr>
      </w:pPr>
      <w:r>
        <w:rPr>
          <w:rFonts w:hint="eastAsia" w:ascii="宋体"/>
          <w:sz w:val="21"/>
          <w:szCs w:val="21"/>
        </w:rPr>
        <w:t>法定代表人或</w:t>
      </w:r>
      <w:r>
        <w:rPr>
          <w:rFonts w:hint="eastAsia" w:ascii="宋体" w:hAnsi="宋体"/>
          <w:sz w:val="21"/>
          <w:szCs w:val="21"/>
        </w:rPr>
        <w:t>投标人授权代表（签名或盖章）：</w:t>
      </w:r>
    </w:p>
    <w:p>
      <w:pPr>
        <w:spacing w:line="360" w:lineRule="auto"/>
        <w:ind w:left="504" w:leftChars="229" w:firstLine="210" w:firstLineChars="100"/>
        <w:rPr>
          <w:rFonts w:ascii="宋体"/>
          <w:sz w:val="21"/>
          <w:szCs w:val="21"/>
        </w:rPr>
      </w:pPr>
      <w:r>
        <w:rPr>
          <w:rFonts w:hint="eastAsia" w:ascii="宋体"/>
          <w:sz w:val="21"/>
          <w:szCs w:val="21"/>
        </w:rPr>
        <w:t xml:space="preserve">职务：                    </w:t>
      </w:r>
    </w:p>
    <w:p>
      <w:pPr>
        <w:spacing w:line="360" w:lineRule="auto"/>
        <w:ind w:left="504" w:leftChars="229" w:firstLine="210" w:firstLineChars="100"/>
        <w:rPr>
          <w:rFonts w:ascii="宋体"/>
          <w:sz w:val="21"/>
          <w:szCs w:val="21"/>
        </w:rPr>
      </w:pPr>
      <w:r>
        <w:rPr>
          <w:rFonts w:hint="eastAsia" w:ascii="宋体"/>
          <w:sz w:val="21"/>
          <w:szCs w:val="21"/>
        </w:rPr>
        <w:t xml:space="preserve">投标人名称:                         </w:t>
      </w:r>
    </w:p>
    <w:p>
      <w:pPr>
        <w:spacing w:line="360" w:lineRule="auto"/>
        <w:ind w:left="504" w:leftChars="229" w:firstLine="210" w:firstLineChars="100"/>
        <w:rPr>
          <w:rFonts w:ascii="宋体"/>
          <w:sz w:val="21"/>
          <w:szCs w:val="21"/>
        </w:rPr>
      </w:pPr>
      <w:r>
        <w:rPr>
          <w:rFonts w:hint="eastAsia" w:ascii="宋体"/>
          <w:sz w:val="21"/>
          <w:szCs w:val="21"/>
        </w:rPr>
        <w:t xml:space="preserve">投标人公章：           </w:t>
      </w:r>
    </w:p>
    <w:p>
      <w:pPr>
        <w:spacing w:line="360" w:lineRule="auto"/>
        <w:ind w:left="504" w:leftChars="229" w:firstLine="210" w:firstLineChars="100"/>
        <w:rPr>
          <w:rFonts w:ascii="宋体"/>
          <w:sz w:val="21"/>
          <w:szCs w:val="21"/>
        </w:rPr>
      </w:pPr>
      <w:r>
        <w:rPr>
          <w:rFonts w:hint="eastAsia" w:ascii="宋体"/>
          <w:sz w:val="21"/>
          <w:szCs w:val="21"/>
        </w:rPr>
        <w:t xml:space="preserve">电话：                传真：              邮编：   </w:t>
      </w:r>
    </w:p>
    <w:p>
      <w:pPr>
        <w:widowControl w:val="0"/>
        <w:autoSpaceDN w:val="0"/>
        <w:adjustRightInd/>
        <w:snapToGrid/>
        <w:spacing w:after="0" w:line="440" w:lineRule="exact"/>
        <w:jc w:val="both"/>
        <w:rPr>
          <w:b/>
        </w:rPr>
      </w:pPr>
      <w:r>
        <w:rPr>
          <w:rFonts w:hint="eastAsia" w:ascii="黑体" w:eastAsia="黑体"/>
          <w:bCs/>
          <w:sz w:val="28"/>
        </w:rPr>
        <w:br w:type="page"/>
      </w:r>
      <w:bookmarkStart w:id="1140" w:name="_Toc453957429"/>
      <w:bookmarkStart w:id="1141" w:name="_Toc275865606"/>
      <w:r>
        <w:rPr>
          <w:rFonts w:hint="eastAsia" w:ascii="黑体"/>
          <w:sz w:val="28"/>
        </w:rPr>
        <w:t>格式2</w:t>
      </w:r>
      <w:bookmarkEnd w:id="1140"/>
      <w:bookmarkEnd w:id="1141"/>
    </w:p>
    <w:p>
      <w:pPr>
        <w:jc w:val="center"/>
        <w:rPr>
          <w:rFonts w:ascii="微软雅黑" w:hAnsi="微软雅黑" w:cs="微软雅黑"/>
          <w:b/>
          <w:sz w:val="28"/>
          <w:szCs w:val="28"/>
          <w:lang w:val="en-GB"/>
        </w:rPr>
      </w:pPr>
      <w:r>
        <w:rPr>
          <w:rFonts w:hint="eastAsia" w:ascii="微软雅黑" w:hAnsi="微软雅黑" w:cs="微软雅黑"/>
          <w:b/>
          <w:sz w:val="28"/>
          <w:szCs w:val="28"/>
          <w:lang w:val="en-GB"/>
        </w:rPr>
        <w:t>资格声明</w:t>
      </w:r>
    </w:p>
    <w:p>
      <w:pPr>
        <w:spacing w:line="360" w:lineRule="auto"/>
        <w:rPr>
          <w:rFonts w:ascii="微软雅黑" w:hAnsi="微软雅黑" w:cs="微软雅黑"/>
          <w:b/>
          <w:iCs/>
          <w:sz w:val="21"/>
          <w:szCs w:val="21"/>
        </w:rPr>
      </w:pPr>
    </w:p>
    <w:p>
      <w:pPr>
        <w:spacing w:line="360" w:lineRule="auto"/>
        <w:rPr>
          <w:rFonts w:ascii="微软雅黑" w:hAnsi="微软雅黑" w:cs="微软雅黑"/>
          <w:sz w:val="21"/>
          <w:szCs w:val="21"/>
        </w:rPr>
      </w:pPr>
      <w:r>
        <w:rPr>
          <w:rFonts w:hint="eastAsia" w:ascii="微软雅黑" w:hAnsi="微软雅黑" w:cs="微软雅黑"/>
          <w:sz w:val="21"/>
          <w:szCs w:val="21"/>
        </w:rPr>
        <w:t>广州宝诚招标代理咨询有限公司：</w:t>
      </w:r>
    </w:p>
    <w:p>
      <w:pPr>
        <w:spacing w:line="360" w:lineRule="auto"/>
        <w:ind w:firstLine="540"/>
        <w:rPr>
          <w:rFonts w:ascii="微软雅黑" w:hAnsi="微软雅黑" w:cs="微软雅黑"/>
          <w:sz w:val="21"/>
          <w:szCs w:val="21"/>
        </w:rPr>
      </w:pPr>
      <w:r>
        <w:rPr>
          <w:rFonts w:hint="eastAsia" w:ascii="微软雅黑" w:hAnsi="微软雅黑" w:cs="微软雅黑"/>
          <w:sz w:val="21"/>
          <w:szCs w:val="21"/>
        </w:rPr>
        <w:t>下述投标人自愿响应贵方</w:t>
      </w:r>
      <w:r>
        <w:rPr>
          <w:rFonts w:hint="eastAsia" w:ascii="微软雅黑" w:hAnsi="微软雅黑" w:cs="微软雅黑"/>
          <w:sz w:val="21"/>
          <w:szCs w:val="21"/>
          <w:u w:val="single"/>
        </w:rPr>
        <w:t>****</w:t>
      </w:r>
      <w:r>
        <w:rPr>
          <w:rFonts w:hint="eastAsia" w:ascii="微软雅黑" w:hAnsi="微软雅黑" w:cs="微软雅黑"/>
          <w:sz w:val="21"/>
          <w:szCs w:val="21"/>
        </w:rPr>
        <w:t>（项目编号：####）招标邀请，参与本采购项目</w:t>
      </w:r>
      <w:r>
        <w:rPr>
          <w:rFonts w:hint="eastAsia" w:ascii="微软雅黑" w:hAnsi="微软雅黑" w:cs="微软雅黑"/>
          <w:sz w:val="21"/>
          <w:szCs w:val="21"/>
          <w:lang w:val="af-ZA"/>
        </w:rPr>
        <w:t>的投标事宜</w:t>
      </w:r>
      <w:r>
        <w:rPr>
          <w:rFonts w:hint="eastAsia" w:ascii="微软雅黑" w:hAnsi="微软雅黑" w:cs="微软雅黑"/>
          <w:sz w:val="21"/>
          <w:szCs w:val="21"/>
        </w:rPr>
        <w:t>，并按招标文件的要求提交所附资格文件且声明和保证如下：</w:t>
      </w:r>
    </w:p>
    <w:p>
      <w:pPr>
        <w:spacing w:line="360" w:lineRule="auto"/>
        <w:ind w:firstLine="567" w:firstLineChars="270"/>
        <w:rPr>
          <w:rFonts w:ascii="微软雅黑" w:hAnsi="微软雅黑" w:cs="微软雅黑"/>
          <w:sz w:val="21"/>
          <w:szCs w:val="21"/>
        </w:rPr>
      </w:pPr>
      <w:r>
        <w:rPr>
          <w:rFonts w:hint="eastAsia" w:ascii="微软雅黑" w:hAnsi="微软雅黑" w:cs="微软雅黑"/>
          <w:sz w:val="21"/>
          <w:szCs w:val="21"/>
        </w:rPr>
        <w:t>1.我方为本次采购所提交的所有证明其合格和资格的文件是真实的和正确的，并愿为其真实性和正确性承担法律责任；</w:t>
      </w:r>
    </w:p>
    <w:p>
      <w:pPr>
        <w:spacing w:line="360" w:lineRule="auto"/>
        <w:ind w:firstLine="567" w:firstLineChars="270"/>
        <w:rPr>
          <w:rFonts w:ascii="微软雅黑" w:hAnsi="微软雅黑" w:cs="微软雅黑"/>
          <w:sz w:val="21"/>
          <w:szCs w:val="21"/>
        </w:rPr>
      </w:pPr>
      <w:r>
        <w:rPr>
          <w:rFonts w:hint="eastAsia" w:ascii="微软雅黑" w:hAnsi="微软雅黑" w:cs="微软雅黑"/>
          <w:sz w:val="21"/>
          <w:szCs w:val="21"/>
        </w:rPr>
        <w:t>2.我方是依法注册的法人或非法人组织，具有独立承担民事责任的能力，提供以下相关证照的原件扫描件（见附件）之一：1.企业法人营业执照；2.事业法人登记证。在法律上、财务上和运作上完全独立于xxx；</w:t>
      </w:r>
    </w:p>
    <w:p>
      <w:pPr>
        <w:spacing w:line="360" w:lineRule="auto"/>
        <w:ind w:firstLine="567" w:firstLineChars="270"/>
        <w:rPr>
          <w:rFonts w:ascii="微软雅黑" w:hAnsi="微软雅黑" w:cs="微软雅黑"/>
          <w:sz w:val="21"/>
          <w:szCs w:val="21"/>
        </w:rPr>
      </w:pPr>
      <w:r>
        <w:rPr>
          <w:rFonts w:hint="eastAsia" w:ascii="微软雅黑" w:hAnsi="微软雅黑" w:cs="微软雅黑"/>
          <w:sz w:val="21"/>
          <w:szCs w:val="21"/>
        </w:rPr>
        <w:t>3.我方在参与投标活动中三年内没有重大违法活动及涉嫌违规行为，并没有因此而被有关部门警告或处分的记录。</w:t>
      </w:r>
    </w:p>
    <w:p>
      <w:pPr>
        <w:spacing w:line="360" w:lineRule="auto"/>
        <w:ind w:firstLine="567" w:firstLineChars="270"/>
        <w:rPr>
          <w:rFonts w:ascii="微软雅黑" w:hAnsi="微软雅黑" w:cs="微软雅黑"/>
          <w:sz w:val="21"/>
          <w:szCs w:val="21"/>
        </w:rPr>
      </w:pPr>
      <w:r>
        <w:rPr>
          <w:rFonts w:hint="eastAsia" w:ascii="微软雅黑" w:hAnsi="微软雅黑" w:cs="微软雅黑"/>
          <w:sz w:val="21"/>
          <w:szCs w:val="21"/>
        </w:rPr>
        <w:t>4.我方没有处于被责令停业或破产状态，且资产未被重组、接管和冻结。</w:t>
      </w:r>
    </w:p>
    <w:p>
      <w:pPr>
        <w:wordWrap w:val="0"/>
        <w:spacing w:line="360" w:lineRule="auto"/>
        <w:rPr>
          <w:rFonts w:ascii="微软雅黑" w:hAnsi="微软雅黑" w:cs="微软雅黑"/>
          <w:sz w:val="21"/>
          <w:szCs w:val="21"/>
        </w:rPr>
      </w:pPr>
    </w:p>
    <w:p>
      <w:pPr>
        <w:wordWrap w:val="0"/>
        <w:spacing w:line="360" w:lineRule="auto"/>
        <w:ind w:firstLine="645"/>
        <w:rPr>
          <w:rFonts w:ascii="微软雅黑" w:hAnsi="微软雅黑" w:cs="微软雅黑"/>
          <w:sz w:val="21"/>
          <w:szCs w:val="21"/>
        </w:rPr>
      </w:pPr>
    </w:p>
    <w:p>
      <w:pPr>
        <w:wordWrap w:val="0"/>
        <w:spacing w:line="360" w:lineRule="auto"/>
        <w:ind w:firstLine="645"/>
        <w:rPr>
          <w:rFonts w:ascii="微软雅黑" w:hAnsi="微软雅黑" w:cs="微软雅黑"/>
          <w:sz w:val="21"/>
          <w:szCs w:val="21"/>
        </w:rPr>
      </w:pPr>
    </w:p>
    <w:p>
      <w:pPr>
        <w:spacing w:line="360" w:lineRule="auto"/>
        <w:ind w:left="4455" w:leftChars="2025"/>
        <w:rPr>
          <w:rFonts w:ascii="微软雅黑" w:hAnsi="微软雅黑" w:cs="微软雅黑"/>
          <w:sz w:val="21"/>
          <w:szCs w:val="21"/>
        </w:rPr>
      </w:pPr>
      <w:r>
        <w:rPr>
          <w:rFonts w:hint="eastAsia" w:ascii="微软雅黑" w:hAnsi="微软雅黑" w:cs="微软雅黑"/>
          <w:sz w:val="21"/>
          <w:szCs w:val="21"/>
        </w:rPr>
        <w:t>投标人名称（单位公章）：</w:t>
      </w:r>
    </w:p>
    <w:p>
      <w:pPr>
        <w:spacing w:line="360" w:lineRule="auto"/>
        <w:ind w:right="57" w:rightChars="26" w:firstLine="4410" w:firstLineChars="2100"/>
        <w:rPr>
          <w:rFonts w:ascii="微软雅黑" w:hAnsi="微软雅黑" w:cs="微软雅黑"/>
          <w:sz w:val="21"/>
          <w:szCs w:val="21"/>
        </w:rPr>
      </w:pPr>
      <w:r>
        <w:rPr>
          <w:rFonts w:hint="eastAsia" w:ascii="微软雅黑" w:hAnsi="微软雅黑" w:cs="微软雅黑"/>
          <w:sz w:val="21"/>
          <w:szCs w:val="21"/>
        </w:rPr>
        <w:t>法定代表人/负责人/委托代理人（签字或盖章）：</w:t>
      </w:r>
    </w:p>
    <w:p>
      <w:pPr>
        <w:spacing w:line="360" w:lineRule="auto"/>
        <w:ind w:firstLine="4515" w:firstLineChars="2150"/>
        <w:rPr>
          <w:rFonts w:ascii="微软雅黑" w:hAnsi="微软雅黑" w:cs="微软雅黑"/>
          <w:sz w:val="21"/>
          <w:szCs w:val="21"/>
        </w:rPr>
      </w:pPr>
      <w:r>
        <w:rPr>
          <w:rFonts w:hint="eastAsia" w:ascii="微软雅黑" w:hAnsi="微软雅黑" w:cs="微软雅黑"/>
          <w:sz w:val="21"/>
          <w:szCs w:val="21"/>
        </w:rPr>
        <w:t>日期：   年   月   日</w:t>
      </w:r>
    </w:p>
    <w:p>
      <w:pPr>
        <w:spacing w:line="360" w:lineRule="auto"/>
        <w:rPr>
          <w:rFonts w:asciiTheme="minorEastAsia" w:hAnsiTheme="minorEastAsia" w:eastAsiaTheme="minorEastAsia"/>
          <w:b/>
          <w:sz w:val="21"/>
          <w:szCs w:val="21"/>
        </w:rPr>
      </w:pPr>
    </w:p>
    <w:p>
      <w:pPr>
        <w:spacing w:line="360" w:lineRule="auto"/>
        <w:rPr>
          <w:rFonts w:ascii="黑体" w:eastAsia="黑体"/>
          <w:bCs/>
          <w:sz w:val="28"/>
        </w:rPr>
      </w:pPr>
      <w:r>
        <w:rPr>
          <w:rFonts w:hint="eastAsia" w:ascii="黑体" w:eastAsia="黑体"/>
          <w:bCs/>
          <w:sz w:val="28"/>
        </w:rPr>
        <w:t>格式3</w:t>
      </w:r>
    </w:p>
    <w:p>
      <w:pPr>
        <w:pStyle w:val="5"/>
        <w:adjustRightInd w:val="0"/>
        <w:snapToGrid w:val="0"/>
        <w:spacing w:beforeLines="50" w:afterLines="50" w:line="360" w:lineRule="auto"/>
        <w:jc w:val="center"/>
        <w:rPr>
          <w:b w:val="0"/>
        </w:rPr>
      </w:pPr>
      <w:r>
        <w:rPr>
          <w:rFonts w:hint="eastAsia"/>
          <w:b w:val="0"/>
        </w:rPr>
        <w:t>承诺函</w:t>
      </w:r>
    </w:p>
    <w:p>
      <w:pPr>
        <w:spacing w:line="360" w:lineRule="auto"/>
        <w:ind w:firstLine="700" w:firstLineChars="250"/>
        <w:rPr>
          <w:rFonts w:ascii="宋体" w:hAnsi="宋体"/>
          <w:sz w:val="28"/>
          <w:szCs w:val="28"/>
        </w:rPr>
      </w:pPr>
    </w:p>
    <w:p>
      <w:pPr>
        <w:spacing w:line="360" w:lineRule="auto"/>
        <w:ind w:firstLine="420" w:firstLineChars="200"/>
        <w:rPr>
          <w:rFonts w:ascii="宋体" w:hAnsi="宋体"/>
          <w:bCs/>
          <w:sz w:val="21"/>
          <w:szCs w:val="21"/>
        </w:rPr>
      </w:pPr>
      <w:r>
        <w:rPr>
          <w:rFonts w:hint="eastAsia" w:ascii="宋体" w:hAnsi="宋体"/>
          <w:bCs/>
          <w:sz w:val="21"/>
          <w:szCs w:val="21"/>
        </w:rPr>
        <w:t>本公司（组织机构代码证号：）为项目（交易编号：）的投标人。如本公司被确认为该项目的供应方，承诺按采购方提交的合同版本来签署《采购合同》。</w:t>
      </w: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r>
        <w:rPr>
          <w:rFonts w:hint="eastAsia" w:ascii="宋体" w:hAnsi="宋体"/>
          <w:bCs/>
          <w:sz w:val="21"/>
          <w:szCs w:val="21"/>
        </w:rPr>
        <w:t>附件：《采购合同》</w:t>
      </w: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r>
        <w:rPr>
          <w:rFonts w:hint="eastAsia" w:ascii="宋体" w:hAnsi="宋体"/>
          <w:bCs/>
          <w:sz w:val="21"/>
          <w:szCs w:val="21"/>
        </w:rPr>
        <w:t xml:space="preserve">投标人（签章）：  </w:t>
      </w: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sz w:val="30"/>
          <w:szCs w:val="30"/>
        </w:rPr>
      </w:pPr>
      <w:r>
        <w:rPr>
          <w:rFonts w:hint="eastAsia" w:ascii="宋体" w:hAnsi="宋体"/>
          <w:bCs/>
          <w:sz w:val="21"/>
          <w:szCs w:val="21"/>
        </w:rPr>
        <w:t xml:space="preserve"> 年    月    日</w:t>
      </w:r>
    </w:p>
    <w:p>
      <w:pPr>
        <w:spacing w:line="360" w:lineRule="auto"/>
        <w:rPr>
          <w:rFonts w:ascii="黑体" w:eastAsia="黑体"/>
          <w:bCs/>
          <w:sz w:val="28"/>
        </w:rPr>
      </w:pPr>
      <w:r>
        <w:rPr>
          <w:sz w:val="21"/>
          <w:szCs w:val="21"/>
        </w:rPr>
        <w:br w:type="page"/>
      </w:r>
      <w:bookmarkStart w:id="1142" w:name="_Toc50736476"/>
      <w:bookmarkStart w:id="1143" w:name="_Toc50737296"/>
      <w:bookmarkStart w:id="1144" w:name="_Toc50737297"/>
      <w:bookmarkStart w:id="1145" w:name="_Toc275865607"/>
      <w:bookmarkStart w:id="1146" w:name="_Toc50737329"/>
      <w:bookmarkStart w:id="1147" w:name="_Toc50737328"/>
      <w:bookmarkStart w:id="1148" w:name="_Toc50691034"/>
      <w:bookmarkStart w:id="1149" w:name="_Toc50736477"/>
      <w:bookmarkStart w:id="1150" w:name="_Toc52165080"/>
      <w:bookmarkStart w:id="1151" w:name="_Toc52165081"/>
      <w:r>
        <w:rPr>
          <w:rFonts w:hint="eastAsia" w:ascii="黑体" w:eastAsia="黑体"/>
          <w:bCs/>
          <w:sz w:val="28"/>
        </w:rPr>
        <w:t>格式4</w:t>
      </w:r>
    </w:p>
    <w:p>
      <w:pPr>
        <w:pStyle w:val="5"/>
        <w:jc w:val="center"/>
        <w:rPr>
          <w:rFonts w:ascii="宋体" w:hAnsi="宋体"/>
          <w:b w:val="0"/>
          <w:sz w:val="36"/>
          <w:szCs w:val="36"/>
        </w:rPr>
      </w:pPr>
      <w:bookmarkStart w:id="1152" w:name="_Toc453957430"/>
      <w:r>
        <w:rPr>
          <w:rFonts w:hint="eastAsia"/>
          <w:b w:val="0"/>
        </w:rPr>
        <w:t>公平竞争承诺书</w:t>
      </w:r>
      <w:bookmarkEnd w:id="1152"/>
    </w:p>
    <w:p>
      <w:pPr>
        <w:spacing w:line="360" w:lineRule="auto"/>
        <w:ind w:firstLine="420" w:firstLineChars="200"/>
        <w:rPr>
          <w:sz w:val="21"/>
          <w:szCs w:val="21"/>
        </w:rPr>
      </w:pPr>
      <w:r>
        <w:rPr>
          <w:rFonts w:hint="eastAsia"/>
          <w:sz w:val="21"/>
          <w:szCs w:val="21"/>
        </w:rPr>
        <w:t>本公司郑重承诺：本公司保证所提交的相关资质文件和证明材料的真实性，有良好的历史诚信记录，并将依法参与</w:t>
      </w:r>
      <w:r>
        <w:rPr>
          <w:rFonts w:hint="default" w:ascii="微软雅黑" w:hAnsi="微软雅黑" w:cs="微软雅黑"/>
          <w:bCs/>
          <w:sz w:val="21"/>
          <w:szCs w:val="21"/>
        </w:rPr>
        <w:t>广州市增城自来水安装工程有限公司2021~2022年度远传水表采购项目</w:t>
      </w:r>
      <w:r>
        <w:rPr>
          <w:rFonts w:hint="eastAsia"/>
          <w:sz w:val="21"/>
          <w:szCs w:val="21"/>
        </w:rPr>
        <w:t>的公平竞争，不以任何不正当行为谋取不当利益，否则承担相应的法律责任。</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jc w:val="right"/>
        <w:rPr>
          <w:sz w:val="21"/>
          <w:szCs w:val="21"/>
        </w:rPr>
      </w:pPr>
      <w:r>
        <w:rPr>
          <w:rFonts w:hint="eastAsia"/>
          <w:sz w:val="21"/>
          <w:szCs w:val="21"/>
        </w:rPr>
        <w:t>（公司名称，加盖公章）</w:t>
      </w:r>
      <w:bookmarkEnd w:id="1142"/>
      <w:bookmarkEnd w:id="1143"/>
      <w:bookmarkEnd w:id="1144"/>
      <w:bookmarkEnd w:id="1145"/>
      <w:bookmarkEnd w:id="1146"/>
      <w:bookmarkEnd w:id="1147"/>
      <w:bookmarkEnd w:id="1148"/>
      <w:bookmarkEnd w:id="1149"/>
      <w:bookmarkEnd w:id="1150"/>
      <w:bookmarkEnd w:id="1151"/>
    </w:p>
    <w:p>
      <w:pPr>
        <w:rPr>
          <w:b/>
          <w:sz w:val="21"/>
          <w:szCs w:val="21"/>
        </w:rPr>
      </w:pPr>
    </w:p>
    <w:p>
      <w:pPr>
        <w:rPr>
          <w:rFonts w:ascii="Arial" w:hAnsi="Arial" w:eastAsia="黑体"/>
          <w:bCs/>
          <w:kern w:val="2"/>
          <w:sz w:val="21"/>
          <w:szCs w:val="21"/>
        </w:rPr>
        <w:sectPr>
          <w:pgSz w:w="11906" w:h="16838"/>
          <w:pgMar w:top="1440" w:right="1080" w:bottom="1440" w:left="1080" w:header="657" w:footer="481" w:gutter="0"/>
          <w:cols w:space="720" w:num="1"/>
        </w:sectPr>
      </w:pPr>
    </w:p>
    <w:p>
      <w:pPr>
        <w:spacing w:line="440" w:lineRule="exact"/>
        <w:rPr>
          <w:b/>
        </w:rPr>
      </w:pPr>
      <w:r>
        <w:rPr>
          <w:rFonts w:hint="eastAsia" w:ascii="黑体" w:eastAsia="黑体"/>
          <w:bCs/>
          <w:sz w:val="28"/>
        </w:rPr>
        <w:t>格式5</w:t>
      </w:r>
    </w:p>
    <w:p>
      <w:pPr>
        <w:pStyle w:val="5"/>
        <w:adjustRightInd w:val="0"/>
        <w:snapToGrid w:val="0"/>
        <w:spacing w:beforeLines="50" w:afterLines="50" w:line="360" w:lineRule="auto"/>
        <w:jc w:val="center"/>
        <w:rPr>
          <w:b w:val="0"/>
        </w:rPr>
      </w:pPr>
      <w:bookmarkStart w:id="1153" w:name="_Toc453957431"/>
      <w:r>
        <w:rPr>
          <w:rFonts w:hint="eastAsia"/>
          <w:b w:val="0"/>
        </w:rPr>
        <w:t>法定代表人授权委托书</w:t>
      </w:r>
      <w:bookmarkEnd w:id="1153"/>
    </w:p>
    <w:p>
      <w:pPr>
        <w:pStyle w:val="11"/>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（项目名称、项目编号）   </w:t>
      </w:r>
      <w:r>
        <w:rPr>
          <w:rFonts w:hint="eastAsia"/>
        </w:rPr>
        <w:t>的招投标活动，采购合同的签订、执行、完成和售后服务，作为投标人代表以我方的名义处理一切与之有关的事务。</w:t>
      </w:r>
    </w:p>
    <w:p>
      <w:pPr>
        <w:pStyle w:val="11"/>
        <w:spacing w:line="360" w:lineRule="auto"/>
        <w:ind w:firstLine="420" w:firstLineChars="200"/>
      </w:pPr>
      <w:r>
        <w:rPr>
          <w:rFonts w:hint="eastAsia"/>
        </w:rPr>
        <w:t>被授权人（投标人授权代表）无转委托权限。</w:t>
      </w:r>
    </w:p>
    <w:p>
      <w:pPr>
        <w:spacing w:line="360" w:lineRule="auto"/>
        <w:ind w:firstLine="420" w:firstLineChars="200"/>
        <w:rPr>
          <w:rFonts w:ascii="宋体"/>
          <w:sz w:val="21"/>
          <w:szCs w:val="21"/>
        </w:rPr>
      </w:pPr>
      <w:r>
        <w:rPr>
          <w:rFonts w:hint="eastAsia" w:ascii="宋体"/>
          <w:sz w:val="21"/>
          <w:szCs w:val="21"/>
        </w:rPr>
        <w:t>本授权书自法定代表人签字之日起生效，特此声明。</w:t>
      </w:r>
    </w:p>
    <w:p>
      <w:pPr>
        <w:spacing w:line="480" w:lineRule="auto"/>
        <w:ind w:left="2" w:leftChars="1" w:firstLine="1365" w:firstLineChars="650"/>
        <w:rPr>
          <w:rFonts w:ascii="宋体" w:hAnsi="宋体"/>
          <w:sz w:val="21"/>
          <w:szCs w:val="21"/>
        </w:rPr>
      </w:pPr>
    </w:p>
    <w:p>
      <w:pPr>
        <w:spacing w:line="360" w:lineRule="auto"/>
        <w:rPr>
          <w:rFonts w:ascii="宋体"/>
          <w:b/>
          <w:sz w:val="21"/>
          <w:szCs w:val="21"/>
        </w:rPr>
      </w:pPr>
      <w:r>
        <w:rPr>
          <w:rFonts w:hint="eastAsia" w:ascii="宋体"/>
          <w:b/>
          <w:sz w:val="21"/>
          <w:szCs w:val="21"/>
        </w:rPr>
        <w:t>随附《法定代表人证明》</w:t>
      </w:r>
    </w:p>
    <w:p>
      <w:pPr>
        <w:spacing w:line="360" w:lineRule="auto"/>
        <w:rPr>
          <w:rFonts w:ascii="宋体"/>
          <w:sz w:val="21"/>
          <w:szCs w:val="21"/>
        </w:rPr>
      </w:pPr>
    </w:p>
    <w:p>
      <w:pPr>
        <w:spacing w:line="360" w:lineRule="auto"/>
        <w:rPr>
          <w:rFonts w:ascii="宋体"/>
          <w:sz w:val="21"/>
          <w:szCs w:val="21"/>
        </w:rPr>
      </w:pPr>
      <w:r>
        <w:rPr>
          <w:rFonts w:hint="eastAsia" w:ascii="宋体"/>
          <w:sz w:val="21"/>
          <w:szCs w:val="21"/>
        </w:rPr>
        <w:t>投标人名称（</w:t>
      </w:r>
      <w:r>
        <w:rPr>
          <w:rFonts w:hint="eastAsia" w:ascii="宋体" w:hAnsi="宋体"/>
          <w:sz w:val="21"/>
          <w:szCs w:val="21"/>
        </w:rPr>
        <w:t>盖</w:t>
      </w:r>
      <w:r>
        <w:rPr>
          <w:rFonts w:hint="eastAsia" w:ascii="宋体"/>
          <w:sz w:val="21"/>
          <w:szCs w:val="21"/>
        </w:rPr>
        <w:t>公章）：</w:t>
      </w:r>
    </w:p>
    <w:p>
      <w:pPr>
        <w:spacing w:line="360" w:lineRule="auto"/>
        <w:rPr>
          <w:rFonts w:ascii="宋体"/>
          <w:sz w:val="21"/>
          <w:szCs w:val="21"/>
        </w:rPr>
      </w:pPr>
      <w:r>
        <w:rPr>
          <w:rFonts w:hint="eastAsia" w:ascii="宋体"/>
          <w:sz w:val="21"/>
          <w:szCs w:val="21"/>
        </w:rPr>
        <w:t>地      址：</w:t>
      </w:r>
    </w:p>
    <w:p>
      <w:pPr>
        <w:tabs>
          <w:tab w:val="left" w:pos="3780"/>
        </w:tabs>
        <w:spacing w:line="360" w:lineRule="auto"/>
        <w:rPr>
          <w:rFonts w:ascii="宋体"/>
          <w:sz w:val="21"/>
          <w:szCs w:val="21"/>
        </w:rPr>
      </w:pPr>
      <w:r>
        <w:rPr>
          <w:rFonts w:hint="eastAsia" w:ascii="宋体"/>
          <w:sz w:val="21"/>
          <w:szCs w:val="21"/>
        </w:rPr>
        <w:t>法定代表人（签字或盖章）：                         签字日期：</w:t>
      </w:r>
      <w:r>
        <w:rPr>
          <w:rFonts w:hint="eastAsia" w:ascii="宋体" w:hAnsi="宋体"/>
          <w:sz w:val="21"/>
          <w:szCs w:val="21"/>
        </w:rPr>
        <w:t>年月日</w:t>
      </w:r>
    </w:p>
    <w:p>
      <w:pPr>
        <w:spacing w:line="360" w:lineRule="auto"/>
        <w:ind w:left="1214" w:leftChars="552" w:firstLine="2261"/>
        <w:rPr>
          <w:rFonts w:ascii="宋体"/>
          <w:sz w:val="21"/>
          <w:szCs w:val="21"/>
        </w:rPr>
      </w:pPr>
    </w:p>
    <w:p>
      <w:pPr>
        <w:spacing w:line="360" w:lineRule="auto"/>
        <w:rPr>
          <w:rFonts w:ascii="宋体"/>
          <w:sz w:val="21"/>
          <w:szCs w:val="21"/>
        </w:rPr>
      </w:pPr>
      <w:r>
        <w:rPr>
          <w:rFonts w:hint="eastAsia"/>
          <w:sz w:val="21"/>
          <w:szCs w:val="21"/>
        </w:rPr>
        <w:t>被授权人（投标人授权代表）</w:t>
      </w:r>
      <w:r>
        <w:rPr>
          <w:rFonts w:hint="eastAsia" w:ascii="宋体"/>
          <w:sz w:val="21"/>
          <w:szCs w:val="21"/>
        </w:rPr>
        <w:t xml:space="preserve">（签字或盖章）： </w:t>
      </w:r>
    </w:p>
    <w:p>
      <w:pPr>
        <w:spacing w:line="360" w:lineRule="auto"/>
        <w:rPr>
          <w:rFonts w:ascii="宋体"/>
          <w:sz w:val="21"/>
          <w:szCs w:val="21"/>
        </w:rPr>
      </w:pPr>
      <w:r>
        <w:pict>
          <v:rect id="_x0000_s1026" o:spid="_x0000_s1026" o:spt="1" style="position:absolute;left:0pt;margin-left:0pt;margin-top:17.1pt;height:156pt;width:243pt;z-index:251660288;mso-width-relative:page;mso-height-relative:page;" coordsize="21600,21600" o:gfxdata="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NCZK1wAAAAkBAAAPAAAAAAAAAAEAIAAAACIAAABkcnMv&#10;ZG93bnJldi54bWxQSwECFAAUAAAACACHTuJAemfVywQCAAA4BAAADgAAAAAAAAABACAAAAAmAQAA&#10;ZHJzL2Uyb0RvYy54bWxQSwUGAAAAAAYABgBZAQAAnAUAAAAA&#10;">
            <v:path/>
            <v:fill focussize="0,0"/>
            <v:stroke/>
            <v:imagedata o:title=""/>
            <o:lock v:ext="edit"/>
            <v:textbo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680" w:firstLineChars="800"/>
                    <w:rPr>
                      <w:sz w:val="21"/>
                      <w:szCs w:val="21"/>
                    </w:rPr>
                  </w:pPr>
                  <w:r>
                    <w:rPr>
                      <w:rFonts w:hint="eastAsia"/>
                      <w:sz w:val="21"/>
                      <w:szCs w:val="21"/>
                    </w:rPr>
                    <w:t>（正面）</w:t>
                  </w:r>
                </w:p>
                <w:p/>
              </w:txbxContent>
            </v:textbox>
          </v:rect>
        </w:pict>
      </w:r>
      <w:r>
        <w:pict>
          <v:rect id="_x0000_s1029" o:spid="_x0000_s1029" o:spt="1" style="position:absolute;left:0pt;margin-left:257.8pt;margin-top:17.1pt;height:156pt;width:243pt;z-index:251661312;mso-width-relative:page;mso-height-relative:page;" coordsize="21600,21600" o:gfxdata="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mez81wAAAAsBAAAPAAAAAAAAAAEAIAAAACIAAABkcnMv&#10;ZG93bnJldi54bWxQSwECFAAUAAAACACHTuJAi6ZlbQQCAAA4BAAADgAAAAAAAAABACAAAAAmAQAA&#10;ZHJzL2Uyb0RvYy54bWxQSwUGAAAAAAYABgBZAQAAnAUAAAAA&#10;">
            <v:path/>
            <v:fill focussize="0,0"/>
            <v:stroke/>
            <v:imagedata o:title=""/>
            <o:lock v:ext="edit"/>
            <v:textbo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680" w:firstLineChars="800"/>
                    <w:rPr>
                      <w:sz w:val="21"/>
                      <w:szCs w:val="21"/>
                    </w:rPr>
                  </w:pPr>
                </w:p>
                <w:p>
                  <w:pPr>
                    <w:ind w:firstLine="1680" w:firstLineChars="800"/>
                    <w:rPr>
                      <w:sz w:val="21"/>
                      <w:szCs w:val="21"/>
                    </w:rPr>
                  </w:pPr>
                  <w:r>
                    <w:rPr>
                      <w:rFonts w:hint="eastAsia"/>
                      <w:sz w:val="21"/>
                      <w:szCs w:val="21"/>
                    </w:rPr>
                    <w:t>（反面）</w:t>
                  </w:r>
                </w:p>
                <w:p/>
              </w:txbxContent>
            </v:textbox>
          </v:rect>
        </w:pict>
      </w:r>
    </w:p>
    <w:p>
      <w:pPr>
        <w:spacing w:line="440" w:lineRule="exact"/>
        <w:rPr>
          <w:rFonts w:ascii="黑体" w:eastAsia="黑体"/>
          <w:sz w:val="21"/>
          <w:szCs w:val="21"/>
        </w:rPr>
      </w:pPr>
      <w:bookmarkStart w:id="1154" w:name="_Toc226217114"/>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360" w:lineRule="auto"/>
        <w:rPr>
          <w:rFonts w:ascii="宋体" w:hAnsi="宋体"/>
          <w:sz w:val="21"/>
          <w:szCs w:val="21"/>
        </w:rPr>
      </w:pPr>
      <w:r>
        <w:rPr>
          <w:rFonts w:hint="eastAsia" w:ascii="宋体" w:hAnsi="宋体"/>
          <w:sz w:val="21"/>
          <w:szCs w:val="21"/>
        </w:rPr>
        <w:t>说明：</w:t>
      </w:r>
    </w:p>
    <w:p>
      <w:pPr>
        <w:spacing w:line="360" w:lineRule="auto"/>
        <w:rPr>
          <w:rFonts w:ascii="宋体" w:hAnsi="宋体"/>
          <w:sz w:val="21"/>
          <w:szCs w:val="21"/>
        </w:rPr>
      </w:pPr>
      <w:r>
        <w:rPr>
          <w:rFonts w:hint="eastAsia" w:ascii="宋体" w:hAnsi="宋体"/>
          <w:sz w:val="21"/>
          <w:szCs w:val="21"/>
        </w:rPr>
        <w:t>1．法定代表人亲自签署《投标函》并亲自参加投标的，则无需提交本《法定代表人授权委托书》文件。</w:t>
      </w:r>
    </w:p>
    <w:p>
      <w:pPr>
        <w:spacing w:line="360" w:lineRule="auto"/>
        <w:ind w:left="315" w:hanging="315" w:hangingChars="150"/>
        <w:rPr>
          <w:rFonts w:ascii="宋体" w:hAnsi="宋体"/>
          <w:sz w:val="21"/>
          <w:szCs w:val="21"/>
        </w:rPr>
      </w:pPr>
      <w:r>
        <w:rPr>
          <w:rFonts w:hint="eastAsia" w:ascii="宋体" w:hAnsi="宋体"/>
          <w:sz w:val="21"/>
          <w:szCs w:val="21"/>
        </w:rPr>
        <w:t>2．《投标函》由委托代理人签署的，则须提交有单位公章、法定代表人的亲笔签名或盖章、被授权人的亲笔签名或盖章的本文件，三者缺一不可。</w:t>
      </w:r>
    </w:p>
    <w:p>
      <w:pPr>
        <w:adjustRightInd/>
        <w:spacing w:line="440" w:lineRule="exact"/>
        <w:jc w:val="both"/>
        <w:rPr>
          <w:rFonts w:ascii="黑体" w:eastAsia="黑体"/>
        </w:rPr>
      </w:pPr>
      <w:r>
        <w:rPr>
          <w:rFonts w:hint="eastAsia" w:ascii="宋体" w:hAnsi="宋体"/>
          <w:sz w:val="21"/>
          <w:szCs w:val="21"/>
        </w:rPr>
        <w:br w:type="page"/>
      </w:r>
      <w:bookmarkEnd w:id="1154"/>
      <w:r>
        <w:rPr>
          <w:rFonts w:hint="eastAsia" w:ascii="黑体" w:eastAsia="黑体"/>
          <w:bCs/>
          <w:sz w:val="28"/>
        </w:rPr>
        <w:t>格式6</w:t>
      </w:r>
    </w:p>
    <w:p>
      <w:pPr>
        <w:pStyle w:val="5"/>
        <w:adjustRightInd w:val="0"/>
        <w:snapToGrid w:val="0"/>
        <w:spacing w:beforeLines="50" w:afterLines="50" w:line="360" w:lineRule="auto"/>
        <w:jc w:val="center"/>
        <w:rPr>
          <w:b w:val="0"/>
        </w:rPr>
      </w:pPr>
      <w:bookmarkStart w:id="1155" w:name="_Toc453957432"/>
      <w:bookmarkStart w:id="1156" w:name="_Toc275865608"/>
      <w:r>
        <w:rPr>
          <w:rFonts w:hint="eastAsia"/>
          <w:b w:val="0"/>
        </w:rPr>
        <w:t>法定代表人证明书</w:t>
      </w:r>
      <w:bookmarkEnd w:id="1155"/>
      <w:bookmarkEnd w:id="1156"/>
    </w:p>
    <w:p>
      <w:pPr>
        <w:tabs>
          <w:tab w:val="left" w:pos="900"/>
        </w:tabs>
        <w:spacing w:line="480" w:lineRule="auto"/>
        <w:ind w:firstLine="945" w:firstLineChars="450"/>
        <w:rPr>
          <w:rFonts w:ascii="宋体" w:hAnsi="宋体"/>
          <w:sz w:val="21"/>
          <w:szCs w:val="21"/>
        </w:rPr>
      </w:pPr>
      <w:r>
        <w:rPr>
          <w:rFonts w:hint="eastAsia" w:ascii="宋体" w:hAnsi="宋体"/>
          <w:sz w:val="21"/>
          <w:szCs w:val="21"/>
        </w:rPr>
        <w:t>______________同志，现任我单位职务，为法定代表人，特此证明。</w:t>
      </w:r>
    </w:p>
    <w:p>
      <w:pPr>
        <w:spacing w:line="480" w:lineRule="auto"/>
        <w:ind w:firstLine="420" w:firstLineChars="200"/>
        <w:rPr>
          <w:rFonts w:ascii="宋体" w:hAnsi="宋体"/>
          <w:sz w:val="21"/>
          <w:szCs w:val="21"/>
        </w:rPr>
      </w:pPr>
      <w:r>
        <w:rPr>
          <w:rFonts w:hint="eastAsia" w:ascii="宋体" w:hAnsi="宋体"/>
          <w:sz w:val="21"/>
          <w:szCs w:val="21"/>
        </w:rPr>
        <w:t>有效日期与本公司投标文件中标注的投标有效期相同。签发日期：年月日</w:t>
      </w:r>
    </w:p>
    <w:p>
      <w:pPr>
        <w:spacing w:line="480" w:lineRule="auto"/>
        <w:ind w:firstLine="420" w:firstLineChars="200"/>
        <w:rPr>
          <w:rFonts w:ascii="宋体" w:hAnsi="宋体"/>
          <w:sz w:val="21"/>
          <w:szCs w:val="21"/>
        </w:rPr>
      </w:pPr>
      <w:r>
        <w:rPr>
          <w:rFonts w:hint="eastAsia" w:ascii="宋体" w:hAnsi="宋体"/>
          <w:sz w:val="21"/>
          <w:szCs w:val="21"/>
        </w:rPr>
        <w:t>附：</w:t>
      </w:r>
    </w:p>
    <w:p>
      <w:pPr>
        <w:spacing w:line="480" w:lineRule="auto"/>
        <w:ind w:firstLine="840" w:firstLineChars="400"/>
        <w:rPr>
          <w:rFonts w:ascii="宋体" w:hAnsi="宋体"/>
          <w:sz w:val="21"/>
          <w:szCs w:val="21"/>
        </w:rPr>
      </w:pPr>
      <w:r>
        <w:rPr>
          <w:rFonts w:hint="eastAsia" w:ascii="宋体" w:hAnsi="宋体"/>
          <w:sz w:val="21"/>
          <w:szCs w:val="21"/>
        </w:rPr>
        <w:t xml:space="preserve">营业执照（注册号）：                       </w:t>
      </w:r>
    </w:p>
    <w:p>
      <w:pPr>
        <w:spacing w:line="480" w:lineRule="auto"/>
        <w:ind w:firstLine="840" w:firstLineChars="400"/>
        <w:rPr>
          <w:rFonts w:ascii="宋体" w:hAnsi="宋体"/>
          <w:sz w:val="21"/>
          <w:szCs w:val="21"/>
        </w:rPr>
      </w:pPr>
      <w:r>
        <w:rPr>
          <w:rFonts w:hint="eastAsia" w:ascii="宋体" w:hAnsi="宋体"/>
          <w:sz w:val="21"/>
          <w:szCs w:val="21"/>
        </w:rPr>
        <w:t>经济性质：</w:t>
      </w:r>
    </w:p>
    <w:p>
      <w:pPr>
        <w:spacing w:line="480" w:lineRule="auto"/>
        <w:ind w:firstLine="840" w:firstLineChars="400"/>
        <w:rPr>
          <w:rFonts w:ascii="宋体" w:hAnsi="宋体"/>
          <w:sz w:val="21"/>
          <w:szCs w:val="21"/>
        </w:rPr>
      </w:pPr>
      <w:r>
        <w:rPr>
          <w:rFonts w:hint="eastAsia" w:ascii="宋体" w:hAnsi="宋体"/>
          <w:sz w:val="21"/>
          <w:szCs w:val="21"/>
        </w:rPr>
        <w:t>主营（产）：</w:t>
      </w:r>
    </w:p>
    <w:p>
      <w:pPr>
        <w:spacing w:line="480" w:lineRule="auto"/>
        <w:ind w:firstLine="840" w:firstLineChars="400"/>
        <w:rPr>
          <w:rFonts w:ascii="宋体" w:hAnsi="宋体"/>
          <w:sz w:val="21"/>
          <w:szCs w:val="21"/>
        </w:rPr>
      </w:pPr>
      <w:r>
        <w:rPr>
          <w:rFonts w:hint="eastAsia" w:ascii="宋体" w:hAnsi="宋体"/>
          <w:sz w:val="21"/>
          <w:szCs w:val="21"/>
        </w:rPr>
        <w:t>兼营（产）：</w:t>
      </w:r>
    </w:p>
    <w:p>
      <w:pPr>
        <w:spacing w:line="480" w:lineRule="auto"/>
        <w:ind w:firstLine="880" w:firstLineChars="400"/>
        <w:rPr>
          <w:rFonts w:ascii="宋体" w:hAnsi="宋体"/>
          <w:sz w:val="21"/>
          <w:szCs w:val="21"/>
        </w:rPr>
      </w:pPr>
      <w:r>
        <w:pict>
          <v:rect id="_x0000_s1028" o:spid="_x0000_s1028" o:spt="1" style="position:absolute;left:0pt;margin-left:3.4pt;margin-top:19.2pt;height:148.2pt;width:243pt;z-index:251662336;mso-width-relative:page;mso-height-relative:page;" coordsize="21600,21600" o:gfxdata="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&#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753I1gAAAAgBAAAPAAAAAAAAAAEAIAAAACIAAABk&#10;cnMvZG93bnJldi54bWxQSwECFAAUAAAACACHTuJAUBnk1ggCAAA4BAAADgAAAAAAAAABACAAAAAl&#10;AQAAZHJzL2Uyb0RvYy54bWxQSwUGAAAAAAYABgBZAQAAnwUAAAAA&#10;">
            <v:path/>
            <v:fill focussize="0,0"/>
            <v:stroke/>
            <v:imagedata o:title=""/>
            <o:lock v:ext="edit"/>
            <v:textbox>
              <w:txbxContent>
                <w:p>
                  <w:pPr>
                    <w:ind w:firstLine="840" w:firstLineChars="400"/>
                    <w:rPr>
                      <w:sz w:val="21"/>
                      <w:szCs w:val="21"/>
                    </w:rPr>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100" w:firstLineChars="500"/>
                  </w:pPr>
                </w:p>
              </w:txbxContent>
            </v:textbox>
          </v:rect>
        </w:pict>
      </w:r>
      <w:r>
        <w:pict>
          <v:rect id="_x0000_s1027" o:spid="_x0000_s1027" o:spt="1" style="position:absolute;left:0pt;margin-left:259.5pt;margin-top:19.2pt;height:148.2pt;width:243pt;z-index:251663360;mso-width-relative:page;mso-height-relative:page;" coordsize="21600,21600" o:gfxdata="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UInS9kAAAALAQAADwAAAAAAAAABACAAAAAi&#10;AAAAZHJzL2Rvd25yZXYueG1sUEsBAhQAFAAAAAgAh07iQMBbWwIJAgAAOAQAAA4AAAAAAAAAAQAg&#10;AAAAKAEAAGRycy9lMm9Eb2MueG1sUEsFBgAAAAAGAAYAWQEAAKMFAAAAAA==&#10;">
            <v:path/>
            <v:fill focussize="0,0"/>
            <v:stroke/>
            <v:imagedata o:title=""/>
            <o:lock v:ext="edit"/>
            <v:textbox>
              <w:txbxContent>
                <w:p>
                  <w:pPr>
                    <w:ind w:firstLine="880" w:firstLineChars="400"/>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（反面）</w:t>
                  </w:r>
                </w:p>
                <w:p>
                  <w:pPr>
                    <w:ind w:firstLine="1100" w:firstLineChars="500"/>
                  </w:pPr>
                </w:p>
              </w:txbxContent>
            </v:textbox>
          </v:rect>
        </w:pict>
      </w: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r>
        <w:rPr>
          <w:rFonts w:hint="eastAsia" w:ascii="宋体" w:hAnsi="宋体"/>
          <w:sz w:val="21"/>
          <w:szCs w:val="21"/>
        </w:rPr>
        <w:t>投标人名称：（盖公章）：</w:t>
      </w:r>
    </w:p>
    <w:p>
      <w:pPr>
        <w:spacing w:line="500" w:lineRule="exact"/>
        <w:rPr>
          <w:rFonts w:ascii="宋体" w:hAnsi="宋体"/>
          <w:sz w:val="21"/>
          <w:szCs w:val="21"/>
        </w:rPr>
      </w:pPr>
      <w:r>
        <w:rPr>
          <w:rFonts w:hint="eastAsia" w:ascii="宋体" w:hAnsi="宋体"/>
          <w:sz w:val="21"/>
          <w:szCs w:val="21"/>
        </w:rPr>
        <w:t xml:space="preserve"> 地址：</w:t>
      </w:r>
    </w:p>
    <w:p>
      <w:pPr>
        <w:spacing w:line="500" w:lineRule="exact"/>
        <w:ind w:firstLine="105" w:firstLineChars="50"/>
        <w:jc w:val="both"/>
        <w:rPr>
          <w:rFonts w:ascii="宋体" w:hAnsi="宋体"/>
          <w:b/>
          <w:bCs/>
          <w:sz w:val="21"/>
          <w:szCs w:val="21"/>
        </w:rPr>
      </w:pPr>
      <w:r>
        <w:rPr>
          <w:rFonts w:hint="eastAsia" w:ascii="宋体" w:hAnsi="宋体"/>
          <w:sz w:val="21"/>
          <w:szCs w:val="21"/>
        </w:rPr>
        <w:t>日期：</w:t>
      </w:r>
    </w:p>
    <w:p>
      <w:pPr>
        <w:spacing w:line="360" w:lineRule="auto"/>
        <w:rPr>
          <w:bCs/>
        </w:rPr>
      </w:pPr>
      <w:r>
        <w:rPr>
          <w:rFonts w:hint="eastAsia" w:ascii="宋体" w:hAnsi="宋体"/>
          <w:b/>
          <w:color w:val="000000"/>
        </w:rPr>
        <w:br w:type="page"/>
      </w:r>
      <w:r>
        <w:rPr>
          <w:rFonts w:hint="eastAsia" w:ascii="黑体" w:eastAsia="黑体"/>
          <w:bCs/>
          <w:sz w:val="28"/>
        </w:rPr>
        <w:t>格式7</w:t>
      </w:r>
    </w:p>
    <w:p>
      <w:pPr>
        <w:pStyle w:val="5"/>
        <w:adjustRightInd w:val="0"/>
        <w:snapToGrid w:val="0"/>
        <w:spacing w:beforeLines="50" w:afterLines="50" w:line="360" w:lineRule="auto"/>
        <w:jc w:val="center"/>
        <w:rPr>
          <w:b w:val="0"/>
        </w:rPr>
      </w:pPr>
      <w:bookmarkStart w:id="1157" w:name="_Toc453957433"/>
      <w:r>
        <w:rPr>
          <w:rFonts w:hint="eastAsia"/>
          <w:b w:val="0"/>
        </w:rPr>
        <w:t>开标一览表</w:t>
      </w:r>
      <w:r>
        <w:rPr>
          <w:b w:val="0"/>
        </w:rPr>
        <w:t>(</w:t>
      </w:r>
      <w:r>
        <w:rPr>
          <w:rFonts w:hint="eastAsia"/>
          <w:b w:val="0"/>
        </w:rPr>
        <w:t>报价表</w:t>
      </w:r>
      <w:r>
        <w:rPr>
          <w:b w:val="0"/>
        </w:rPr>
        <w:t>)</w:t>
      </w:r>
      <w:bookmarkEnd w:id="1157"/>
    </w:p>
    <w:p>
      <w:pPr>
        <w:tabs>
          <w:tab w:val="left" w:pos="7740"/>
        </w:tabs>
        <w:ind w:firstLine="315" w:firstLineChars="150"/>
        <w:rPr>
          <w:rFonts w:ascii="宋体" w:hAnsi="宋体"/>
          <w:sz w:val="21"/>
          <w:szCs w:val="21"/>
        </w:rPr>
      </w:pPr>
      <w:r>
        <w:rPr>
          <w:rFonts w:hint="eastAsia" w:ascii="宋体" w:hAnsi="宋体"/>
          <w:sz w:val="21"/>
          <w:szCs w:val="21"/>
        </w:rPr>
        <w:t>投标人名称：                                                   项目编号：</w:t>
      </w:r>
    </w:p>
    <w:tbl>
      <w:tblPr>
        <w:tblStyle w:val="18"/>
        <w:tblW w:w="66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147"/>
        <w:gridCol w:w="2433"/>
        <w:gridCol w:w="2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4" w:hRule="atLeast"/>
          <w:jc w:val="center"/>
        </w:trPr>
        <w:tc>
          <w:tcPr>
            <w:tcW w:w="2147" w:type="dxa"/>
            <w:tcBorders>
              <w:top w:val="single" w:color="auto" w:sz="12" w:space="0"/>
              <w:left w:val="single" w:color="auto" w:sz="12" w:space="0"/>
              <w:bottom w:val="single" w:color="auto" w:sz="12" w:space="0"/>
              <w:right w:val="single" w:color="auto" w:sz="4" w:space="0"/>
            </w:tcBorders>
            <w:shd w:val="clear" w:color="auto" w:fill="EEECE1"/>
            <w:vAlign w:val="center"/>
          </w:tcPr>
          <w:p>
            <w:pPr>
              <w:spacing w:line="360" w:lineRule="auto"/>
              <w:jc w:val="center"/>
              <w:rPr>
                <w:rFonts w:ascii="宋体"/>
                <w:b/>
                <w:sz w:val="21"/>
                <w:szCs w:val="21"/>
              </w:rPr>
            </w:pPr>
            <w:r>
              <w:rPr>
                <w:rFonts w:hint="eastAsia" w:ascii="宋体"/>
                <w:b/>
                <w:sz w:val="21"/>
                <w:szCs w:val="21"/>
              </w:rPr>
              <w:t>项目内容</w:t>
            </w:r>
          </w:p>
        </w:tc>
        <w:tc>
          <w:tcPr>
            <w:tcW w:w="2433" w:type="dxa"/>
            <w:tcBorders>
              <w:top w:val="single" w:color="auto" w:sz="12" w:space="0"/>
              <w:left w:val="single" w:color="auto" w:sz="12" w:space="0"/>
              <w:bottom w:val="single" w:color="auto" w:sz="12" w:space="0"/>
              <w:right w:val="single" w:color="auto" w:sz="12" w:space="0"/>
            </w:tcBorders>
            <w:shd w:val="clear" w:color="auto" w:fill="EEECE1"/>
            <w:vAlign w:val="center"/>
          </w:tcPr>
          <w:p>
            <w:pPr>
              <w:spacing w:line="360" w:lineRule="auto"/>
              <w:jc w:val="center"/>
              <w:rPr>
                <w:rFonts w:ascii="宋体" w:hAnsi="宋体" w:eastAsia="宋体" w:cs="宋体"/>
                <w:b/>
                <w:color w:val="000000"/>
                <w:sz w:val="20"/>
                <w:szCs w:val="20"/>
              </w:rPr>
            </w:pPr>
            <w:r>
              <w:rPr>
                <w:rFonts w:hint="eastAsia" w:ascii="宋体" w:hAnsi="宋体" w:eastAsia="宋体" w:cs="宋体"/>
                <w:b/>
                <w:color w:val="000000"/>
                <w:sz w:val="20"/>
                <w:szCs w:val="20"/>
              </w:rPr>
              <w:t>投标报价</w:t>
            </w:r>
          </w:p>
          <w:p>
            <w:pPr>
              <w:spacing w:line="360" w:lineRule="auto"/>
              <w:jc w:val="center"/>
              <w:rPr>
                <w:rFonts w:ascii="宋体"/>
                <w:b/>
                <w:sz w:val="21"/>
                <w:szCs w:val="21"/>
              </w:rPr>
            </w:pPr>
            <w:r>
              <w:rPr>
                <w:rFonts w:hint="eastAsia" w:ascii="宋体"/>
                <w:b/>
                <w:sz w:val="21"/>
                <w:szCs w:val="21"/>
              </w:rPr>
              <w:t>（人民币 元）</w:t>
            </w:r>
          </w:p>
        </w:tc>
        <w:tc>
          <w:tcPr>
            <w:tcW w:w="2118" w:type="dxa"/>
            <w:tcBorders>
              <w:top w:val="single" w:color="auto" w:sz="12" w:space="0"/>
              <w:left w:val="single" w:color="auto" w:sz="12" w:space="0"/>
              <w:bottom w:val="single" w:color="auto" w:sz="12" w:space="0"/>
              <w:right w:val="single" w:color="auto" w:sz="12" w:space="0"/>
            </w:tcBorders>
            <w:shd w:val="clear" w:color="auto" w:fill="EEECE1"/>
            <w:vAlign w:val="center"/>
          </w:tcPr>
          <w:p>
            <w:pPr>
              <w:spacing w:line="360" w:lineRule="auto"/>
              <w:jc w:val="center"/>
              <w:rPr>
                <w:rFonts w:ascii="宋体"/>
                <w:b/>
                <w:sz w:val="21"/>
                <w:szCs w:val="21"/>
              </w:rPr>
            </w:pPr>
            <w:r>
              <w:rPr>
                <w:rFonts w:hint="eastAsia" w:ascii="宋体"/>
                <w:b/>
                <w:sz w:val="21"/>
                <w:szCs w:val="21"/>
              </w:rPr>
              <w:t>供货期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5" w:hRule="atLeast"/>
          <w:jc w:val="center"/>
        </w:trPr>
        <w:tc>
          <w:tcPr>
            <w:tcW w:w="2147" w:type="dxa"/>
            <w:tcBorders>
              <w:top w:val="single" w:color="auto" w:sz="12" w:space="0"/>
              <w:left w:val="single" w:color="auto" w:sz="12" w:space="0"/>
              <w:bottom w:val="single" w:color="auto" w:sz="12" w:space="0"/>
              <w:right w:val="single" w:color="auto" w:sz="4" w:space="0"/>
            </w:tcBorders>
            <w:vAlign w:val="center"/>
          </w:tcPr>
          <w:p>
            <w:pPr>
              <w:jc w:val="both"/>
              <w:rPr>
                <w:spacing w:val="4"/>
                <w:sz w:val="21"/>
                <w:szCs w:val="21"/>
              </w:rPr>
            </w:pPr>
          </w:p>
        </w:tc>
        <w:tc>
          <w:tcPr>
            <w:tcW w:w="2433" w:type="dxa"/>
            <w:tcBorders>
              <w:top w:val="single" w:color="auto" w:sz="12" w:space="0"/>
              <w:left w:val="single" w:color="auto" w:sz="12" w:space="0"/>
              <w:bottom w:val="single" w:color="auto" w:sz="12" w:space="0"/>
              <w:right w:val="single" w:color="auto" w:sz="12" w:space="0"/>
            </w:tcBorders>
            <w:vAlign w:val="center"/>
          </w:tcPr>
          <w:p>
            <w:pPr>
              <w:spacing w:line="360" w:lineRule="auto"/>
              <w:rPr>
                <w:rFonts w:ascii="宋体"/>
                <w:bCs/>
                <w:sz w:val="21"/>
                <w:szCs w:val="21"/>
                <w:u w:val="single"/>
              </w:rPr>
            </w:pPr>
            <w:r>
              <w:rPr>
                <w:rFonts w:hint="eastAsia" w:ascii="宋体"/>
                <w:bCs/>
                <w:sz w:val="21"/>
                <w:szCs w:val="21"/>
              </w:rPr>
              <w:t>小写：</w:t>
            </w:r>
          </w:p>
          <w:p>
            <w:pPr>
              <w:jc w:val="both"/>
              <w:rPr>
                <w:rFonts w:ascii="宋体"/>
                <w:bCs/>
                <w:sz w:val="21"/>
                <w:szCs w:val="21"/>
              </w:rPr>
            </w:pPr>
            <w:r>
              <w:rPr>
                <w:rFonts w:hint="eastAsia" w:ascii="宋体"/>
                <w:bCs/>
                <w:sz w:val="21"/>
                <w:szCs w:val="21"/>
              </w:rPr>
              <w:t>大写：</w:t>
            </w:r>
          </w:p>
        </w:tc>
        <w:tc>
          <w:tcPr>
            <w:tcW w:w="2118" w:type="dxa"/>
            <w:tcBorders>
              <w:top w:val="single" w:color="auto" w:sz="12" w:space="0"/>
              <w:left w:val="single" w:color="auto" w:sz="12" w:space="0"/>
              <w:bottom w:val="single" w:color="auto" w:sz="12" w:space="0"/>
              <w:right w:val="single" w:color="auto" w:sz="12" w:space="0"/>
            </w:tcBorders>
            <w:vAlign w:val="center"/>
          </w:tcPr>
          <w:p>
            <w:pPr>
              <w:jc w:val="center"/>
              <w:rPr>
                <w:spacing w:val="4"/>
                <w:sz w:val="21"/>
                <w:szCs w:val="21"/>
              </w:rPr>
            </w:pPr>
          </w:p>
        </w:tc>
      </w:tr>
    </w:tbl>
    <w:p>
      <w:pPr>
        <w:spacing w:line="500" w:lineRule="exact"/>
        <w:ind w:firstLine="327" w:firstLineChars="150"/>
        <w:rPr>
          <w:b/>
          <w:spacing w:val="4"/>
          <w:sz w:val="21"/>
          <w:szCs w:val="21"/>
        </w:rPr>
      </w:pPr>
    </w:p>
    <w:p>
      <w:pPr>
        <w:spacing w:line="500" w:lineRule="exact"/>
        <w:ind w:firstLine="327" w:firstLineChars="150"/>
        <w:rPr>
          <w:b/>
          <w:spacing w:val="4"/>
          <w:sz w:val="21"/>
          <w:szCs w:val="21"/>
        </w:rPr>
      </w:pPr>
      <w:r>
        <w:rPr>
          <w:rFonts w:hint="eastAsia"/>
          <w:b/>
          <w:spacing w:val="4"/>
          <w:sz w:val="21"/>
          <w:szCs w:val="21"/>
        </w:rPr>
        <w:t>说明：</w:t>
      </w:r>
      <w:r>
        <w:rPr>
          <w:b/>
          <w:color w:val="FF0000"/>
          <w:spacing w:val="4"/>
          <w:sz w:val="21"/>
          <w:szCs w:val="21"/>
        </w:rPr>
        <w:t>1</w:t>
      </w:r>
      <w:r>
        <w:rPr>
          <w:rFonts w:hint="eastAsia"/>
          <w:b/>
          <w:color w:val="FF0000"/>
          <w:spacing w:val="4"/>
          <w:sz w:val="21"/>
          <w:szCs w:val="21"/>
        </w:rPr>
        <w:t>、各投标单位报价时须同时提供开标一览表（报价表）及项目报价明细表，否则报价无效。</w:t>
      </w:r>
    </w:p>
    <w:p>
      <w:pPr>
        <w:numPr>
          <w:ilvl w:val="0"/>
          <w:numId w:val="10"/>
        </w:numPr>
        <w:spacing w:line="500" w:lineRule="exact"/>
        <w:ind w:firstLine="981" w:firstLineChars="450"/>
        <w:rPr>
          <w:b/>
          <w:color w:val="FF0000"/>
          <w:spacing w:val="4"/>
          <w:sz w:val="21"/>
          <w:szCs w:val="21"/>
        </w:rPr>
      </w:pPr>
      <w:r>
        <w:rPr>
          <w:rFonts w:hint="eastAsia"/>
          <w:b/>
          <w:color w:val="FF0000"/>
          <w:spacing w:val="4"/>
          <w:sz w:val="21"/>
          <w:szCs w:val="21"/>
        </w:rPr>
        <w:t>各投标单位须在电子文档中提交</w:t>
      </w:r>
      <w:r>
        <w:rPr>
          <w:b/>
          <w:color w:val="FF0000"/>
          <w:spacing w:val="4"/>
          <w:sz w:val="21"/>
          <w:szCs w:val="21"/>
        </w:rPr>
        <w:t>EXCEL</w:t>
      </w:r>
      <w:r>
        <w:rPr>
          <w:rFonts w:hint="eastAsia"/>
          <w:b/>
          <w:color w:val="FF0000"/>
          <w:spacing w:val="4"/>
          <w:sz w:val="21"/>
          <w:szCs w:val="21"/>
        </w:rPr>
        <w:t>版本的汇总表以便验算。</w:t>
      </w:r>
    </w:p>
    <w:p>
      <w:pPr>
        <w:spacing w:line="500" w:lineRule="exact"/>
        <w:rPr>
          <w:b/>
          <w:spacing w:val="4"/>
          <w:sz w:val="21"/>
          <w:szCs w:val="21"/>
        </w:rPr>
      </w:pPr>
    </w:p>
    <w:p>
      <w:pPr>
        <w:spacing w:line="500" w:lineRule="exact"/>
        <w:ind w:firstLine="436" w:firstLineChars="200"/>
        <w:rPr>
          <w:rFonts w:ascii="宋体" w:hAnsi="宋体"/>
          <w:sz w:val="21"/>
          <w:szCs w:val="21"/>
          <w:u w:val="single"/>
        </w:rPr>
      </w:pPr>
      <w:r>
        <w:rPr>
          <w:rFonts w:hint="eastAsia"/>
          <w:spacing w:val="4"/>
          <w:sz w:val="21"/>
          <w:szCs w:val="21"/>
        </w:rPr>
        <w:t>投标人名称（盖公章）：</w:t>
      </w:r>
    </w:p>
    <w:p>
      <w:pPr>
        <w:ind w:firstLine="436" w:firstLineChars="200"/>
        <w:rPr>
          <w:spacing w:val="4"/>
          <w:sz w:val="21"/>
          <w:szCs w:val="21"/>
        </w:rPr>
      </w:pPr>
    </w:p>
    <w:p>
      <w:pPr>
        <w:spacing w:line="520" w:lineRule="exact"/>
        <w:ind w:firstLine="420" w:firstLineChars="200"/>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rFonts w:hint="eastAsia"/>
          <w:spacing w:val="4"/>
          <w:sz w:val="21"/>
          <w:szCs w:val="21"/>
        </w:rPr>
        <w:t>职务：日期：</w:t>
      </w:r>
    </w:p>
    <w:p>
      <w:pPr>
        <w:spacing w:line="400" w:lineRule="exact"/>
        <w:rPr>
          <w:rFonts w:ascii="宋体" w:hAnsi="宋体"/>
          <w:b/>
          <w:bCs/>
          <w:sz w:val="21"/>
          <w:szCs w:val="21"/>
        </w:rPr>
      </w:pPr>
    </w:p>
    <w:p>
      <w:pPr>
        <w:spacing w:line="400" w:lineRule="exact"/>
        <w:rPr>
          <w:b/>
          <w:sz w:val="21"/>
          <w:szCs w:val="21"/>
        </w:rPr>
      </w:pPr>
      <w:r>
        <w:rPr>
          <w:rFonts w:hint="eastAsia" w:ascii="宋体" w:hAnsi="宋体"/>
          <w:b/>
          <w:bCs/>
          <w:sz w:val="21"/>
          <w:szCs w:val="21"/>
        </w:rPr>
        <w:t>备注：</w:t>
      </w:r>
      <w:r>
        <w:rPr>
          <w:rFonts w:hint="eastAsia"/>
          <w:b/>
          <w:sz w:val="21"/>
          <w:szCs w:val="21"/>
        </w:rPr>
        <w:t>在正、副本的投标文件中，并另封装一份于开标小信封中。</w:t>
      </w:r>
    </w:p>
    <w:p>
      <w:pPr>
        <w:spacing w:line="400" w:lineRule="exact"/>
        <w:rPr>
          <w:rFonts w:ascii="宋体" w:hAnsi="宋体"/>
          <w:b/>
          <w:bCs/>
          <w:sz w:val="21"/>
          <w:szCs w:val="21"/>
        </w:rPr>
      </w:pPr>
    </w:p>
    <w:p>
      <w:pPr>
        <w:spacing w:line="400" w:lineRule="exact"/>
        <w:jc w:val="center"/>
        <w:rPr>
          <w:b/>
          <w:sz w:val="21"/>
          <w:szCs w:val="21"/>
        </w:rPr>
      </w:pPr>
    </w:p>
    <w:p>
      <w:pPr>
        <w:spacing w:line="400" w:lineRule="exact"/>
        <w:jc w:val="center"/>
        <w:rPr>
          <w:b/>
          <w:sz w:val="21"/>
          <w:szCs w:val="21"/>
        </w:rPr>
      </w:pPr>
    </w:p>
    <w:p>
      <w:pPr>
        <w:spacing w:line="400" w:lineRule="exact"/>
        <w:jc w:val="center"/>
        <w:rPr>
          <w:b/>
          <w:sz w:val="21"/>
          <w:szCs w:val="21"/>
        </w:rPr>
      </w:pPr>
    </w:p>
    <w:p>
      <w:pPr>
        <w:spacing w:line="400" w:lineRule="exact"/>
        <w:rPr>
          <w:b/>
          <w:sz w:val="21"/>
          <w:szCs w:val="21"/>
        </w:rPr>
      </w:pPr>
    </w:p>
    <w:p>
      <w:pPr>
        <w:pStyle w:val="5"/>
        <w:jc w:val="center"/>
      </w:pPr>
      <w:r>
        <w:rPr>
          <w:rFonts w:hint="eastAsia"/>
        </w:rPr>
        <w:t>项目报价明细表</w:t>
      </w:r>
    </w:p>
    <w:tbl>
      <w:tblPr>
        <w:tblStyle w:val="18"/>
        <w:tblW w:w="10682" w:type="dxa"/>
        <w:tblInd w:w="0" w:type="dxa"/>
        <w:tblLayout w:type="fixed"/>
        <w:tblCellMar>
          <w:top w:w="0" w:type="dxa"/>
          <w:left w:w="108" w:type="dxa"/>
          <w:bottom w:w="0" w:type="dxa"/>
          <w:right w:w="108" w:type="dxa"/>
        </w:tblCellMar>
      </w:tblPr>
      <w:tblGrid>
        <w:gridCol w:w="1029"/>
        <w:gridCol w:w="724"/>
        <w:gridCol w:w="622"/>
        <w:gridCol w:w="1054"/>
        <w:gridCol w:w="1105"/>
        <w:gridCol w:w="1435"/>
        <w:gridCol w:w="2045"/>
        <w:gridCol w:w="2045"/>
        <w:gridCol w:w="623"/>
      </w:tblGrid>
      <w:tr>
        <w:tblPrEx>
          <w:tblCellMar>
            <w:top w:w="0" w:type="dxa"/>
            <w:left w:w="108" w:type="dxa"/>
            <w:bottom w:w="0" w:type="dxa"/>
            <w:right w:w="108" w:type="dxa"/>
          </w:tblCellMar>
        </w:tblPrEx>
        <w:trPr>
          <w:trHeight w:val="30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产品名称</w:t>
            </w:r>
          </w:p>
        </w:tc>
        <w:tc>
          <w:tcPr>
            <w:tcW w:w="724"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型号</w:t>
            </w:r>
          </w:p>
        </w:tc>
        <w:tc>
          <w:tcPr>
            <w:tcW w:w="622"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单位</w:t>
            </w:r>
          </w:p>
        </w:tc>
        <w:tc>
          <w:tcPr>
            <w:tcW w:w="1054"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含税单价限价</w:t>
            </w:r>
          </w:p>
        </w:tc>
        <w:tc>
          <w:tcPr>
            <w:tcW w:w="143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含税总价限价</w:t>
            </w:r>
          </w:p>
        </w:tc>
        <w:tc>
          <w:tcPr>
            <w:tcW w:w="204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含税单价报价（元）</w:t>
            </w:r>
          </w:p>
        </w:tc>
        <w:tc>
          <w:tcPr>
            <w:tcW w:w="204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含税总价报价（元）</w:t>
            </w:r>
          </w:p>
        </w:tc>
        <w:tc>
          <w:tcPr>
            <w:tcW w:w="623"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备注</w:t>
            </w:r>
          </w:p>
        </w:tc>
      </w:tr>
      <w:tr>
        <w:tblPrEx>
          <w:tblCellMar>
            <w:top w:w="0" w:type="dxa"/>
            <w:left w:w="108" w:type="dxa"/>
            <w:bottom w:w="0" w:type="dxa"/>
            <w:right w:w="108" w:type="dxa"/>
          </w:tblCellMar>
        </w:tblPrEx>
        <w:trPr>
          <w:trHeight w:val="300" w:hRule="atLeast"/>
        </w:trPr>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NBIOT物联网无线远传水表（子包一）</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900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342.71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308439</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15600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356.96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5568576</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240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430.67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103360.8</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DN40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120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1105.17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132620.4</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DN50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120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2742.33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329079.6</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DN80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120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3142.13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377055.6</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210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3117.90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654759</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DN150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72</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4158.39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299404.08</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6401.42 </w:t>
            </w:r>
          </w:p>
        </w:tc>
        <w:tc>
          <w:tcPr>
            <w:tcW w:w="1435" w:type="dxa"/>
            <w:tcBorders>
              <w:top w:val="single" w:color="000000" w:sz="4" w:space="0"/>
              <w:left w:val="single" w:color="000000" w:sz="4" w:space="0"/>
              <w:bottom w:val="nil"/>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192042.6</w:t>
            </w:r>
          </w:p>
        </w:tc>
        <w:tc>
          <w:tcPr>
            <w:tcW w:w="2045" w:type="dxa"/>
            <w:tcBorders>
              <w:top w:val="single" w:color="000000" w:sz="4" w:space="0"/>
              <w:left w:val="single" w:color="000000" w:sz="4" w:space="0"/>
              <w:bottom w:val="nil"/>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nil"/>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nil"/>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子包一总价限价</w:t>
            </w:r>
          </w:p>
        </w:tc>
        <w:tc>
          <w:tcPr>
            <w:tcW w:w="6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rPr>
            </w:pPr>
            <w:r>
              <w:rPr>
                <w:rFonts w:hint="eastAsia" w:ascii="宋体" w:hAnsi="宋体" w:eastAsia="宋体" w:cs="宋体"/>
                <w:color w:val="FF0000"/>
                <w:highlight w:val="none"/>
                <w:lang w:eastAsia="zh-CN"/>
              </w:rPr>
              <w:t>7965337.08</w:t>
            </w:r>
            <w:r>
              <w:rPr>
                <w:rFonts w:hint="eastAsia" w:ascii="宋体" w:hAnsi="宋体" w:eastAsia="宋体" w:cs="宋体"/>
                <w:color w:val="FF0000"/>
                <w:highlight w:val="none"/>
              </w:rPr>
              <w:t>元</w:t>
            </w:r>
          </w:p>
        </w:tc>
      </w:tr>
      <w:tr>
        <w:tblPrEx>
          <w:tblCellMar>
            <w:top w:w="0" w:type="dxa"/>
            <w:left w:w="108" w:type="dxa"/>
            <w:bottom w:w="0" w:type="dxa"/>
            <w:right w:w="108" w:type="dxa"/>
          </w:tblCellMar>
        </w:tblPrEx>
        <w:trPr>
          <w:trHeight w:val="300" w:hRule="atLeast"/>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子包一总价报价</w:t>
            </w:r>
          </w:p>
        </w:tc>
        <w:tc>
          <w:tcPr>
            <w:tcW w:w="6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FF0000"/>
              </w:rPr>
            </w:pPr>
          </w:p>
        </w:tc>
      </w:tr>
      <w:tr>
        <w:tblPrEx>
          <w:tblCellMar>
            <w:top w:w="0" w:type="dxa"/>
            <w:left w:w="108" w:type="dxa"/>
            <w:bottom w:w="0" w:type="dxa"/>
            <w:right w:w="108" w:type="dxa"/>
          </w:tblCellMar>
        </w:tblPrEx>
        <w:trPr>
          <w:trHeight w:val="300" w:hRule="atLeast"/>
        </w:trPr>
        <w:tc>
          <w:tcPr>
            <w:tcW w:w="1029"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724"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622"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1054"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1105"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1435"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2045" w:type="dxa"/>
            <w:tcBorders>
              <w:top w:val="nil"/>
              <w:left w:val="nil"/>
              <w:bottom w:val="nil"/>
              <w:right w:val="nil"/>
            </w:tcBorders>
            <w:shd w:val="clear" w:color="auto" w:fill="auto"/>
            <w:vAlign w:val="center"/>
          </w:tcPr>
          <w:p>
            <w:pPr>
              <w:rPr>
                <w:rFonts w:ascii="宋体" w:hAnsi="宋体" w:eastAsia="宋体" w:cs="宋体"/>
                <w:color w:val="000000"/>
              </w:rPr>
            </w:pPr>
          </w:p>
        </w:tc>
        <w:tc>
          <w:tcPr>
            <w:tcW w:w="2045" w:type="dxa"/>
            <w:tcBorders>
              <w:top w:val="nil"/>
              <w:left w:val="nil"/>
              <w:bottom w:val="nil"/>
              <w:right w:val="nil"/>
            </w:tcBorders>
            <w:shd w:val="clear" w:color="auto" w:fill="auto"/>
            <w:vAlign w:val="center"/>
          </w:tcPr>
          <w:p>
            <w:pPr>
              <w:rPr>
                <w:rFonts w:ascii="宋体" w:hAnsi="宋体" w:eastAsia="宋体" w:cs="宋体"/>
                <w:color w:val="000000"/>
              </w:rPr>
            </w:pPr>
          </w:p>
        </w:tc>
        <w:tc>
          <w:tcPr>
            <w:tcW w:w="623" w:type="dxa"/>
            <w:tcBorders>
              <w:top w:val="nil"/>
              <w:left w:val="nil"/>
              <w:bottom w:val="nil"/>
              <w:right w:val="nil"/>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产品名称</w:t>
            </w:r>
          </w:p>
        </w:tc>
        <w:tc>
          <w:tcPr>
            <w:tcW w:w="724"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型号</w:t>
            </w:r>
          </w:p>
        </w:tc>
        <w:tc>
          <w:tcPr>
            <w:tcW w:w="622"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单位</w:t>
            </w:r>
          </w:p>
        </w:tc>
        <w:tc>
          <w:tcPr>
            <w:tcW w:w="1054"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含税单价限价</w:t>
            </w:r>
          </w:p>
        </w:tc>
        <w:tc>
          <w:tcPr>
            <w:tcW w:w="143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含税总价限价</w:t>
            </w:r>
          </w:p>
        </w:tc>
        <w:tc>
          <w:tcPr>
            <w:tcW w:w="204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含税单价报价（元）</w:t>
            </w:r>
          </w:p>
        </w:tc>
        <w:tc>
          <w:tcPr>
            <w:tcW w:w="204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含税总价报价（元）</w:t>
            </w:r>
          </w:p>
        </w:tc>
        <w:tc>
          <w:tcPr>
            <w:tcW w:w="623"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备注</w:t>
            </w:r>
          </w:p>
        </w:tc>
      </w:tr>
      <w:tr>
        <w:tblPrEx>
          <w:tblCellMar>
            <w:top w:w="0" w:type="dxa"/>
            <w:left w:w="108" w:type="dxa"/>
            <w:bottom w:w="0" w:type="dxa"/>
            <w:right w:w="108" w:type="dxa"/>
          </w:tblCellMar>
        </w:tblPrEx>
        <w:trPr>
          <w:trHeight w:val="300" w:hRule="atLeast"/>
        </w:trPr>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NBIOT物联网无线远传水表（子包二）</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375</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342.71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128516.25</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6500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356.96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2320240</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100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430.67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43067</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DN40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50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1105.17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55258.5</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DN50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50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2742.33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137116.5</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DN80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50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3142.13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157106.5</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88</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3117.90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274375.2</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DN150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4158.39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124751.7</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12</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6401.42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76817.04</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子包二总价限价</w:t>
            </w:r>
          </w:p>
        </w:tc>
        <w:tc>
          <w:tcPr>
            <w:tcW w:w="6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rPr>
            </w:pPr>
            <w:r>
              <w:rPr>
                <w:rFonts w:hint="eastAsia" w:ascii="宋体" w:hAnsi="宋体" w:eastAsia="宋体" w:cs="宋体"/>
                <w:color w:val="FF0000"/>
                <w:highlight w:val="none"/>
                <w:lang w:eastAsia="zh-CN"/>
              </w:rPr>
              <w:t>3317248.69</w:t>
            </w:r>
            <w:r>
              <w:rPr>
                <w:rFonts w:hint="eastAsia" w:ascii="宋体" w:hAnsi="宋体" w:eastAsia="宋体" w:cs="宋体"/>
                <w:color w:val="FF0000"/>
                <w:highlight w:val="none"/>
              </w:rPr>
              <w:t>元</w:t>
            </w:r>
          </w:p>
        </w:tc>
      </w:tr>
      <w:tr>
        <w:tblPrEx>
          <w:tblCellMar>
            <w:top w:w="0" w:type="dxa"/>
            <w:left w:w="108" w:type="dxa"/>
            <w:bottom w:w="0" w:type="dxa"/>
            <w:right w:w="108" w:type="dxa"/>
          </w:tblCellMar>
        </w:tblPrEx>
        <w:trPr>
          <w:trHeight w:val="300" w:hRule="atLeast"/>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子包二总价报价</w:t>
            </w:r>
          </w:p>
        </w:tc>
        <w:tc>
          <w:tcPr>
            <w:tcW w:w="6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FF0000"/>
              </w:rPr>
            </w:pPr>
          </w:p>
        </w:tc>
      </w:tr>
      <w:tr>
        <w:tblPrEx>
          <w:tblCellMar>
            <w:top w:w="0" w:type="dxa"/>
            <w:left w:w="108" w:type="dxa"/>
            <w:bottom w:w="0" w:type="dxa"/>
            <w:right w:w="108" w:type="dxa"/>
          </w:tblCellMar>
        </w:tblPrEx>
        <w:trPr>
          <w:trHeight w:val="300" w:hRule="atLeast"/>
        </w:trPr>
        <w:tc>
          <w:tcPr>
            <w:tcW w:w="1029"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724"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622"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1054"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1105"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1435" w:type="dxa"/>
            <w:tcBorders>
              <w:top w:val="nil"/>
              <w:left w:val="nil"/>
              <w:bottom w:val="nil"/>
              <w:right w:val="nil"/>
            </w:tcBorders>
            <w:shd w:val="clear" w:color="auto" w:fill="auto"/>
            <w:vAlign w:val="center"/>
          </w:tcPr>
          <w:p>
            <w:pPr>
              <w:jc w:val="center"/>
              <w:rPr>
                <w:rFonts w:ascii="宋体" w:hAnsi="宋体" w:eastAsia="宋体" w:cs="宋体"/>
                <w:color w:val="000000"/>
              </w:rPr>
            </w:pPr>
          </w:p>
        </w:tc>
        <w:tc>
          <w:tcPr>
            <w:tcW w:w="2045" w:type="dxa"/>
            <w:tcBorders>
              <w:top w:val="nil"/>
              <w:left w:val="nil"/>
              <w:bottom w:val="nil"/>
              <w:right w:val="nil"/>
            </w:tcBorders>
            <w:shd w:val="clear" w:color="auto" w:fill="auto"/>
            <w:vAlign w:val="center"/>
          </w:tcPr>
          <w:p>
            <w:pPr>
              <w:rPr>
                <w:rFonts w:ascii="宋体" w:hAnsi="宋体" w:eastAsia="宋体" w:cs="宋体"/>
                <w:color w:val="000000"/>
              </w:rPr>
            </w:pPr>
          </w:p>
        </w:tc>
        <w:tc>
          <w:tcPr>
            <w:tcW w:w="2045" w:type="dxa"/>
            <w:tcBorders>
              <w:top w:val="nil"/>
              <w:left w:val="nil"/>
              <w:bottom w:val="nil"/>
              <w:right w:val="nil"/>
            </w:tcBorders>
            <w:shd w:val="clear" w:color="auto" w:fill="auto"/>
            <w:vAlign w:val="center"/>
          </w:tcPr>
          <w:p>
            <w:pPr>
              <w:rPr>
                <w:rFonts w:ascii="宋体" w:hAnsi="宋体" w:eastAsia="宋体" w:cs="宋体"/>
                <w:color w:val="000000"/>
              </w:rPr>
            </w:pPr>
          </w:p>
        </w:tc>
        <w:tc>
          <w:tcPr>
            <w:tcW w:w="623" w:type="dxa"/>
            <w:tcBorders>
              <w:top w:val="nil"/>
              <w:left w:val="nil"/>
              <w:bottom w:val="nil"/>
              <w:right w:val="nil"/>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产品名称</w:t>
            </w:r>
          </w:p>
        </w:tc>
        <w:tc>
          <w:tcPr>
            <w:tcW w:w="724"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型号</w:t>
            </w:r>
          </w:p>
        </w:tc>
        <w:tc>
          <w:tcPr>
            <w:tcW w:w="622"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单位</w:t>
            </w:r>
          </w:p>
        </w:tc>
        <w:tc>
          <w:tcPr>
            <w:tcW w:w="1054"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含税单价限价</w:t>
            </w:r>
          </w:p>
        </w:tc>
        <w:tc>
          <w:tcPr>
            <w:tcW w:w="143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含税总价限价</w:t>
            </w:r>
          </w:p>
        </w:tc>
        <w:tc>
          <w:tcPr>
            <w:tcW w:w="204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含税单价报价（元）</w:t>
            </w:r>
          </w:p>
        </w:tc>
        <w:tc>
          <w:tcPr>
            <w:tcW w:w="204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含税总价报价（元）</w:t>
            </w:r>
          </w:p>
        </w:tc>
        <w:tc>
          <w:tcPr>
            <w:tcW w:w="623"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textAlignment w:val="center"/>
              <w:rPr>
                <w:rFonts w:ascii="宋体" w:hAnsi="宋体" w:eastAsia="宋体" w:cs="宋体"/>
                <w:color w:val="000000"/>
              </w:rPr>
            </w:pPr>
            <w:r>
              <w:rPr>
                <w:rFonts w:hint="eastAsia" w:ascii="宋体" w:hAnsi="宋体" w:eastAsia="宋体" w:cs="宋体"/>
                <w:color w:val="000000"/>
              </w:rPr>
              <w:t>备注</w:t>
            </w:r>
          </w:p>
        </w:tc>
      </w:tr>
      <w:tr>
        <w:tblPrEx>
          <w:tblCellMar>
            <w:top w:w="0" w:type="dxa"/>
            <w:left w:w="108" w:type="dxa"/>
            <w:bottom w:w="0" w:type="dxa"/>
            <w:right w:w="108" w:type="dxa"/>
          </w:tblCellMar>
        </w:tblPrEx>
        <w:trPr>
          <w:trHeight w:val="300" w:hRule="atLeast"/>
        </w:trPr>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NBIOT物联网无线远传水表（子包三）</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225</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342.71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77109.75</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3900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356.96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1392144</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60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430.67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25840.2</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DN40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1105.17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33155.1</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DN50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2742.33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82269.9</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DN80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3142.13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94263.9</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52</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3117.90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162130.8</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DN150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18</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4158.39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74851.02</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300"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DN200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textAlignment w:val="center"/>
              <w:rPr>
                <w:rFonts w:ascii="宋体" w:hAnsi="宋体" w:eastAsia="宋体" w:cs="宋体"/>
                <w:color w:val="000000"/>
              </w:rPr>
            </w:pPr>
            <w:r>
              <w:rPr>
                <w:rFonts w:hint="eastAsia" w:ascii="宋体" w:hAnsi="宋体" w:eastAsia="宋体" w:cs="宋体"/>
                <w:color w:val="000000"/>
              </w:rPr>
              <w:t>8</w:t>
            </w:r>
          </w:p>
        </w:tc>
        <w:tc>
          <w:tcPr>
            <w:tcW w:w="1105" w:type="dxa"/>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ascii="宋体" w:hAnsi="宋体" w:eastAsia="宋体" w:cs="宋体"/>
                <w:color w:val="000000"/>
                <w:highlight w:val="cyan"/>
              </w:rPr>
            </w:pPr>
            <w:r>
              <w:rPr>
                <w:rFonts w:hint="eastAsia" w:ascii="宋体" w:hAnsi="宋体" w:eastAsia="宋体" w:cs="宋体"/>
                <w:b/>
                <w:bCs/>
                <w:i w:val="0"/>
                <w:iCs w:val="0"/>
                <w:color w:val="000000"/>
                <w:kern w:val="0"/>
                <w:sz w:val="22"/>
                <w:szCs w:val="22"/>
                <w:u w:val="none"/>
                <w:lang w:val="en-US" w:eastAsia="zh-CN" w:bidi="ar"/>
              </w:rPr>
              <w:t xml:space="preserve">6401.42 </w:t>
            </w:r>
          </w:p>
        </w:tc>
        <w:tc>
          <w:tcPr>
            <w:tcW w:w="1435"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ascii="宋体" w:hAnsi="宋体" w:eastAsia="宋体" w:cs="宋体"/>
                <w:color w:val="000000"/>
              </w:rPr>
            </w:pPr>
            <w:r>
              <w:rPr>
                <w:rFonts w:hint="eastAsia" w:ascii="宋体" w:hAnsi="宋体" w:eastAsia="宋体" w:cs="宋体"/>
                <w:i w:val="0"/>
                <w:iCs w:val="0"/>
                <w:color w:val="000000"/>
                <w:kern w:val="0"/>
                <w:sz w:val="22"/>
                <w:szCs w:val="22"/>
                <w:u w:val="none"/>
                <w:lang w:val="en-US" w:eastAsia="zh-CN" w:bidi="ar"/>
              </w:rPr>
              <w:t>51211.36</w:t>
            </w:r>
          </w:p>
        </w:tc>
        <w:tc>
          <w:tcPr>
            <w:tcW w:w="2045"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ascii="宋体" w:hAnsi="宋体" w:eastAsia="宋体" w:cs="宋体"/>
                <w:color w:val="000000"/>
              </w:rPr>
            </w:pPr>
          </w:p>
        </w:tc>
        <w:tc>
          <w:tcPr>
            <w:tcW w:w="2045"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rPr>
            </w:pPr>
          </w:p>
        </w:tc>
        <w:tc>
          <w:tcPr>
            <w:tcW w:w="62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270" w:hRule="atLeast"/>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子包三总价限价</w:t>
            </w:r>
          </w:p>
        </w:tc>
        <w:tc>
          <w:tcPr>
            <w:tcW w:w="6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rPr>
            </w:pPr>
            <w:r>
              <w:rPr>
                <w:rFonts w:hint="eastAsia" w:ascii="宋体" w:hAnsi="宋体" w:eastAsia="宋体" w:cs="宋体"/>
                <w:color w:val="FF0000"/>
                <w:highlight w:val="none"/>
                <w:lang w:eastAsia="zh-CN"/>
              </w:rPr>
              <w:t>1992976.03</w:t>
            </w:r>
            <w:r>
              <w:rPr>
                <w:rFonts w:hint="eastAsia" w:ascii="宋体" w:hAnsi="宋体" w:eastAsia="宋体" w:cs="宋体"/>
                <w:color w:val="FF0000"/>
                <w:highlight w:val="none"/>
              </w:rPr>
              <w:t>元</w:t>
            </w:r>
          </w:p>
        </w:tc>
      </w:tr>
      <w:tr>
        <w:tblPrEx>
          <w:tblCellMar>
            <w:top w:w="0" w:type="dxa"/>
            <w:left w:w="108" w:type="dxa"/>
            <w:bottom w:w="0" w:type="dxa"/>
            <w:right w:w="108" w:type="dxa"/>
          </w:tblCellMar>
        </w:tblPrEx>
        <w:trPr>
          <w:trHeight w:val="270" w:hRule="atLeast"/>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子包三总价报价</w:t>
            </w:r>
          </w:p>
        </w:tc>
        <w:tc>
          <w:tcPr>
            <w:tcW w:w="6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270" w:hRule="atLeast"/>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本项目总价限价</w:t>
            </w:r>
          </w:p>
        </w:tc>
        <w:tc>
          <w:tcPr>
            <w:tcW w:w="6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r>
              <w:rPr>
                <w:rFonts w:hint="eastAsia" w:ascii="宋体" w:hAnsi="宋体" w:eastAsia="宋体" w:cs="宋体"/>
                <w:color w:val="FF0000"/>
                <w:highlight w:val="none"/>
                <w:lang w:eastAsia="zh-CN"/>
              </w:rPr>
              <w:t>13275561.8</w:t>
            </w:r>
            <w:r>
              <w:rPr>
                <w:rFonts w:hint="eastAsia" w:ascii="宋体" w:hAnsi="宋体" w:eastAsia="宋体" w:cs="宋体"/>
                <w:color w:val="FF0000"/>
                <w:highlight w:val="none"/>
              </w:rPr>
              <w:t xml:space="preserve"> 元</w:t>
            </w:r>
          </w:p>
        </w:tc>
      </w:tr>
      <w:tr>
        <w:tblPrEx>
          <w:tblCellMar>
            <w:top w:w="0" w:type="dxa"/>
            <w:left w:w="108" w:type="dxa"/>
            <w:bottom w:w="0" w:type="dxa"/>
            <w:right w:w="108" w:type="dxa"/>
          </w:tblCellMar>
        </w:tblPrEx>
        <w:trPr>
          <w:trHeight w:val="270" w:hRule="atLeast"/>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本项目总价报价</w:t>
            </w:r>
          </w:p>
        </w:tc>
        <w:tc>
          <w:tcPr>
            <w:tcW w:w="6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bl>
    <w:p>
      <w:pPr>
        <w:rPr>
          <w:rFonts w:ascii="宋体" w:hAnsi="宋体" w:eastAsia="宋体"/>
          <w:sz w:val="21"/>
          <w:szCs w:val="21"/>
        </w:rPr>
      </w:pPr>
    </w:p>
    <w:p>
      <w:pPr>
        <w:spacing w:line="500" w:lineRule="exact"/>
        <w:ind w:firstLine="327" w:firstLineChars="150"/>
        <w:rPr>
          <w:b/>
          <w:color w:val="FF0000"/>
          <w:spacing w:val="4"/>
          <w:sz w:val="21"/>
          <w:szCs w:val="21"/>
        </w:rPr>
      </w:pPr>
      <w:r>
        <w:rPr>
          <w:rFonts w:hint="eastAsia"/>
          <w:b/>
          <w:color w:val="FF0000"/>
          <w:spacing w:val="4"/>
          <w:sz w:val="21"/>
          <w:szCs w:val="21"/>
        </w:rPr>
        <w:t xml:space="preserve">备注： </w:t>
      </w:r>
    </w:p>
    <w:p>
      <w:pPr>
        <w:numPr>
          <w:ilvl w:val="0"/>
          <w:numId w:val="11"/>
        </w:numPr>
        <w:spacing w:line="500" w:lineRule="exact"/>
        <w:ind w:firstLine="327" w:firstLineChars="150"/>
        <w:rPr>
          <w:b/>
          <w:color w:val="FF0000"/>
          <w:spacing w:val="4"/>
          <w:sz w:val="21"/>
          <w:szCs w:val="21"/>
        </w:rPr>
      </w:pPr>
      <w:r>
        <w:rPr>
          <w:rFonts w:hint="eastAsia"/>
          <w:b/>
          <w:color w:val="FF0000"/>
          <w:spacing w:val="4"/>
          <w:sz w:val="21"/>
          <w:szCs w:val="21"/>
        </w:rPr>
        <w:t>各投标单位报价时须同时提供开标一览表（报价表）及项目报价明细表，否则报价无效。</w:t>
      </w:r>
    </w:p>
    <w:p>
      <w:pPr>
        <w:numPr>
          <w:ilvl w:val="0"/>
          <w:numId w:val="11"/>
        </w:numPr>
        <w:spacing w:line="500" w:lineRule="exact"/>
        <w:ind w:firstLine="327" w:firstLineChars="150"/>
        <w:rPr>
          <w:b/>
          <w:color w:val="FF0000"/>
        </w:rPr>
      </w:pPr>
      <w:r>
        <w:rPr>
          <w:rFonts w:hint="eastAsia"/>
          <w:b/>
          <w:color w:val="FF0000"/>
          <w:spacing w:val="4"/>
          <w:sz w:val="21"/>
          <w:szCs w:val="21"/>
        </w:rPr>
        <w:t>各投标单位所报单价、总价不得高于项目报价明细表的限价，否则报价无效。</w:t>
      </w:r>
    </w:p>
    <w:p>
      <w:pPr>
        <w:numPr>
          <w:ilvl w:val="0"/>
          <w:numId w:val="11"/>
        </w:numPr>
        <w:spacing w:line="500" w:lineRule="exact"/>
        <w:ind w:firstLine="327" w:firstLineChars="150"/>
        <w:rPr>
          <w:b/>
          <w:color w:val="FF0000"/>
          <w:spacing w:val="4"/>
          <w:sz w:val="21"/>
          <w:szCs w:val="21"/>
        </w:rPr>
      </w:pPr>
      <w:r>
        <w:rPr>
          <w:rFonts w:hint="eastAsia"/>
          <w:b/>
          <w:color w:val="FF0000"/>
          <w:spacing w:val="4"/>
          <w:sz w:val="21"/>
          <w:szCs w:val="21"/>
        </w:rPr>
        <w:t>各投标单位须在电子文档中提交EXCEL版本的汇总表以便验算。</w:t>
      </w:r>
    </w:p>
    <w:p>
      <w:pPr>
        <w:numPr>
          <w:ilvl w:val="0"/>
          <w:numId w:val="11"/>
        </w:numPr>
        <w:ind w:firstLine="327" w:firstLineChars="150"/>
        <w:rPr>
          <w:b/>
          <w:color w:val="FF0000"/>
          <w:spacing w:val="4"/>
          <w:sz w:val="21"/>
          <w:szCs w:val="21"/>
        </w:rPr>
      </w:pPr>
      <w:r>
        <w:rPr>
          <w:rFonts w:hint="eastAsia"/>
          <w:b/>
          <w:color w:val="FF0000"/>
          <w:spacing w:val="4"/>
          <w:sz w:val="21"/>
          <w:szCs w:val="21"/>
        </w:rPr>
        <w:t>各投标单位对不同子包同一产品报价需统一。</w:t>
      </w:r>
    </w:p>
    <w:p>
      <w:pPr>
        <w:numPr>
          <w:ilvl w:val="0"/>
          <w:numId w:val="11"/>
        </w:numPr>
        <w:ind w:firstLine="327" w:firstLineChars="150"/>
        <w:rPr>
          <w:b/>
          <w:color w:val="FF0000"/>
          <w:spacing w:val="4"/>
          <w:sz w:val="21"/>
          <w:szCs w:val="21"/>
        </w:rPr>
      </w:pPr>
      <w:r>
        <w:rPr>
          <w:rFonts w:hint="eastAsia"/>
          <w:b/>
          <w:color w:val="FF0000"/>
          <w:spacing w:val="4"/>
          <w:sz w:val="21"/>
          <w:szCs w:val="21"/>
        </w:rPr>
        <w:t>本项目采购人不承诺每项货物的采购数量，供应商取得任务的数量以采购人审批确定。供应商对产品数量无支配权。结算价格按照中标单价乘以实际供货数量据实结算。</w:t>
      </w:r>
    </w:p>
    <w:p>
      <w:pPr>
        <w:pStyle w:val="2"/>
        <w:ind w:left="330" w:leftChars="150" w:firstLine="0"/>
      </w:pPr>
    </w:p>
    <w:p>
      <w:pPr>
        <w:spacing w:line="400" w:lineRule="exact"/>
        <w:jc w:val="center"/>
        <w:rPr>
          <w:b/>
          <w:sz w:val="32"/>
          <w:szCs w:val="32"/>
        </w:rPr>
      </w:pPr>
    </w:p>
    <w:p>
      <w:pPr>
        <w:pStyle w:val="17"/>
        <w:ind w:left="0" w:leftChars="0" w:firstLine="0" w:firstLineChars="0"/>
      </w:pPr>
    </w:p>
    <w:p>
      <w:pPr>
        <w:spacing w:line="400" w:lineRule="exact"/>
        <w:rPr>
          <w:rFonts w:ascii="黑体" w:eastAsia="黑体"/>
          <w:bCs/>
          <w:sz w:val="28"/>
        </w:rPr>
      </w:pPr>
    </w:p>
    <w:p>
      <w:pPr>
        <w:spacing w:line="400" w:lineRule="exact"/>
        <w:rPr>
          <w:rFonts w:ascii="黑体" w:eastAsia="黑体"/>
          <w:bCs/>
          <w:sz w:val="28"/>
        </w:rPr>
      </w:pPr>
    </w:p>
    <w:p>
      <w:pPr>
        <w:spacing w:line="400" w:lineRule="exact"/>
        <w:rPr>
          <w:rFonts w:ascii="黑体" w:eastAsia="黑体"/>
          <w:bCs/>
          <w:sz w:val="28"/>
        </w:rPr>
      </w:pPr>
    </w:p>
    <w:p>
      <w:pPr>
        <w:spacing w:line="400" w:lineRule="exact"/>
        <w:rPr>
          <w:rFonts w:ascii="黑体" w:eastAsia="黑体"/>
          <w:bCs/>
          <w:sz w:val="28"/>
        </w:rPr>
      </w:pPr>
    </w:p>
    <w:p>
      <w:pPr>
        <w:spacing w:line="400" w:lineRule="exact"/>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pStyle w:val="2"/>
        <w:rPr>
          <w:rFonts w:ascii="黑体" w:eastAsia="黑体"/>
          <w:bCs/>
          <w:sz w:val="28"/>
        </w:rPr>
      </w:pPr>
    </w:p>
    <w:p>
      <w:pPr>
        <w:spacing w:line="400" w:lineRule="exact"/>
        <w:rPr>
          <w:rFonts w:ascii="黑体" w:eastAsia="黑体"/>
          <w:bCs/>
          <w:sz w:val="28"/>
        </w:rPr>
      </w:pPr>
    </w:p>
    <w:p>
      <w:pPr>
        <w:spacing w:line="400" w:lineRule="exact"/>
      </w:pPr>
      <w:r>
        <w:rPr>
          <w:rFonts w:hint="eastAsia" w:ascii="黑体" w:eastAsia="黑体"/>
          <w:bCs/>
          <w:sz w:val="28"/>
        </w:rPr>
        <w:t>格式8</w:t>
      </w:r>
    </w:p>
    <w:p>
      <w:pPr>
        <w:pStyle w:val="5"/>
        <w:adjustRightInd w:val="0"/>
        <w:snapToGrid w:val="0"/>
        <w:spacing w:beforeLines="50" w:afterLines="50" w:line="360" w:lineRule="auto"/>
        <w:jc w:val="center"/>
        <w:rPr>
          <w:b w:val="0"/>
        </w:rPr>
      </w:pPr>
      <w:bookmarkStart w:id="1158" w:name="_Toc453957434"/>
      <w:bookmarkStart w:id="1159" w:name="_Toc275865614"/>
      <w:r>
        <w:rPr>
          <w:rFonts w:hint="eastAsia"/>
          <w:b w:val="0"/>
        </w:rPr>
        <w:t>投标服务方案</w:t>
      </w:r>
      <w:bookmarkEnd w:id="1158"/>
      <w:bookmarkEnd w:id="1159"/>
    </w:p>
    <w:p>
      <w:pPr>
        <w:spacing w:beforeLines="50" w:afterLines="50" w:line="360" w:lineRule="auto"/>
        <w:rPr>
          <w:rFonts w:ascii="宋体" w:hAnsi="宋体"/>
          <w:b/>
          <w:sz w:val="21"/>
          <w:szCs w:val="21"/>
        </w:rPr>
      </w:pPr>
      <w:r>
        <w:rPr>
          <w:rFonts w:hint="eastAsia" w:ascii="宋体" w:hAnsi="宋体"/>
          <w:b/>
          <w:color w:val="000000"/>
          <w:sz w:val="21"/>
          <w:szCs w:val="21"/>
        </w:rPr>
        <w:t>主要内容</w:t>
      </w:r>
      <w:r>
        <w:rPr>
          <w:rFonts w:hint="eastAsia" w:ascii="宋体" w:hAnsi="宋体"/>
          <w:b/>
          <w:sz w:val="21"/>
          <w:szCs w:val="21"/>
        </w:rPr>
        <w:t>应包括但不限于以下内容（格式自定）：</w:t>
      </w:r>
    </w:p>
    <w:p>
      <w:pPr>
        <w:numPr>
          <w:ilvl w:val="0"/>
          <w:numId w:val="12"/>
        </w:numPr>
        <w:spacing w:beforeLines="50" w:afterLines="50" w:line="360" w:lineRule="auto"/>
        <w:rPr>
          <w:rFonts w:ascii="微软雅黑" w:hAnsi="微软雅黑" w:cs="微软雅黑"/>
          <w:b/>
          <w:bCs/>
          <w:color w:val="000000"/>
          <w:sz w:val="21"/>
          <w:szCs w:val="21"/>
        </w:rPr>
      </w:pPr>
      <w:r>
        <w:rPr>
          <w:rFonts w:hint="eastAsia" w:ascii="微软雅黑" w:hAnsi="微软雅黑" w:cs="微软雅黑"/>
          <w:b/>
          <w:bCs/>
          <w:sz w:val="20"/>
          <w:szCs w:val="20"/>
          <w:lang w:val="en-US" w:eastAsia="zh-Hans"/>
        </w:rPr>
        <w:t>校验能力</w:t>
      </w:r>
      <w:r>
        <w:rPr>
          <w:rFonts w:hint="eastAsia" w:ascii="微软雅黑" w:hAnsi="微软雅黑" w:cs="微软雅黑"/>
          <w:b/>
          <w:bCs/>
          <w:color w:val="000000"/>
          <w:sz w:val="21"/>
          <w:szCs w:val="21"/>
        </w:rPr>
        <w:t>；（详见  页）</w:t>
      </w:r>
    </w:p>
    <w:p>
      <w:pPr>
        <w:numPr>
          <w:ilvl w:val="0"/>
          <w:numId w:val="12"/>
        </w:numPr>
        <w:spacing w:beforeLines="50" w:afterLines="50" w:line="360" w:lineRule="auto"/>
        <w:rPr>
          <w:rFonts w:ascii="微软雅黑" w:hAnsi="微软雅黑" w:cs="微软雅黑"/>
          <w:b/>
          <w:bCs/>
          <w:color w:val="000000"/>
          <w:sz w:val="21"/>
          <w:szCs w:val="21"/>
        </w:rPr>
      </w:pPr>
      <w:r>
        <w:rPr>
          <w:rFonts w:hint="eastAsia" w:ascii="微软雅黑" w:hAnsi="微软雅黑" w:cs="微软雅黑"/>
          <w:b/>
          <w:bCs/>
          <w:sz w:val="20"/>
          <w:szCs w:val="20"/>
          <w:lang w:val="en-US" w:eastAsia="zh-Hans"/>
        </w:rPr>
        <w:t>设备性能与参数指标</w:t>
      </w:r>
      <w:r>
        <w:rPr>
          <w:rFonts w:hint="eastAsia" w:ascii="微软雅黑" w:hAnsi="微软雅黑" w:cs="微软雅黑"/>
          <w:b/>
          <w:bCs/>
          <w:color w:val="000000"/>
          <w:sz w:val="21"/>
          <w:szCs w:val="21"/>
        </w:rPr>
        <w:t>；（详见  页）</w:t>
      </w:r>
    </w:p>
    <w:p>
      <w:pPr>
        <w:numPr>
          <w:ilvl w:val="0"/>
          <w:numId w:val="12"/>
        </w:numPr>
        <w:spacing w:beforeLines="50" w:afterLines="50" w:line="360" w:lineRule="auto"/>
        <w:rPr>
          <w:rFonts w:ascii="微软雅黑" w:hAnsi="微软雅黑" w:cs="微软雅黑"/>
          <w:b/>
          <w:bCs/>
          <w:color w:val="000000"/>
          <w:sz w:val="21"/>
          <w:szCs w:val="21"/>
        </w:rPr>
      </w:pPr>
      <w:r>
        <w:rPr>
          <w:rFonts w:hint="eastAsia" w:ascii="微软雅黑" w:hAnsi="微软雅黑" w:cs="微软雅黑"/>
          <w:b/>
          <w:bCs/>
          <w:sz w:val="20"/>
          <w:szCs w:val="20"/>
        </w:rPr>
        <w:t>售后方案</w:t>
      </w:r>
      <w:r>
        <w:rPr>
          <w:rFonts w:hint="eastAsia" w:ascii="微软雅黑" w:hAnsi="微软雅黑" w:cs="微软雅黑"/>
          <w:b/>
          <w:bCs/>
          <w:color w:val="000000"/>
          <w:sz w:val="21"/>
          <w:szCs w:val="21"/>
        </w:rPr>
        <w:t>；（详见  页）</w:t>
      </w:r>
    </w:p>
    <w:p>
      <w:pPr>
        <w:numPr>
          <w:ilvl w:val="0"/>
          <w:numId w:val="12"/>
        </w:numPr>
        <w:spacing w:beforeLines="50" w:afterLines="50" w:line="360" w:lineRule="auto"/>
        <w:rPr>
          <w:rFonts w:ascii="微软雅黑" w:hAnsi="微软雅黑" w:cs="微软雅黑"/>
          <w:b/>
          <w:bCs/>
          <w:color w:val="000000"/>
          <w:sz w:val="21"/>
          <w:szCs w:val="21"/>
        </w:rPr>
      </w:pPr>
      <w:r>
        <w:rPr>
          <w:rFonts w:hint="eastAsia" w:ascii="微软雅黑" w:hAnsi="微软雅黑" w:cs="微软雅黑"/>
          <w:b/>
          <w:bCs/>
          <w:sz w:val="20"/>
          <w:szCs w:val="20"/>
          <w:lang w:val="en-US" w:eastAsia="zh-Hans"/>
        </w:rPr>
        <w:t>数据兼容性</w:t>
      </w:r>
      <w:r>
        <w:rPr>
          <w:rFonts w:hint="eastAsia" w:ascii="微软雅黑" w:hAnsi="微软雅黑" w:cs="微软雅黑"/>
          <w:b/>
          <w:bCs/>
          <w:color w:val="000000"/>
          <w:sz w:val="21"/>
          <w:szCs w:val="21"/>
        </w:rPr>
        <w:t>；（详见  页）</w:t>
      </w:r>
    </w:p>
    <w:p>
      <w:pPr>
        <w:numPr>
          <w:ilvl w:val="0"/>
          <w:numId w:val="12"/>
        </w:numPr>
        <w:spacing w:beforeLines="50" w:afterLines="50" w:line="360" w:lineRule="auto"/>
        <w:rPr>
          <w:rFonts w:ascii="微软雅黑" w:hAnsi="微软雅黑" w:cs="微软雅黑"/>
          <w:b/>
          <w:bCs/>
          <w:color w:val="000000"/>
          <w:sz w:val="21"/>
          <w:szCs w:val="21"/>
        </w:rPr>
      </w:pPr>
      <w:r>
        <w:rPr>
          <w:rFonts w:hint="eastAsia" w:ascii="微软雅黑" w:hAnsi="微软雅黑" w:cs="微软雅黑"/>
          <w:b/>
          <w:bCs/>
          <w:sz w:val="20"/>
          <w:szCs w:val="20"/>
        </w:rPr>
        <w:t>生产设备的配置情况</w:t>
      </w:r>
      <w:r>
        <w:rPr>
          <w:rFonts w:hint="eastAsia" w:ascii="微软雅黑" w:hAnsi="微软雅黑" w:cs="微软雅黑"/>
          <w:b/>
          <w:bCs/>
          <w:color w:val="000000"/>
          <w:sz w:val="21"/>
          <w:szCs w:val="21"/>
        </w:rPr>
        <w:t>；（详见  页）</w:t>
      </w:r>
    </w:p>
    <w:p>
      <w:pPr>
        <w:spacing w:line="500" w:lineRule="exact"/>
        <w:rPr>
          <w:spacing w:val="4"/>
          <w:sz w:val="21"/>
          <w:szCs w:val="21"/>
        </w:rPr>
      </w:pPr>
    </w:p>
    <w:p>
      <w:pPr>
        <w:spacing w:line="400" w:lineRule="exact"/>
        <w:rPr>
          <w:rFonts w:ascii="宋体" w:hAnsi="宋体"/>
          <w:sz w:val="21"/>
          <w:szCs w:val="21"/>
        </w:rPr>
      </w:pPr>
    </w:p>
    <w:p>
      <w:pPr>
        <w:spacing w:line="500" w:lineRule="exact"/>
        <w:rPr>
          <w:rFonts w:ascii="宋体" w:hAnsi="宋体"/>
          <w:color w:val="000000"/>
          <w:sz w:val="21"/>
          <w:szCs w:val="21"/>
          <w:u w:val="single"/>
        </w:rPr>
      </w:pPr>
      <w:r>
        <w:rPr>
          <w:rFonts w:hint="eastAsia"/>
          <w:spacing w:val="4"/>
          <w:sz w:val="21"/>
          <w:szCs w:val="21"/>
        </w:rPr>
        <w:t>投标人名称（盖公章）：</w:t>
      </w:r>
    </w:p>
    <w:p>
      <w:pPr>
        <w:rPr>
          <w:spacing w:val="4"/>
          <w:sz w:val="21"/>
          <w:szCs w:val="21"/>
        </w:rPr>
      </w:pPr>
    </w:p>
    <w:p>
      <w:pPr>
        <w:spacing w:line="520" w:lineRule="exact"/>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rFonts w:hint="eastAsia"/>
          <w:spacing w:val="4"/>
          <w:sz w:val="21"/>
          <w:szCs w:val="21"/>
        </w:rPr>
        <w:t>职务：日期：</w:t>
      </w:r>
    </w:p>
    <w:p>
      <w:pPr>
        <w:spacing w:line="400" w:lineRule="exact"/>
        <w:rPr>
          <w:rFonts w:ascii="宋体" w:hAnsi="宋体"/>
          <w:sz w:val="21"/>
          <w:szCs w:val="21"/>
        </w:rPr>
      </w:pPr>
    </w:p>
    <w:p>
      <w:pPr>
        <w:spacing w:line="440" w:lineRule="exact"/>
        <w:rPr>
          <w:rFonts w:ascii="黑体" w:eastAsia="黑体"/>
          <w:bCs/>
        </w:rPr>
      </w:pPr>
      <w:r>
        <w:rPr>
          <w:rFonts w:hint="eastAsia" w:ascii="黑体" w:eastAsia="黑体"/>
          <w:bCs/>
          <w:sz w:val="28"/>
        </w:rPr>
        <w:br w:type="page"/>
      </w:r>
      <w:bookmarkStart w:id="1160" w:name="_Toc50703730"/>
      <w:bookmarkStart w:id="1161" w:name="_Toc50691037"/>
      <w:bookmarkStart w:id="1162" w:name="_Toc43264518"/>
      <w:r>
        <w:rPr>
          <w:rFonts w:hint="eastAsia" w:ascii="黑体" w:eastAsia="黑体"/>
          <w:bCs/>
          <w:sz w:val="28"/>
        </w:rPr>
        <w:t>格式9</w:t>
      </w:r>
    </w:p>
    <w:p>
      <w:pPr>
        <w:pStyle w:val="5"/>
        <w:adjustRightInd w:val="0"/>
        <w:snapToGrid w:val="0"/>
        <w:spacing w:beforeLines="50" w:afterLines="50" w:line="360" w:lineRule="auto"/>
        <w:jc w:val="center"/>
        <w:rPr>
          <w:b w:val="0"/>
        </w:rPr>
      </w:pPr>
      <w:bookmarkStart w:id="1163" w:name="_Toc275865616"/>
      <w:bookmarkStart w:id="1164" w:name="_Toc173553182"/>
      <w:bookmarkStart w:id="1165" w:name="_Toc453957435"/>
      <w:r>
        <w:rPr>
          <w:rFonts w:hint="eastAsia"/>
          <w:b w:val="0"/>
        </w:rPr>
        <w:t>投标人基本情况表</w:t>
      </w:r>
      <w:bookmarkEnd w:id="1163"/>
      <w:bookmarkEnd w:id="1164"/>
      <w:bookmarkEnd w:id="1165"/>
    </w:p>
    <w:p>
      <w:pPr>
        <w:widowControl w:val="0"/>
        <w:numPr>
          <w:ilvl w:val="0"/>
          <w:numId w:val="13"/>
        </w:numPr>
        <w:autoSpaceDN w:val="0"/>
        <w:adjustRightInd/>
        <w:snapToGrid/>
        <w:spacing w:after="0" w:line="360" w:lineRule="auto"/>
        <w:jc w:val="both"/>
        <w:rPr>
          <w:rFonts w:ascii="宋体" w:hAnsi="宋体" w:cs="Arial"/>
          <w:sz w:val="21"/>
          <w:szCs w:val="21"/>
        </w:rPr>
      </w:pPr>
      <w:r>
        <w:rPr>
          <w:rFonts w:hint="eastAsia" w:ascii="宋体" w:hAnsi="宋体" w:cs="Arial"/>
          <w:sz w:val="21"/>
          <w:szCs w:val="21"/>
        </w:rPr>
        <w:t>公司基本情况</w:t>
      </w:r>
    </w:p>
    <w:p>
      <w:pPr>
        <w:widowControl w:val="0"/>
        <w:numPr>
          <w:ilvl w:val="1"/>
          <w:numId w:val="13"/>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公司名称：  电话号码：</w:t>
      </w:r>
    </w:p>
    <w:p>
      <w:pPr>
        <w:widowControl w:val="0"/>
        <w:numPr>
          <w:ilvl w:val="1"/>
          <w:numId w:val="13"/>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地    址：  传    真：</w:t>
      </w:r>
    </w:p>
    <w:p>
      <w:pPr>
        <w:widowControl w:val="0"/>
        <w:numPr>
          <w:ilvl w:val="1"/>
          <w:numId w:val="13"/>
        </w:numPr>
        <w:tabs>
          <w:tab w:val="left" w:pos="420"/>
        </w:tabs>
        <w:autoSpaceDN w:val="0"/>
        <w:adjustRightInd/>
        <w:snapToGrid/>
        <w:spacing w:after="0" w:line="360" w:lineRule="auto"/>
        <w:ind w:left="420"/>
        <w:jc w:val="both"/>
        <w:rPr>
          <w:rFonts w:ascii="宋体" w:hAnsi="宋体" w:cs="Arial"/>
          <w:sz w:val="21"/>
          <w:szCs w:val="21"/>
          <w:u w:val="single"/>
        </w:rPr>
      </w:pPr>
      <w:r>
        <w:rPr>
          <w:rFonts w:hint="eastAsia" w:ascii="宋体" w:hAnsi="宋体" w:cs="Arial"/>
          <w:sz w:val="21"/>
          <w:szCs w:val="21"/>
        </w:rPr>
        <w:t>注册资金：  经济性质：</w:t>
      </w:r>
    </w:p>
    <w:p>
      <w:pPr>
        <w:widowControl w:val="0"/>
        <w:numPr>
          <w:ilvl w:val="1"/>
          <w:numId w:val="13"/>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 xml:space="preserve">公司开户银行名称及账号：     </w:t>
      </w:r>
    </w:p>
    <w:p>
      <w:pPr>
        <w:widowControl w:val="0"/>
        <w:numPr>
          <w:ilvl w:val="1"/>
          <w:numId w:val="13"/>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 xml:space="preserve">营业注册执照号：   </w:t>
      </w:r>
    </w:p>
    <w:p>
      <w:pPr>
        <w:widowControl w:val="0"/>
        <w:numPr>
          <w:ilvl w:val="1"/>
          <w:numId w:val="13"/>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公司简介</w:t>
      </w:r>
    </w:p>
    <w:p>
      <w:pPr>
        <w:spacing w:line="360" w:lineRule="auto"/>
        <w:ind w:left="360"/>
        <w:rPr>
          <w:rFonts w:ascii="宋体" w:hAnsi="宋体"/>
          <w:sz w:val="21"/>
          <w:szCs w:val="21"/>
        </w:rPr>
      </w:pPr>
      <w:r>
        <w:rPr>
          <w:rFonts w:hint="eastAsia" w:ascii="宋体" w:hAnsi="宋体"/>
          <w:sz w:val="21"/>
          <w:szCs w:val="21"/>
        </w:rPr>
        <w:t>文字描述：</w:t>
      </w:r>
      <w:r>
        <w:rPr>
          <w:rFonts w:hint="eastAsia" w:ascii="宋体" w:hAnsi="宋体"/>
          <w:bCs/>
          <w:sz w:val="21"/>
          <w:szCs w:val="21"/>
          <w:lang w:val="en-GB"/>
        </w:rPr>
        <w:t>发展历程、经营规模及服务理念</w:t>
      </w:r>
      <w:r>
        <w:rPr>
          <w:rFonts w:hint="eastAsia" w:ascii="宋体" w:hAnsi="宋体"/>
          <w:sz w:val="21"/>
          <w:szCs w:val="21"/>
        </w:rPr>
        <w:t>、技术力量、财务状况、管理水平等方面进行阐述。</w:t>
      </w:r>
    </w:p>
    <w:p>
      <w:pPr>
        <w:widowControl w:val="0"/>
        <w:numPr>
          <w:ilvl w:val="0"/>
          <w:numId w:val="13"/>
        </w:numPr>
        <w:autoSpaceDN w:val="0"/>
        <w:adjustRightInd/>
        <w:snapToGrid/>
        <w:spacing w:after="0" w:line="360" w:lineRule="auto"/>
        <w:jc w:val="both"/>
        <w:rPr>
          <w:rFonts w:ascii="宋体" w:hAnsi="宋体" w:cs="Arial"/>
          <w:sz w:val="21"/>
          <w:szCs w:val="21"/>
        </w:rPr>
      </w:pPr>
      <w:r>
        <w:rPr>
          <w:rFonts w:hint="eastAsia" w:ascii="宋体" w:hAnsi="宋体" w:cs="Arial"/>
          <w:sz w:val="21"/>
          <w:szCs w:val="21"/>
        </w:rPr>
        <w:t>投标人获得国家有关部门颁发的资质：</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63" w:type="dxa"/>
            <w:tcBorders>
              <w:top w:val="single" w:color="auto" w:sz="12" w:space="0"/>
              <w:left w:val="single" w:color="auto" w:sz="12" w:space="0"/>
              <w:bottom w:val="single" w:color="auto" w:sz="4" w:space="0"/>
              <w:right w:val="single" w:color="auto" w:sz="4" w:space="0"/>
            </w:tcBorders>
          </w:tcPr>
          <w:p>
            <w:pPr>
              <w:spacing w:line="360" w:lineRule="auto"/>
              <w:jc w:val="center"/>
              <w:rPr>
                <w:rFonts w:ascii="宋体" w:hAnsi="宋体" w:cs="Arial"/>
                <w:sz w:val="21"/>
                <w:szCs w:val="21"/>
              </w:rPr>
            </w:pPr>
            <w:r>
              <w:rPr>
                <w:rFonts w:hint="eastAsia" w:ascii="宋体" w:hAnsi="宋体" w:cs="Arial"/>
                <w:sz w:val="21"/>
                <w:szCs w:val="21"/>
              </w:rPr>
              <w:t xml:space="preserve">  证书名称</w:t>
            </w:r>
          </w:p>
        </w:tc>
        <w:tc>
          <w:tcPr>
            <w:tcW w:w="2463" w:type="dxa"/>
            <w:tcBorders>
              <w:top w:val="single" w:color="auto" w:sz="12" w:space="0"/>
              <w:left w:val="single" w:color="auto" w:sz="4" w:space="0"/>
              <w:bottom w:val="single" w:color="auto" w:sz="4" w:space="0"/>
              <w:right w:val="single" w:color="auto" w:sz="4" w:space="0"/>
            </w:tcBorders>
          </w:tcPr>
          <w:p>
            <w:pPr>
              <w:spacing w:line="360" w:lineRule="auto"/>
              <w:jc w:val="center"/>
              <w:rPr>
                <w:rFonts w:ascii="宋体" w:hAnsi="宋体" w:cs="Arial"/>
                <w:sz w:val="21"/>
                <w:szCs w:val="21"/>
              </w:rPr>
            </w:pPr>
            <w:r>
              <w:rPr>
                <w:rFonts w:hint="eastAsia" w:ascii="宋体" w:hAnsi="宋体" w:cs="Arial"/>
                <w:sz w:val="21"/>
                <w:szCs w:val="21"/>
              </w:rPr>
              <w:t>发证单位</w:t>
            </w:r>
          </w:p>
        </w:tc>
        <w:tc>
          <w:tcPr>
            <w:tcW w:w="2464" w:type="dxa"/>
            <w:tcBorders>
              <w:top w:val="single" w:color="auto" w:sz="12" w:space="0"/>
              <w:left w:val="single" w:color="auto" w:sz="4" w:space="0"/>
              <w:bottom w:val="single" w:color="auto" w:sz="4" w:space="0"/>
              <w:right w:val="single" w:color="auto" w:sz="4" w:space="0"/>
            </w:tcBorders>
          </w:tcPr>
          <w:p>
            <w:pPr>
              <w:spacing w:line="360" w:lineRule="auto"/>
              <w:jc w:val="center"/>
              <w:rPr>
                <w:rFonts w:ascii="宋体" w:hAnsi="宋体" w:cs="Arial"/>
                <w:sz w:val="21"/>
                <w:szCs w:val="21"/>
              </w:rPr>
            </w:pPr>
            <w:r>
              <w:rPr>
                <w:rFonts w:hint="eastAsia" w:ascii="宋体" w:hAnsi="宋体" w:cs="Arial"/>
                <w:sz w:val="21"/>
                <w:szCs w:val="21"/>
              </w:rPr>
              <w:t>证书等级</w:t>
            </w:r>
          </w:p>
        </w:tc>
        <w:tc>
          <w:tcPr>
            <w:tcW w:w="2464" w:type="dxa"/>
            <w:tcBorders>
              <w:top w:val="single" w:color="auto" w:sz="12" w:space="0"/>
              <w:left w:val="single" w:color="auto" w:sz="4" w:space="0"/>
              <w:bottom w:val="single" w:color="auto" w:sz="4" w:space="0"/>
              <w:right w:val="single" w:color="auto" w:sz="12" w:space="0"/>
            </w:tcBorders>
          </w:tcPr>
          <w:p>
            <w:pPr>
              <w:spacing w:line="360" w:lineRule="auto"/>
              <w:jc w:val="center"/>
              <w:rPr>
                <w:rFonts w:ascii="宋体" w:hAnsi="宋体" w:cs="Arial"/>
                <w:sz w:val="21"/>
                <w:szCs w:val="21"/>
              </w:rPr>
            </w:pPr>
            <w:r>
              <w:rPr>
                <w:rFonts w:hint="eastAsia" w:ascii="宋体" w:hAnsi="宋体" w:cs="Arial"/>
                <w:sz w:val="21"/>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top w:val="single" w:color="auto" w:sz="4" w:space="0"/>
              <w:left w:val="single" w:color="auto" w:sz="12" w:space="0"/>
              <w:bottom w:val="single" w:color="auto" w:sz="4" w:space="0"/>
              <w:right w:val="single" w:color="auto" w:sz="4" w:space="0"/>
            </w:tcBorders>
          </w:tcPr>
          <w:p>
            <w:pPr>
              <w:spacing w:line="360" w:lineRule="auto"/>
              <w:jc w:val="center"/>
              <w:rPr>
                <w:rFonts w:ascii="宋体" w:hAnsi="宋体" w:cs="Arial"/>
                <w:sz w:val="21"/>
                <w:szCs w:val="21"/>
              </w:rPr>
            </w:pPr>
          </w:p>
        </w:tc>
        <w:tc>
          <w:tcPr>
            <w:tcW w:w="246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4" w:space="0"/>
              <w:right w:val="single" w:color="auto" w:sz="12" w:space="0"/>
            </w:tcBorders>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top w:val="single" w:color="auto" w:sz="4" w:space="0"/>
              <w:left w:val="single" w:color="auto" w:sz="12" w:space="0"/>
              <w:bottom w:val="single" w:color="auto" w:sz="12" w:space="0"/>
              <w:right w:val="single" w:color="auto" w:sz="4" w:space="0"/>
            </w:tcBorders>
          </w:tcPr>
          <w:p>
            <w:pPr>
              <w:spacing w:line="360" w:lineRule="auto"/>
              <w:jc w:val="center"/>
              <w:rPr>
                <w:rFonts w:ascii="宋体" w:hAnsi="宋体" w:cs="Arial"/>
                <w:sz w:val="21"/>
                <w:szCs w:val="21"/>
              </w:rPr>
            </w:pPr>
          </w:p>
        </w:tc>
        <w:tc>
          <w:tcPr>
            <w:tcW w:w="2463" w:type="dxa"/>
            <w:tcBorders>
              <w:top w:val="single" w:color="auto" w:sz="4" w:space="0"/>
              <w:left w:val="single" w:color="auto" w:sz="4" w:space="0"/>
              <w:bottom w:val="single" w:color="auto" w:sz="12" w:space="0"/>
              <w:right w:val="single" w:color="auto" w:sz="4" w:space="0"/>
            </w:tcBorders>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12" w:space="0"/>
              <w:right w:val="single" w:color="auto" w:sz="4" w:space="0"/>
            </w:tcBorders>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12" w:space="0"/>
              <w:right w:val="single" w:color="auto" w:sz="12" w:space="0"/>
            </w:tcBorders>
          </w:tcPr>
          <w:p>
            <w:pPr>
              <w:spacing w:line="360" w:lineRule="auto"/>
              <w:jc w:val="center"/>
              <w:rPr>
                <w:rFonts w:ascii="宋体" w:hAnsi="宋体" w:cs="Arial"/>
                <w:sz w:val="21"/>
                <w:szCs w:val="21"/>
              </w:rPr>
            </w:pPr>
          </w:p>
        </w:tc>
      </w:tr>
    </w:tbl>
    <w:p>
      <w:pPr>
        <w:spacing w:line="360" w:lineRule="auto"/>
        <w:rPr>
          <w:rFonts w:ascii="宋体" w:hAnsi="宋体" w:cs="Arial"/>
          <w:sz w:val="21"/>
          <w:szCs w:val="21"/>
        </w:rPr>
      </w:pPr>
    </w:p>
    <w:p>
      <w:pPr>
        <w:spacing w:line="360" w:lineRule="auto"/>
        <w:rPr>
          <w:rFonts w:ascii="宋体" w:hAnsi="宋体" w:cs="Arial"/>
          <w:sz w:val="21"/>
          <w:szCs w:val="21"/>
        </w:rPr>
      </w:pPr>
      <w:r>
        <w:rPr>
          <w:rFonts w:hint="eastAsia" w:ascii="宋体" w:hAnsi="宋体" w:cs="Arial"/>
          <w:sz w:val="21"/>
          <w:szCs w:val="21"/>
        </w:rPr>
        <w:t xml:space="preserve">   我/我们声明以上所述是正确无误的，您有权进行您认为必要的所有调查。</w:t>
      </w:r>
    </w:p>
    <w:p>
      <w:pPr>
        <w:spacing w:line="500" w:lineRule="exact"/>
        <w:ind w:firstLine="420" w:firstLineChars="200"/>
        <w:rPr>
          <w:rFonts w:ascii="宋体" w:hAnsi="宋体" w:cs="Arial"/>
          <w:sz w:val="21"/>
          <w:szCs w:val="21"/>
        </w:rPr>
      </w:pPr>
      <w:bookmarkStart w:id="1166" w:name="_Toc43264525"/>
    </w:p>
    <w:p>
      <w:pPr>
        <w:spacing w:line="500" w:lineRule="exact"/>
        <w:rPr>
          <w:rFonts w:ascii="宋体" w:hAnsi="宋体"/>
          <w:color w:val="000000"/>
          <w:sz w:val="21"/>
          <w:szCs w:val="21"/>
          <w:u w:val="single"/>
        </w:rPr>
      </w:pPr>
      <w:r>
        <w:rPr>
          <w:rFonts w:hint="eastAsia"/>
          <w:spacing w:val="4"/>
          <w:sz w:val="21"/>
          <w:szCs w:val="21"/>
        </w:rPr>
        <w:t>投标人名称（盖公章）：</w:t>
      </w:r>
    </w:p>
    <w:p>
      <w:pPr>
        <w:rPr>
          <w:spacing w:val="4"/>
          <w:sz w:val="21"/>
          <w:szCs w:val="21"/>
        </w:rPr>
      </w:pPr>
    </w:p>
    <w:p>
      <w:pPr>
        <w:spacing w:line="520" w:lineRule="exact"/>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rFonts w:hint="eastAsia"/>
          <w:spacing w:val="4"/>
          <w:sz w:val="21"/>
          <w:szCs w:val="21"/>
        </w:rPr>
        <w:t>职务：日期：</w:t>
      </w:r>
      <w:bookmarkEnd w:id="1160"/>
      <w:bookmarkEnd w:id="1161"/>
      <w:bookmarkEnd w:id="1166"/>
    </w:p>
    <w:p>
      <w:pPr>
        <w:adjustRightInd/>
        <w:spacing w:line="360" w:lineRule="auto"/>
        <w:rPr>
          <w:rFonts w:ascii="黑体" w:eastAsia="黑体"/>
          <w:b/>
          <w:bCs/>
          <w:sz w:val="28"/>
        </w:rPr>
        <w:sectPr>
          <w:pgSz w:w="11906" w:h="16838"/>
          <w:pgMar w:top="720" w:right="720" w:bottom="720" w:left="720" w:header="657" w:footer="481" w:gutter="0"/>
          <w:cols w:space="720" w:num="1"/>
          <w:docGrid w:linePitch="272" w:charSpace="0"/>
        </w:sectPr>
      </w:pPr>
    </w:p>
    <w:p>
      <w:pPr>
        <w:spacing w:line="440" w:lineRule="exact"/>
        <w:rPr>
          <w:rFonts w:ascii="黑体" w:hAnsi="黑体" w:eastAsia="黑体" w:cs="黑体"/>
          <w:sz w:val="28"/>
          <w:szCs w:val="28"/>
        </w:rPr>
      </w:pPr>
      <w:bookmarkStart w:id="1167" w:name="_Toc259022219"/>
      <w:r>
        <w:rPr>
          <w:rFonts w:hint="eastAsia" w:ascii="黑体" w:hAnsi="黑体" w:eastAsia="黑体" w:cs="黑体"/>
          <w:sz w:val="28"/>
          <w:szCs w:val="28"/>
        </w:rPr>
        <w:t>格式10</w:t>
      </w:r>
    </w:p>
    <w:p>
      <w:pPr>
        <w:spacing w:line="440" w:lineRule="exact"/>
        <w:ind w:left="-2" w:leftChars="-1"/>
        <w:rPr>
          <w:spacing w:val="4"/>
        </w:rPr>
      </w:pPr>
    </w:p>
    <w:p>
      <w:pPr>
        <w:pStyle w:val="5"/>
        <w:adjustRightInd w:val="0"/>
        <w:snapToGrid w:val="0"/>
        <w:spacing w:beforeLines="50" w:afterLines="50" w:line="360" w:lineRule="auto"/>
        <w:jc w:val="center"/>
        <w:rPr>
          <w:b w:val="0"/>
        </w:rPr>
      </w:pPr>
      <w:bookmarkStart w:id="1168" w:name="_Toc275865621"/>
      <w:bookmarkStart w:id="1169" w:name="_Toc453957439"/>
      <w:r>
        <w:rPr>
          <w:rFonts w:hint="eastAsia"/>
          <w:b w:val="0"/>
        </w:rPr>
        <w:t>用户需求响应一览表</w:t>
      </w:r>
      <w:bookmarkEnd w:id="1167"/>
      <w:bookmarkEnd w:id="1168"/>
      <w:bookmarkEnd w:id="1169"/>
    </w:p>
    <w:p>
      <w:pPr>
        <w:spacing w:line="360" w:lineRule="auto"/>
        <w:ind w:left="945" w:hanging="945" w:hangingChars="450"/>
        <w:rPr>
          <w:rFonts w:ascii="宋体" w:hAnsi="宋体"/>
          <w:sz w:val="21"/>
          <w:szCs w:val="21"/>
        </w:rPr>
      </w:pPr>
      <w:r>
        <w:rPr>
          <w:rFonts w:hint="eastAsia" w:ascii="宋体" w:hAnsi="宋体"/>
          <w:sz w:val="21"/>
          <w:szCs w:val="21"/>
        </w:rPr>
        <w:t>说明：投标人必须对应招标文件的</w:t>
      </w:r>
      <w:r>
        <w:rPr>
          <w:rFonts w:hint="eastAsia"/>
          <w:sz w:val="21"/>
          <w:szCs w:val="21"/>
        </w:rPr>
        <w:t>用户需求书</w:t>
      </w:r>
      <w:r>
        <w:rPr>
          <w:rFonts w:hint="eastAsia" w:ascii="宋体" w:hAnsi="宋体"/>
          <w:sz w:val="21"/>
          <w:szCs w:val="21"/>
        </w:rPr>
        <w:t>条款逐条应答并按要求填写下表。</w:t>
      </w:r>
    </w:p>
    <w:p>
      <w:pPr>
        <w:wordWrap w:val="0"/>
        <w:spacing w:line="360" w:lineRule="auto"/>
        <w:rPr>
          <w:rFonts w:ascii="宋体" w:hAnsi="宋体"/>
          <w:sz w:val="21"/>
          <w:szCs w:val="21"/>
        </w:rPr>
      </w:pPr>
      <w:r>
        <w:rPr>
          <w:rFonts w:hint="eastAsia" w:ascii="宋体" w:hAnsi="宋体"/>
          <w:sz w:val="21"/>
          <w:szCs w:val="21"/>
        </w:rPr>
        <w:t>投标人名称：                                            项目编号：GZBC21HG11004</w:t>
      </w:r>
    </w:p>
    <w:tbl>
      <w:tblPr>
        <w:tblStyle w:val="18"/>
        <w:tblW w:w="10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4728"/>
        <w:gridCol w:w="1729"/>
        <w:gridCol w:w="2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706" w:type="dxa"/>
            <w:tcBorders>
              <w:top w:val="single" w:color="auto" w:sz="12" w:space="0"/>
              <w:left w:val="single" w:color="auto" w:sz="12" w:space="0"/>
              <w:bottom w:val="single" w:color="auto" w:sz="6" w:space="0"/>
              <w:right w:val="single" w:color="auto" w:sz="6" w:space="0"/>
            </w:tcBorders>
            <w:shd w:val="clear" w:color="auto" w:fill="EEECE1"/>
            <w:vAlign w:val="center"/>
          </w:tcPr>
          <w:p>
            <w:pPr>
              <w:spacing w:line="400" w:lineRule="exact"/>
              <w:jc w:val="center"/>
              <w:rPr>
                <w:rFonts w:ascii="微软雅黑" w:hAnsi="微软雅黑" w:cs="微软雅黑"/>
                <w:b/>
                <w:bCs/>
                <w:sz w:val="20"/>
                <w:szCs w:val="20"/>
              </w:rPr>
            </w:pPr>
            <w:r>
              <w:rPr>
                <w:rFonts w:hint="eastAsia" w:ascii="微软雅黑" w:hAnsi="微软雅黑" w:cs="微软雅黑"/>
                <w:b/>
                <w:bCs/>
                <w:sz w:val="20"/>
                <w:szCs w:val="20"/>
              </w:rPr>
              <w:t>序号</w:t>
            </w:r>
          </w:p>
        </w:tc>
        <w:tc>
          <w:tcPr>
            <w:tcW w:w="4728"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bCs/>
                <w:sz w:val="20"/>
                <w:szCs w:val="20"/>
              </w:rPr>
            </w:pPr>
            <w:r>
              <w:rPr>
                <w:rFonts w:hint="eastAsia" w:ascii="微软雅黑" w:hAnsi="微软雅黑" w:cs="微软雅黑"/>
                <w:b/>
                <w:bCs/>
                <w:sz w:val="20"/>
                <w:szCs w:val="20"/>
              </w:rPr>
              <w:t>原条款描述</w:t>
            </w:r>
          </w:p>
        </w:tc>
        <w:tc>
          <w:tcPr>
            <w:tcW w:w="1729"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bCs/>
                <w:sz w:val="20"/>
                <w:szCs w:val="20"/>
              </w:rPr>
            </w:pPr>
            <w:r>
              <w:rPr>
                <w:rFonts w:hint="eastAsia" w:ascii="微软雅黑" w:hAnsi="微软雅黑" w:cs="微软雅黑"/>
                <w:b/>
                <w:bCs/>
                <w:sz w:val="20"/>
                <w:szCs w:val="20"/>
              </w:rPr>
              <w:t>投标人响应描述</w:t>
            </w:r>
          </w:p>
        </w:tc>
        <w:tc>
          <w:tcPr>
            <w:tcW w:w="2945" w:type="dxa"/>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b/>
                <w:bCs/>
                <w:sz w:val="20"/>
                <w:szCs w:val="20"/>
              </w:rPr>
            </w:pPr>
            <w:r>
              <w:rPr>
                <w:rFonts w:hint="eastAsia" w:ascii="微软雅黑" w:hAnsi="微软雅黑" w:cs="微软雅黑"/>
                <w:b/>
                <w:bCs/>
                <w:sz w:val="20"/>
                <w:szCs w:val="20"/>
              </w:rPr>
              <w:t>偏离情况说明</w:t>
            </w:r>
          </w:p>
          <w:p>
            <w:pPr>
              <w:jc w:val="center"/>
              <w:rPr>
                <w:rFonts w:ascii="微软雅黑" w:hAnsi="微软雅黑" w:cs="微软雅黑"/>
                <w:b/>
                <w:bCs/>
                <w:sz w:val="20"/>
                <w:szCs w:val="20"/>
              </w:rPr>
            </w:pPr>
            <w:r>
              <w:rPr>
                <w:rFonts w:hint="eastAsia" w:ascii="微软雅黑" w:hAnsi="微软雅黑" w:cs="微软雅黑"/>
                <w:b/>
                <w:bCs/>
                <w:sz w:val="20"/>
                <w:szCs w:val="20"/>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tcBorders>
              <w:top w:val="single" w:color="auto" w:sz="6" w:space="0"/>
              <w:left w:val="single" w:color="auto" w:sz="12" w:space="0"/>
              <w:bottom w:val="single" w:color="auto" w:sz="6" w:space="0"/>
              <w:right w:val="single" w:color="auto" w:sz="6" w:space="0"/>
            </w:tcBorders>
            <w:vAlign w:val="center"/>
          </w:tcPr>
          <w:p>
            <w:pPr>
              <w:widowControl w:val="0"/>
              <w:numPr>
                <w:ilvl w:val="0"/>
                <w:numId w:val="14"/>
              </w:numPr>
              <w:autoSpaceDN w:val="0"/>
              <w:adjustRightInd/>
              <w:snapToGrid/>
              <w:spacing w:after="0" w:line="400" w:lineRule="exact"/>
              <w:jc w:val="center"/>
              <w:rPr>
                <w:rFonts w:ascii="微软雅黑" w:hAnsi="微软雅黑" w:cs="微软雅黑"/>
                <w:b/>
                <w:bCs/>
                <w:sz w:val="20"/>
                <w:szCs w:val="20"/>
              </w:rPr>
            </w:pPr>
          </w:p>
        </w:tc>
        <w:tc>
          <w:tcPr>
            <w:tcW w:w="4728" w:type="dxa"/>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ascii="微软雅黑" w:hAnsi="微软雅黑" w:cs="微软雅黑"/>
                <w:b/>
                <w:bCs/>
                <w:sz w:val="20"/>
                <w:szCs w:val="20"/>
              </w:rPr>
            </w:pPr>
            <w:r>
              <w:rPr>
                <w:rFonts w:hint="eastAsia" w:ascii="微软雅黑" w:hAnsi="微软雅黑" w:cs="微软雅黑"/>
                <w:b/>
                <w:bCs/>
                <w:sz w:val="20"/>
                <w:szCs w:val="20"/>
              </w:rPr>
              <w:t>智能水表技术要求</w:t>
            </w:r>
          </w:p>
        </w:tc>
        <w:tc>
          <w:tcPr>
            <w:tcW w:w="1729" w:type="dxa"/>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b/>
                <w:bCs/>
                <w:sz w:val="20"/>
                <w:szCs w:val="20"/>
              </w:rPr>
            </w:pPr>
          </w:p>
        </w:tc>
        <w:tc>
          <w:tcPr>
            <w:tcW w:w="2945" w:type="dxa"/>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b/>
                <w:bCs/>
                <w:sz w:val="20"/>
                <w:szCs w:val="20"/>
              </w:rPr>
            </w:pPr>
          </w:p>
        </w:tc>
      </w:tr>
    </w:tbl>
    <w:p>
      <w:pPr>
        <w:spacing w:line="500" w:lineRule="exact"/>
        <w:rPr>
          <w:rFonts w:ascii="宋体" w:hAnsi="宋体"/>
          <w:color w:val="000000"/>
          <w:sz w:val="21"/>
          <w:szCs w:val="21"/>
          <w:u w:val="single"/>
        </w:rPr>
      </w:pPr>
      <w:r>
        <w:rPr>
          <w:rFonts w:hint="eastAsia"/>
          <w:spacing w:val="4"/>
          <w:sz w:val="21"/>
          <w:szCs w:val="21"/>
        </w:rPr>
        <w:t>投标人名称（盖公章）：</w:t>
      </w:r>
    </w:p>
    <w:p>
      <w:pPr>
        <w:rPr>
          <w:spacing w:val="4"/>
          <w:sz w:val="21"/>
          <w:szCs w:val="21"/>
        </w:rPr>
      </w:pPr>
    </w:p>
    <w:p>
      <w:pPr>
        <w:spacing w:line="520" w:lineRule="exact"/>
        <w:rPr>
          <w:spacing w:val="4"/>
          <w:sz w:val="21"/>
          <w:szCs w:val="21"/>
          <w:u w:val="single"/>
        </w:rPr>
      </w:pPr>
      <w:r>
        <w:rPr>
          <w:rFonts w:hint="eastAsia" w:ascii="宋体"/>
          <w:sz w:val="21"/>
          <w:szCs w:val="21"/>
        </w:rPr>
        <w:t>法定代表人或</w:t>
      </w:r>
      <w:r>
        <w:rPr>
          <w:rFonts w:hint="eastAsia" w:ascii="宋体" w:hAnsi="宋体"/>
          <w:sz w:val="21"/>
          <w:szCs w:val="21"/>
        </w:rPr>
        <w:t>投标人授权代表（签名或盖章）：</w:t>
      </w:r>
      <w:r>
        <w:rPr>
          <w:rFonts w:hint="eastAsia"/>
          <w:spacing w:val="4"/>
          <w:sz w:val="21"/>
          <w:szCs w:val="21"/>
        </w:rPr>
        <w:t>职务：日期：</w:t>
      </w:r>
      <w:bookmarkEnd w:id="1162"/>
    </w:p>
    <w:p>
      <w:pPr>
        <w:spacing w:line="360" w:lineRule="auto"/>
        <w:rPr>
          <w:rFonts w:ascii="黑体" w:hAnsi="黑体" w:eastAsia="黑体" w:cs="黑体"/>
          <w:sz w:val="28"/>
          <w:szCs w:val="28"/>
        </w:rPr>
      </w:pPr>
      <w:bookmarkStart w:id="1170" w:name="_Toc275865624"/>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pStyle w:val="17"/>
        <w:ind w:left="0" w:leftChars="0" w:firstLine="0" w:firstLineChars="0"/>
        <w:rPr>
          <w:rFonts w:ascii="黑体" w:hAnsi="黑体" w:eastAsia="黑体" w:cs="黑体"/>
          <w:sz w:val="28"/>
          <w:szCs w:val="28"/>
        </w:rPr>
      </w:pPr>
    </w:p>
    <w:p>
      <w:pPr>
        <w:pStyle w:val="17"/>
        <w:ind w:left="0" w:leftChars="0" w:firstLine="0" w:firstLineChars="0"/>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r>
        <w:rPr>
          <w:rFonts w:hint="eastAsia" w:ascii="黑体" w:hAnsi="黑体" w:eastAsia="黑体" w:cs="黑体"/>
          <w:sz w:val="28"/>
          <w:szCs w:val="28"/>
        </w:rPr>
        <w:t>格式11</w:t>
      </w:r>
    </w:p>
    <w:p>
      <w:pPr>
        <w:pStyle w:val="5"/>
        <w:jc w:val="center"/>
      </w:pPr>
      <w:r>
        <w:rPr>
          <w:rFonts w:hint="eastAsia"/>
          <w:b w:val="0"/>
          <w:bCs w:val="0"/>
          <w:lang w:val="en-GB"/>
        </w:rPr>
        <w:t>实质性响应条款一览表</w:t>
      </w:r>
    </w:p>
    <w:p>
      <w:pPr>
        <w:spacing w:line="360" w:lineRule="auto"/>
        <w:ind w:firstLine="200" w:firstLineChars="100"/>
        <w:rPr>
          <w:rFonts w:ascii="微软雅黑" w:hAnsi="微软雅黑" w:cs="微软雅黑"/>
          <w:kern w:val="2"/>
          <w:sz w:val="20"/>
          <w:szCs w:val="20"/>
        </w:rPr>
      </w:pPr>
      <w:r>
        <w:rPr>
          <w:rFonts w:hint="eastAsia" w:ascii="微软雅黑" w:hAnsi="微软雅黑" w:cs="微软雅黑"/>
          <w:kern w:val="2"/>
          <w:sz w:val="20"/>
          <w:szCs w:val="20"/>
        </w:rPr>
        <w:t xml:space="preserve">项目名称：**** </w:t>
      </w:r>
    </w:p>
    <w:tbl>
      <w:tblPr>
        <w:tblStyle w:val="1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序号</w:t>
            </w:r>
          </w:p>
        </w:tc>
        <w:tc>
          <w:tcPr>
            <w:tcW w:w="3807"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实质性响应条款</w:t>
            </w:r>
          </w:p>
        </w:tc>
        <w:tc>
          <w:tcPr>
            <w:tcW w:w="2880"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投标人响应情况</w:t>
            </w:r>
          </w:p>
        </w:tc>
        <w:tc>
          <w:tcPr>
            <w:tcW w:w="1807"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偏离情况说明</w:t>
            </w:r>
          </w:p>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（正偏离/完全响应/负偏离）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8"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1</w:t>
            </w:r>
          </w:p>
        </w:tc>
        <w:tc>
          <w:tcPr>
            <w:tcW w:w="380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ascii="微软雅黑" w:hAnsi="微软雅黑" w:eastAsia="微软雅黑" w:cs="微软雅黑"/>
                <w:sz w:val="20"/>
                <w:szCs w:val="20"/>
              </w:rPr>
            </w:pPr>
            <w:r>
              <w:rPr>
                <w:rFonts w:hint="eastAsia" w:ascii="微软雅黑" w:hAnsi="微软雅黑" w:eastAsia="微软雅黑" w:cs="微软雅黑"/>
                <w:sz w:val="20"/>
                <w:szCs w:val="20"/>
              </w:rPr>
              <w:t>以下内容根据本招标文件带“★”号条款详细列举</w:t>
            </w:r>
          </w:p>
        </w:tc>
        <w:tc>
          <w:tcPr>
            <w:tcW w:w="2880"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c>
          <w:tcPr>
            <w:tcW w:w="1807"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2</w:t>
            </w:r>
          </w:p>
        </w:tc>
        <w:tc>
          <w:tcPr>
            <w:tcW w:w="3807"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c>
          <w:tcPr>
            <w:tcW w:w="2880" w:type="dxa"/>
            <w:tcBorders>
              <w:top w:val="single" w:color="auto" w:sz="4" w:space="0"/>
              <w:left w:val="single" w:color="auto" w:sz="4" w:space="0"/>
              <w:bottom w:val="single" w:color="auto" w:sz="4" w:space="0"/>
              <w:right w:val="single" w:color="auto" w:sz="4" w:space="0"/>
            </w:tcBorders>
          </w:tcPr>
          <w:p>
            <w:pPr>
              <w:pStyle w:val="26"/>
              <w:spacing w:line="360" w:lineRule="auto"/>
              <w:ind w:firstLine="100" w:firstLineChars="50"/>
              <w:rPr>
                <w:rFonts w:ascii="微软雅黑" w:hAnsi="微软雅黑" w:eastAsia="微软雅黑" w:cs="微软雅黑"/>
                <w:sz w:val="20"/>
                <w:szCs w:val="20"/>
              </w:rPr>
            </w:pPr>
          </w:p>
        </w:tc>
        <w:tc>
          <w:tcPr>
            <w:tcW w:w="1807"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3</w:t>
            </w:r>
          </w:p>
        </w:tc>
        <w:tc>
          <w:tcPr>
            <w:tcW w:w="3807"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c>
          <w:tcPr>
            <w:tcW w:w="2880"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c>
          <w:tcPr>
            <w:tcW w:w="1807"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6"/>
              <w:spacing w:line="360" w:lineRule="auto"/>
              <w:jc w:val="center"/>
              <w:rPr>
                <w:rFonts w:ascii="微软雅黑" w:hAnsi="微软雅黑" w:eastAsia="微软雅黑" w:cs="微软雅黑"/>
                <w:sz w:val="20"/>
                <w:szCs w:val="20"/>
              </w:rPr>
            </w:pPr>
            <w:r>
              <w:rPr>
                <w:rFonts w:hint="eastAsia" w:ascii="微软雅黑" w:hAnsi="微软雅黑" w:eastAsia="微软雅黑" w:cs="微软雅黑"/>
                <w:sz w:val="20"/>
                <w:szCs w:val="20"/>
              </w:rPr>
              <w:t>…</w:t>
            </w:r>
          </w:p>
        </w:tc>
        <w:tc>
          <w:tcPr>
            <w:tcW w:w="3807"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c>
          <w:tcPr>
            <w:tcW w:w="2880"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c>
          <w:tcPr>
            <w:tcW w:w="1807" w:type="dxa"/>
            <w:tcBorders>
              <w:top w:val="single" w:color="auto" w:sz="4" w:space="0"/>
              <w:left w:val="single" w:color="auto" w:sz="4" w:space="0"/>
              <w:bottom w:val="single" w:color="auto" w:sz="4" w:space="0"/>
              <w:right w:val="single" w:color="auto" w:sz="4" w:space="0"/>
            </w:tcBorders>
          </w:tcPr>
          <w:p>
            <w:pPr>
              <w:pStyle w:val="26"/>
              <w:spacing w:line="360" w:lineRule="auto"/>
              <w:rPr>
                <w:rFonts w:ascii="微软雅黑" w:hAnsi="微软雅黑" w:eastAsia="微软雅黑" w:cs="微软雅黑"/>
                <w:sz w:val="20"/>
                <w:szCs w:val="20"/>
              </w:rPr>
            </w:pPr>
          </w:p>
        </w:tc>
      </w:tr>
    </w:tbl>
    <w:p>
      <w:pPr>
        <w:pStyle w:val="26"/>
        <w:spacing w:line="360" w:lineRule="auto"/>
        <w:rPr>
          <w:rFonts w:ascii="微软雅黑" w:hAnsi="微软雅黑" w:eastAsia="微软雅黑" w:cs="微软雅黑"/>
          <w:sz w:val="20"/>
          <w:szCs w:val="20"/>
        </w:rPr>
      </w:pPr>
      <w:r>
        <w:rPr>
          <w:rFonts w:hint="eastAsia" w:ascii="微软雅黑" w:hAnsi="微软雅黑" w:eastAsia="微软雅黑" w:cs="微软雅黑"/>
          <w:sz w:val="20"/>
          <w:szCs w:val="20"/>
        </w:rPr>
        <w:t>说明：</w:t>
      </w:r>
    </w:p>
    <w:p>
      <w:pPr>
        <w:pStyle w:val="26"/>
        <w:numPr>
          <w:ilvl w:val="0"/>
          <w:numId w:val="15"/>
        </w:numPr>
        <w:tabs>
          <w:tab w:val="left" w:pos="-426"/>
        </w:tabs>
        <w:spacing w:line="360" w:lineRule="auto"/>
        <w:ind w:left="0" w:right="-59" w:rightChars="-27" w:firstLine="0"/>
        <w:rPr>
          <w:rFonts w:ascii="微软雅黑" w:hAnsi="微软雅黑" w:eastAsia="微软雅黑" w:cs="微软雅黑"/>
          <w:sz w:val="20"/>
          <w:szCs w:val="20"/>
        </w:rPr>
      </w:pPr>
      <w:r>
        <w:rPr>
          <w:rFonts w:hint="eastAsia" w:ascii="微软雅黑" w:hAnsi="微软雅黑" w:eastAsia="微软雅黑" w:cs="微软雅黑"/>
          <w:sz w:val="20"/>
          <w:szCs w:val="20"/>
        </w:rPr>
        <w:t>本表所列条款必须一一予以响应（留空视同响应），“实质性响应条款”一栏应填写具体的响应内容。</w:t>
      </w:r>
    </w:p>
    <w:p>
      <w:pPr>
        <w:pStyle w:val="26"/>
        <w:numPr>
          <w:ilvl w:val="0"/>
          <w:numId w:val="15"/>
        </w:numPr>
        <w:tabs>
          <w:tab w:val="left" w:pos="-426"/>
        </w:tabs>
        <w:spacing w:line="360" w:lineRule="auto"/>
        <w:ind w:left="0" w:right="-59" w:rightChars="-27" w:firstLine="0"/>
        <w:rPr>
          <w:rFonts w:ascii="微软雅黑" w:hAnsi="微软雅黑" w:eastAsia="微软雅黑" w:cs="微软雅黑"/>
          <w:sz w:val="20"/>
          <w:szCs w:val="20"/>
        </w:rPr>
      </w:pPr>
      <w:r>
        <w:rPr>
          <w:rFonts w:hint="eastAsia" w:ascii="微软雅黑" w:hAnsi="微软雅黑" w:eastAsia="微软雅黑" w:cs="微软雅黑"/>
          <w:sz w:val="20"/>
          <w:szCs w:val="20"/>
        </w:rPr>
        <w:t>“投标人响应情况”中有差异的要具体说明；填写响应、完全响应或留空均视同响应。</w:t>
      </w:r>
    </w:p>
    <w:p>
      <w:pPr>
        <w:pStyle w:val="26"/>
        <w:numPr>
          <w:ilvl w:val="0"/>
          <w:numId w:val="15"/>
        </w:numPr>
        <w:tabs>
          <w:tab w:val="left" w:pos="-426"/>
        </w:tabs>
        <w:spacing w:line="360" w:lineRule="auto"/>
        <w:ind w:left="0" w:right="-59" w:rightChars="-27" w:firstLine="0"/>
        <w:rPr>
          <w:rFonts w:ascii="微软雅黑" w:hAnsi="微软雅黑" w:eastAsia="微软雅黑" w:cs="微软雅黑"/>
          <w:sz w:val="20"/>
          <w:szCs w:val="20"/>
        </w:rPr>
      </w:pPr>
      <w:r>
        <w:rPr>
          <w:rFonts w:hint="eastAsia" w:ascii="微软雅黑" w:hAnsi="微软雅黑" w:eastAsia="微软雅黑" w:cs="微软雅黑"/>
          <w:sz w:val="20"/>
          <w:szCs w:val="20"/>
        </w:rPr>
        <w:t>“差异”有差异的要具体说明，如无差异可填写“无差异”或留空。</w:t>
      </w:r>
    </w:p>
    <w:p>
      <w:pPr>
        <w:numPr>
          <w:ilvl w:val="0"/>
          <w:numId w:val="15"/>
        </w:numPr>
        <w:spacing w:line="360" w:lineRule="auto"/>
        <w:ind w:left="0" w:right="420" w:firstLine="0"/>
        <w:jc w:val="both"/>
        <w:rPr>
          <w:rFonts w:asciiTheme="minorEastAsia" w:hAnsiTheme="minorEastAsia" w:eastAsiaTheme="minorEastAsia"/>
          <w:sz w:val="24"/>
          <w:szCs w:val="24"/>
        </w:rPr>
      </w:pPr>
      <w:r>
        <w:rPr>
          <w:rFonts w:hint="eastAsia" w:ascii="微软雅黑" w:hAnsi="微软雅黑" w:cs="微软雅黑"/>
          <w:sz w:val="20"/>
          <w:szCs w:val="20"/>
        </w:rPr>
        <w:t>请投标人认真填写本表内容，如填写错误将可能导致投标无效。</w:t>
      </w:r>
    </w:p>
    <w:p>
      <w:pPr>
        <w:spacing w:line="360" w:lineRule="auto"/>
        <w:ind w:right="420"/>
        <w:jc w:val="center"/>
        <w:rPr>
          <w:rFonts w:ascii="微软雅黑" w:hAnsi="微软雅黑" w:cs="微软雅黑"/>
          <w:sz w:val="20"/>
          <w:szCs w:val="20"/>
          <w:u w:val="single"/>
        </w:rPr>
      </w:pPr>
      <w:r>
        <w:rPr>
          <w:rFonts w:hint="eastAsia" w:ascii="微软雅黑" w:hAnsi="微软雅黑" w:cs="微软雅黑"/>
          <w:sz w:val="20"/>
          <w:szCs w:val="20"/>
        </w:rPr>
        <w:t>法定代表人/负责人/委托代理人（签字或盖章）：</w:t>
      </w:r>
    </w:p>
    <w:p>
      <w:pPr>
        <w:spacing w:line="360" w:lineRule="auto"/>
        <w:ind w:right="420"/>
        <w:jc w:val="center"/>
        <w:rPr>
          <w:rFonts w:ascii="微软雅黑" w:hAnsi="微软雅黑" w:cs="微软雅黑"/>
          <w:sz w:val="20"/>
          <w:szCs w:val="20"/>
          <w:u w:val="single"/>
        </w:rPr>
      </w:pPr>
      <w:r>
        <w:rPr>
          <w:rFonts w:hint="eastAsia" w:ascii="微软雅黑" w:hAnsi="微软雅黑" w:cs="微软雅黑"/>
          <w:sz w:val="20"/>
          <w:szCs w:val="20"/>
        </w:rPr>
        <w:t xml:space="preserve">              投标人名称（签章）：</w:t>
      </w:r>
    </w:p>
    <w:p>
      <w:pPr>
        <w:spacing w:line="360" w:lineRule="auto"/>
        <w:ind w:right="420"/>
        <w:jc w:val="center"/>
        <w:rPr>
          <w:rFonts w:ascii="微软雅黑" w:hAnsi="微软雅黑" w:cs="微软雅黑"/>
          <w:b/>
          <w:sz w:val="20"/>
          <w:szCs w:val="20"/>
          <w:lang w:val="en-GB"/>
        </w:rPr>
      </w:pPr>
      <w:r>
        <w:rPr>
          <w:rFonts w:hint="eastAsia" w:ascii="微软雅黑" w:hAnsi="微软雅黑" w:cs="微软雅黑"/>
          <w:sz w:val="20"/>
          <w:szCs w:val="20"/>
        </w:rPr>
        <w:t xml:space="preserve">                   日期：年月日</w:t>
      </w:r>
      <w:bookmarkEnd w:id="1170"/>
    </w:p>
    <w:p>
      <w:pPr>
        <w:spacing w:line="520" w:lineRule="exact"/>
        <w:rPr>
          <w:rFonts w:eastAsia="黑体"/>
        </w:rPr>
      </w:pPr>
      <w:r>
        <w:rPr>
          <w:rFonts w:hint="eastAsia" w:ascii="黑体" w:hAnsi="黑体" w:eastAsia="黑体" w:cs="黑体"/>
          <w:sz w:val="28"/>
          <w:szCs w:val="28"/>
        </w:rPr>
        <w:t>格式12</w:t>
      </w:r>
    </w:p>
    <w:p>
      <w:pPr>
        <w:pStyle w:val="5"/>
        <w:adjustRightInd w:val="0"/>
        <w:snapToGrid w:val="0"/>
        <w:spacing w:beforeLines="50" w:afterLines="50" w:line="360" w:lineRule="auto"/>
        <w:jc w:val="center"/>
        <w:rPr>
          <w:b w:val="0"/>
        </w:rPr>
      </w:pPr>
      <w:bookmarkStart w:id="1171" w:name="_Toc275865626"/>
      <w:bookmarkStart w:id="1172" w:name="_Toc173553195"/>
      <w:bookmarkStart w:id="1173" w:name="_Toc453957442"/>
      <w:r>
        <w:rPr>
          <w:rFonts w:hint="eastAsia"/>
          <w:b w:val="0"/>
        </w:rPr>
        <w:t>退投标保证金说明</w:t>
      </w:r>
      <w:bookmarkEnd w:id="1171"/>
      <w:bookmarkEnd w:id="1172"/>
      <w:bookmarkEnd w:id="1173"/>
    </w:p>
    <w:p>
      <w:pPr>
        <w:spacing w:line="360" w:lineRule="auto"/>
        <w:ind w:firstLine="420"/>
        <w:rPr>
          <w:rFonts w:ascii="宋体"/>
          <w:sz w:val="21"/>
          <w:szCs w:val="21"/>
        </w:rPr>
      </w:pPr>
      <w:r>
        <w:rPr>
          <w:rFonts w:hint="eastAsia" w:ascii="宋体"/>
          <w:sz w:val="21"/>
          <w:szCs w:val="21"/>
        </w:rPr>
        <w:t>我方为</w:t>
      </w:r>
      <w:r>
        <w:rPr>
          <w:rFonts w:hint="default" w:ascii="微软雅黑" w:hAnsi="微软雅黑" w:cs="微软雅黑"/>
          <w:bCs/>
          <w:sz w:val="21"/>
          <w:szCs w:val="21"/>
        </w:rPr>
        <w:t>广州市增城自来水安装工程有限公司2021~2022年度远传水表采购项目</w:t>
      </w:r>
      <w:r>
        <w:rPr>
          <w:rFonts w:hint="eastAsia" w:ascii="宋体"/>
          <w:sz w:val="21"/>
          <w:szCs w:val="21"/>
        </w:rPr>
        <w:t>的投标</w:t>
      </w:r>
    </w:p>
    <w:p>
      <w:pPr>
        <w:spacing w:line="360" w:lineRule="auto"/>
        <w:ind w:firstLine="420"/>
        <w:rPr>
          <w:rFonts w:ascii="宋体"/>
          <w:sz w:val="21"/>
          <w:szCs w:val="21"/>
        </w:rPr>
      </w:pPr>
      <w:r>
        <w:rPr>
          <w:rFonts w:hint="eastAsia" w:ascii="宋体"/>
          <w:sz w:val="21"/>
          <w:szCs w:val="21"/>
        </w:rPr>
        <w:t>（项目编号为：GZBC21HG11004）所提交的投标保证金</w:t>
      </w:r>
      <w:r>
        <w:rPr>
          <w:rFonts w:hint="eastAsia" w:ascii="宋体"/>
          <w:sz w:val="21"/>
          <w:szCs w:val="21"/>
          <w:u w:val="single"/>
        </w:rPr>
        <w:t xml:space="preserve">   （大写金额）   </w:t>
      </w:r>
      <w:r>
        <w:rPr>
          <w:rFonts w:hint="eastAsia" w:ascii="宋体"/>
          <w:sz w:val="21"/>
          <w:szCs w:val="21"/>
        </w:rPr>
        <w:t>元，请退还投标保证金</w:t>
      </w:r>
      <w:r>
        <w:rPr>
          <w:rFonts w:hint="eastAsia" w:ascii="宋体"/>
          <w:sz w:val="21"/>
          <w:szCs w:val="21"/>
          <w:u w:val="single"/>
        </w:rPr>
        <w:t xml:space="preserve">   （小写金额）     </w:t>
      </w:r>
      <w:r>
        <w:rPr>
          <w:rFonts w:hint="eastAsia" w:ascii="宋体"/>
          <w:sz w:val="21"/>
          <w:szCs w:val="21"/>
        </w:rPr>
        <w:t>元，请划到以下</w:t>
      </w:r>
      <w:r>
        <w:rPr>
          <w:rFonts w:hint="eastAsia"/>
          <w:sz w:val="21"/>
          <w:szCs w:val="21"/>
        </w:rPr>
        <w:t>账户</w:t>
      </w:r>
      <w:r>
        <w:rPr>
          <w:rFonts w:hint="eastAsia" w:ascii="宋体"/>
          <w:sz w:val="21"/>
          <w:szCs w:val="21"/>
        </w:rPr>
        <w:t>：</w:t>
      </w:r>
    </w:p>
    <w:tbl>
      <w:tblPr>
        <w:tblStyle w:val="18"/>
        <w:tblW w:w="94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4660"/>
        <w:gridCol w:w="1229"/>
        <w:gridCol w:w="1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00" w:hRule="atLeast"/>
          <w:jc w:val="center"/>
        </w:trPr>
        <w:tc>
          <w:tcPr>
            <w:tcW w:w="1833" w:type="dxa"/>
            <w:tcBorders>
              <w:top w:val="single" w:color="auto" w:sz="12" w:space="0"/>
              <w:left w:val="single" w:color="auto" w:sz="12" w:space="0"/>
              <w:bottom w:val="single" w:color="auto" w:sz="4" w:space="0"/>
              <w:right w:val="single" w:color="auto" w:sz="4" w:space="0"/>
            </w:tcBorders>
            <w:vAlign w:val="center"/>
          </w:tcPr>
          <w:p>
            <w:pPr>
              <w:jc w:val="center"/>
              <w:rPr>
                <w:rFonts w:ascii="宋体"/>
                <w:sz w:val="21"/>
                <w:szCs w:val="21"/>
              </w:rPr>
            </w:pPr>
            <w:r>
              <w:rPr>
                <w:rFonts w:hint="eastAsia" w:ascii="宋体"/>
                <w:sz w:val="21"/>
                <w:szCs w:val="21"/>
              </w:rPr>
              <w:t>收款人名称</w:t>
            </w:r>
          </w:p>
        </w:tc>
        <w:tc>
          <w:tcPr>
            <w:tcW w:w="7623" w:type="dxa"/>
            <w:gridSpan w:val="3"/>
            <w:tcBorders>
              <w:top w:val="single" w:color="auto" w:sz="12" w:space="0"/>
              <w:left w:val="single" w:color="auto" w:sz="4" w:space="0"/>
              <w:bottom w:val="single" w:color="auto" w:sz="4" w:space="0"/>
              <w:right w:val="single" w:color="auto" w:sz="12" w:space="0"/>
            </w:tcBorders>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33"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1"/>
                <w:szCs w:val="21"/>
              </w:rPr>
            </w:pPr>
            <w:r>
              <w:rPr>
                <w:rFonts w:hint="eastAsia" w:ascii="宋体"/>
                <w:sz w:val="21"/>
                <w:szCs w:val="21"/>
              </w:rPr>
              <w:t>收款人地址</w:t>
            </w:r>
          </w:p>
        </w:tc>
        <w:tc>
          <w:tcPr>
            <w:tcW w:w="7623"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833"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1"/>
                <w:szCs w:val="21"/>
              </w:rPr>
            </w:pPr>
            <w:r>
              <w:rPr>
                <w:rFonts w:hint="eastAsia" w:ascii="宋体"/>
                <w:sz w:val="21"/>
                <w:szCs w:val="21"/>
              </w:rPr>
              <w:t>开户银行</w:t>
            </w:r>
            <w:r>
              <w:rPr>
                <w:rFonts w:hint="eastAsia" w:ascii="宋体"/>
                <w:sz w:val="21"/>
                <w:szCs w:val="21"/>
              </w:rPr>
              <w:br w:type="textWrapping"/>
            </w:r>
            <w:r>
              <w:rPr>
                <w:rFonts w:hint="eastAsia" w:ascii="宋体"/>
                <w:sz w:val="21"/>
                <w:szCs w:val="21"/>
              </w:rPr>
              <w:t>（含汇入地点）</w:t>
            </w:r>
          </w:p>
        </w:tc>
        <w:tc>
          <w:tcPr>
            <w:tcW w:w="46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sz w:val="21"/>
                <w:szCs w:val="21"/>
              </w:rPr>
              <w:t>联系人</w:t>
            </w:r>
          </w:p>
        </w:tc>
        <w:tc>
          <w:tcPr>
            <w:tcW w:w="1734"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33"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1"/>
                <w:szCs w:val="21"/>
              </w:rPr>
            </w:pPr>
            <w:r>
              <w:rPr>
                <w:rFonts w:hint="eastAsia" w:ascii="宋体"/>
                <w:sz w:val="21"/>
                <w:szCs w:val="21"/>
              </w:rPr>
              <w:t>账    号</w:t>
            </w:r>
          </w:p>
        </w:tc>
        <w:tc>
          <w:tcPr>
            <w:tcW w:w="4660" w:type="dxa"/>
            <w:tcBorders>
              <w:top w:val="single" w:color="auto" w:sz="4" w:space="0"/>
              <w:left w:val="single" w:color="auto" w:sz="4" w:space="0"/>
              <w:bottom w:val="single" w:color="auto" w:sz="12" w:space="0"/>
              <w:right w:val="single" w:color="auto" w:sz="4" w:space="0"/>
            </w:tcBorders>
            <w:vAlign w:val="center"/>
          </w:tcPr>
          <w:p>
            <w:pPr>
              <w:jc w:val="center"/>
              <w:rPr>
                <w:rFonts w:ascii="宋体"/>
                <w:sz w:val="21"/>
                <w:szCs w:val="21"/>
              </w:rPr>
            </w:pPr>
          </w:p>
        </w:tc>
        <w:tc>
          <w:tcPr>
            <w:tcW w:w="1229" w:type="dxa"/>
            <w:tcBorders>
              <w:top w:val="single" w:color="auto" w:sz="4" w:space="0"/>
              <w:left w:val="single" w:color="auto" w:sz="4" w:space="0"/>
              <w:bottom w:val="single" w:color="auto" w:sz="12" w:space="0"/>
              <w:right w:val="single" w:color="auto" w:sz="4" w:space="0"/>
            </w:tcBorders>
            <w:vAlign w:val="center"/>
          </w:tcPr>
          <w:p>
            <w:pPr>
              <w:jc w:val="center"/>
              <w:rPr>
                <w:rFonts w:ascii="宋体"/>
                <w:sz w:val="21"/>
                <w:szCs w:val="21"/>
              </w:rPr>
            </w:pPr>
            <w:r>
              <w:rPr>
                <w:rFonts w:hint="eastAsia" w:ascii="宋体"/>
                <w:sz w:val="21"/>
                <w:szCs w:val="21"/>
              </w:rPr>
              <w:t>联系电话</w:t>
            </w:r>
          </w:p>
        </w:tc>
        <w:tc>
          <w:tcPr>
            <w:tcW w:w="1734" w:type="dxa"/>
            <w:tcBorders>
              <w:top w:val="single" w:color="auto" w:sz="4" w:space="0"/>
              <w:left w:val="single" w:color="auto" w:sz="4" w:space="0"/>
              <w:bottom w:val="single" w:color="auto" w:sz="12" w:space="0"/>
              <w:right w:val="single" w:color="auto" w:sz="12" w:space="0"/>
            </w:tcBorders>
            <w:vAlign w:val="center"/>
          </w:tcPr>
          <w:p>
            <w:pPr>
              <w:jc w:val="center"/>
              <w:rPr>
                <w:rFonts w:ascii="宋体"/>
                <w:sz w:val="21"/>
                <w:szCs w:val="21"/>
              </w:rPr>
            </w:pPr>
          </w:p>
        </w:tc>
      </w:tr>
    </w:tbl>
    <w:p>
      <w:pPr>
        <w:tabs>
          <w:tab w:val="left" w:pos="676"/>
          <w:tab w:val="left" w:pos="2330"/>
          <w:tab w:val="left" w:pos="9230"/>
        </w:tabs>
        <w:spacing w:line="360" w:lineRule="auto"/>
        <w:ind w:left="939" w:leftChars="150" w:hanging="609" w:hangingChars="290"/>
        <w:rPr>
          <w:rFonts w:ascii="宋体"/>
          <w:sz w:val="21"/>
          <w:szCs w:val="21"/>
        </w:rPr>
      </w:pPr>
      <w:r>
        <w:rPr>
          <w:rFonts w:hint="eastAsia" w:ascii="宋体"/>
          <w:sz w:val="21"/>
          <w:szCs w:val="21"/>
        </w:rPr>
        <w:t>备注：</w:t>
      </w:r>
      <w:r>
        <w:rPr>
          <w:rFonts w:hint="eastAsia"/>
          <w:sz w:val="21"/>
          <w:szCs w:val="21"/>
        </w:rPr>
        <w:t>此表须附在开标小信封中。</w:t>
      </w:r>
      <w:r>
        <w:rPr>
          <w:rFonts w:hint="eastAsia" w:ascii="宋体"/>
          <w:sz w:val="21"/>
          <w:szCs w:val="21"/>
        </w:rPr>
        <w:t>当投标人收到中标通知书或招标结果通知书，申请退还投标保证金</w:t>
      </w:r>
    </w:p>
    <w:p>
      <w:pPr>
        <w:tabs>
          <w:tab w:val="left" w:pos="676"/>
          <w:tab w:val="left" w:pos="2330"/>
          <w:tab w:val="left" w:pos="9230"/>
        </w:tabs>
        <w:spacing w:line="360" w:lineRule="auto"/>
        <w:ind w:left="939" w:leftChars="150" w:hanging="609" w:hangingChars="290"/>
        <w:rPr>
          <w:rFonts w:ascii="宋体"/>
          <w:sz w:val="21"/>
          <w:szCs w:val="21"/>
        </w:rPr>
      </w:pPr>
      <w:r>
        <w:rPr>
          <w:rFonts w:hint="eastAsia" w:ascii="宋体"/>
          <w:sz w:val="21"/>
          <w:szCs w:val="21"/>
        </w:rPr>
        <w:t>时，</w:t>
      </w:r>
      <w:r>
        <w:rPr>
          <w:rFonts w:hint="eastAsia" w:ascii="宋体"/>
          <w:bCs/>
          <w:sz w:val="21"/>
          <w:szCs w:val="21"/>
        </w:rPr>
        <w:t>招标采购单位</w:t>
      </w:r>
      <w:r>
        <w:rPr>
          <w:rFonts w:hint="eastAsia" w:ascii="宋体"/>
          <w:sz w:val="21"/>
          <w:szCs w:val="21"/>
        </w:rPr>
        <w:t>按其填写在“退投标保证金说明”上的内容，按规定退还投标人的投标保证金。</w:t>
      </w:r>
    </w:p>
    <w:p>
      <w:pPr>
        <w:tabs>
          <w:tab w:val="left" w:pos="676"/>
          <w:tab w:val="left" w:pos="2330"/>
          <w:tab w:val="left" w:pos="9230"/>
        </w:tabs>
        <w:spacing w:before="120" w:line="360" w:lineRule="auto"/>
        <w:rPr>
          <w:rFonts w:ascii="宋体"/>
          <w:sz w:val="21"/>
          <w:szCs w:val="21"/>
        </w:rPr>
      </w:pPr>
    </w:p>
    <w:p>
      <w:pPr>
        <w:tabs>
          <w:tab w:val="left" w:pos="676"/>
          <w:tab w:val="left" w:pos="2330"/>
          <w:tab w:val="left" w:pos="9230"/>
        </w:tabs>
        <w:spacing w:before="120" w:line="360" w:lineRule="auto"/>
        <w:rPr>
          <w:rFonts w:ascii="宋体"/>
          <w:sz w:val="21"/>
          <w:szCs w:val="21"/>
        </w:rPr>
      </w:pPr>
      <w:r>
        <w:rPr>
          <w:rFonts w:hint="eastAsia" w:ascii="宋体"/>
          <w:sz w:val="21"/>
          <w:szCs w:val="21"/>
        </w:rPr>
        <w:t>投标人（公章）：</w:t>
      </w:r>
    </w:p>
    <w:p>
      <w:pPr>
        <w:pStyle w:val="11"/>
        <w:spacing w:line="360" w:lineRule="auto"/>
      </w:pPr>
      <w:r>
        <w:rPr>
          <w:rFonts w:hint="eastAsia" w:ascii="微软雅黑" w:hAnsi="微软雅黑" w:eastAsia="微软雅黑"/>
        </w:rPr>
        <w:t>日  期：</w:t>
      </w:r>
    </w:p>
    <w:p>
      <w:pPr>
        <w:spacing w:line="220" w:lineRule="atLeast"/>
      </w:pPr>
    </w:p>
    <w:p/>
    <w:p/>
    <w:p>
      <w:pPr>
        <w:rPr>
          <w:rFonts w:ascii="黑体" w:hAnsi="黑体" w:eastAsia="黑体" w:cs="黑体"/>
          <w:sz w:val="28"/>
          <w:szCs w:val="28"/>
        </w:rPr>
      </w:pPr>
    </w:p>
    <w:p>
      <w:pPr>
        <w:rPr>
          <w:rFonts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格式13</w:t>
      </w:r>
    </w:p>
    <w:p>
      <w:pPr>
        <w:pStyle w:val="5"/>
        <w:jc w:val="center"/>
        <w:rPr>
          <w:b w:val="0"/>
          <w:bCs w:val="0"/>
        </w:rPr>
      </w:pPr>
      <w:r>
        <w:rPr>
          <w:rFonts w:hint="eastAsia"/>
          <w:b w:val="0"/>
          <w:bCs w:val="0"/>
        </w:rPr>
        <w:t>信用记录承诺函</w:t>
      </w:r>
    </w:p>
    <w:p>
      <w:pPr>
        <w:spacing w:line="360" w:lineRule="auto"/>
        <w:rPr>
          <w:rFonts w:ascii="宋体" w:hAnsi="宋体"/>
          <w:color w:val="000000" w:themeColor="text1"/>
          <w:kern w:val="2"/>
          <w:sz w:val="28"/>
          <w:szCs w:val="28"/>
          <w:lang w:val="en-GB"/>
        </w:rPr>
      </w:pPr>
    </w:p>
    <w:p>
      <w:pPr>
        <w:spacing w:line="360" w:lineRule="auto"/>
        <w:rPr>
          <w:rFonts w:ascii="宋体" w:hAnsi="宋体"/>
          <w:color w:val="000000" w:themeColor="text1"/>
          <w:kern w:val="2"/>
          <w:sz w:val="24"/>
          <w:szCs w:val="24"/>
          <w:lang w:val="en-GB"/>
        </w:rPr>
      </w:pPr>
      <w:r>
        <w:rPr>
          <w:rFonts w:hint="eastAsia" w:ascii="宋体" w:hAnsi="宋体"/>
          <w:color w:val="000000" w:themeColor="text1"/>
          <w:kern w:val="2"/>
          <w:sz w:val="24"/>
          <w:szCs w:val="24"/>
          <w:lang w:val="en-GB"/>
        </w:rPr>
        <w:t>致：</w:t>
      </w:r>
      <w:r>
        <w:rPr>
          <w:rFonts w:hint="eastAsia" w:ascii="宋体" w:hAnsi="宋体" w:cs="宋体"/>
          <w:b/>
          <w:bCs/>
          <w:color w:val="000000" w:themeColor="text1"/>
          <w:sz w:val="24"/>
          <w:szCs w:val="24"/>
          <w:shd w:val="clear" w:color="auto" w:fill="FFFFFF"/>
        </w:rPr>
        <w:t>广州宝诚招标代理咨询有限公司</w:t>
      </w:r>
    </w:p>
    <w:p>
      <w:pPr>
        <w:spacing w:line="360" w:lineRule="auto"/>
        <w:ind w:firstLine="480" w:firstLineChars="200"/>
        <w:rPr>
          <w:rFonts w:ascii="宋体" w:hAnsi="宋体"/>
          <w:color w:val="000000" w:themeColor="text1"/>
          <w:kern w:val="2"/>
          <w:sz w:val="24"/>
          <w:szCs w:val="24"/>
          <w:lang w:val="en-GB"/>
        </w:rPr>
      </w:pPr>
      <w:r>
        <w:rPr>
          <w:rFonts w:hint="eastAsia" w:ascii="宋体" w:hAnsi="宋体"/>
          <w:color w:val="000000" w:themeColor="text1"/>
          <w:kern w:val="2"/>
          <w:sz w:val="24"/>
          <w:szCs w:val="24"/>
          <w:lang w:val="en-GB"/>
        </w:rPr>
        <w:t>我方郑重承诺，在参与</w:t>
      </w:r>
      <w:r>
        <w:rPr>
          <w:rFonts w:hint="eastAsia" w:ascii="宋体" w:hAnsi="宋体"/>
          <w:color w:val="000000" w:themeColor="text1"/>
          <w:kern w:val="2"/>
          <w:sz w:val="24"/>
          <w:szCs w:val="24"/>
        </w:rPr>
        <w:t>xxxxx</w:t>
      </w:r>
      <w:r>
        <w:rPr>
          <w:rFonts w:hint="eastAsia" w:ascii="宋体" w:hAnsi="宋体"/>
          <w:color w:val="000000" w:themeColor="text1"/>
          <w:kern w:val="2"/>
          <w:sz w:val="24"/>
          <w:szCs w:val="24"/>
          <w:lang w:val="en-GB"/>
        </w:rPr>
        <w:t>采购项目（项目编号：</w:t>
      </w:r>
      <w:r>
        <w:rPr>
          <w:rFonts w:ascii="宋体" w:hAnsi="宋体" w:cs="Arial"/>
          <w:sz w:val="24"/>
          <w:szCs w:val="24"/>
        </w:rPr>
        <w:t>******</w:t>
      </w:r>
      <w:r>
        <w:rPr>
          <w:rFonts w:hint="eastAsia" w:ascii="宋体" w:hAnsi="宋体"/>
          <w:color w:val="000000" w:themeColor="text1"/>
          <w:kern w:val="2"/>
          <w:sz w:val="24"/>
          <w:szCs w:val="24"/>
          <w:lang w:val="en-GB"/>
        </w:rPr>
        <w:t>）采购期间，未被《信用中国》网站（</w:t>
      </w:r>
      <w:r>
        <w:fldChar w:fldCharType="begin"/>
      </w:r>
      <w:r>
        <w:instrText xml:space="preserve"> HYPERLINK "http://mail.163.com/js6/read/www.creditchina.gov.cn%EF%BC%89%E5%85%AC%E7%A4%BA%E5%AD%98%E5%9C%A8%E4%B8%8D%E8%89%AF%E4%BF%A1%E7%94%A8%E8%AE%B0%E5%BD%95%E3%80%82" </w:instrText>
      </w:r>
      <w:r>
        <w:fldChar w:fldCharType="separate"/>
      </w:r>
      <w:r>
        <w:rPr>
          <w:rFonts w:hint="eastAsia" w:ascii="宋体" w:hAnsi="宋体"/>
          <w:color w:val="000000" w:themeColor="text1"/>
          <w:kern w:val="2"/>
          <w:sz w:val="24"/>
          <w:szCs w:val="24"/>
          <w:lang w:val="en-GB"/>
        </w:rPr>
        <w:t>www.creditchina.gov.cn）公示存在不良信用记录。</w:t>
      </w:r>
      <w:r>
        <w:rPr>
          <w:rFonts w:hint="eastAsia" w:ascii="宋体" w:hAnsi="宋体"/>
          <w:color w:val="000000" w:themeColor="text1"/>
          <w:kern w:val="2"/>
          <w:sz w:val="24"/>
          <w:szCs w:val="24"/>
          <w:lang w:val="en-GB"/>
        </w:rPr>
        <w:fldChar w:fldCharType="end"/>
      </w:r>
      <w:r>
        <w:rPr>
          <w:rFonts w:hint="eastAsia" w:ascii="宋体" w:hAnsi="宋体"/>
          <w:color w:val="000000" w:themeColor="text1"/>
          <w:kern w:val="2"/>
          <w:sz w:val="24"/>
          <w:szCs w:val="24"/>
          <w:lang w:val="en-GB"/>
        </w:rPr>
        <w:br w:type="textWrapping"/>
      </w:r>
      <w:r>
        <w:rPr>
          <w:rFonts w:hint="eastAsia" w:ascii="宋体" w:hAnsi="宋体"/>
          <w:color w:val="000000" w:themeColor="text1"/>
          <w:kern w:val="2"/>
          <w:sz w:val="24"/>
          <w:szCs w:val="24"/>
          <w:lang w:val="en-GB"/>
        </w:rPr>
        <w:t>（附我方在上述网站查询结果截图）</w:t>
      </w:r>
    </w:p>
    <w:p>
      <w:pPr>
        <w:spacing w:line="360" w:lineRule="auto"/>
        <w:jc w:val="right"/>
        <w:rPr>
          <w:rFonts w:ascii="宋体" w:hAnsi="宋体"/>
          <w:color w:val="000000" w:themeColor="text1"/>
          <w:kern w:val="2"/>
          <w:sz w:val="24"/>
          <w:szCs w:val="24"/>
          <w:lang w:val="en-GB"/>
        </w:rPr>
      </w:pPr>
      <w:r>
        <w:rPr>
          <w:rFonts w:hint="eastAsia" w:ascii="宋体" w:hAnsi="宋体"/>
          <w:color w:val="000000" w:themeColor="text1"/>
          <w:kern w:val="2"/>
          <w:sz w:val="24"/>
          <w:szCs w:val="24"/>
          <w:lang w:val="en-GB"/>
        </w:rPr>
        <w:t xml:space="preserve">投标人名称（加盖公章）： </w:t>
      </w:r>
    </w:p>
    <w:p>
      <w:pPr>
        <w:spacing w:line="360" w:lineRule="auto"/>
        <w:jc w:val="right"/>
        <w:rPr>
          <w:rFonts w:ascii="宋体" w:hAnsi="宋体"/>
          <w:color w:val="000000" w:themeColor="text1"/>
          <w:kern w:val="2"/>
          <w:sz w:val="24"/>
          <w:szCs w:val="24"/>
          <w:lang w:val="en-GB"/>
        </w:rPr>
      </w:pPr>
      <w:r>
        <w:rPr>
          <w:rFonts w:hint="eastAsia" w:ascii="宋体" w:hAnsi="宋体"/>
          <w:color w:val="000000" w:themeColor="text1"/>
          <w:kern w:val="2"/>
          <w:sz w:val="24"/>
          <w:szCs w:val="24"/>
          <w:lang w:val="en-GB"/>
        </w:rPr>
        <w:t>年  月  日</w:t>
      </w:r>
    </w:p>
    <w:p>
      <w:pPr>
        <w:spacing w:line="360" w:lineRule="auto"/>
        <w:rPr>
          <w:rFonts w:ascii="宋体" w:hAnsi="宋体"/>
          <w:b/>
          <w:color w:val="000000" w:themeColor="text1"/>
          <w:sz w:val="24"/>
          <w:szCs w:val="24"/>
        </w:rPr>
      </w:pPr>
      <w:r>
        <w:rPr>
          <w:rFonts w:hint="eastAsia" w:ascii="宋体" w:hAnsi="宋体"/>
          <w:b/>
          <w:color w:val="000000" w:themeColor="text1"/>
          <w:sz w:val="24"/>
          <w:szCs w:val="24"/>
        </w:rPr>
        <w:t>注：</w:t>
      </w:r>
    </w:p>
    <w:p>
      <w:pPr>
        <w:spacing w:line="360" w:lineRule="auto"/>
        <w:rPr>
          <w:rFonts w:ascii="宋体" w:hAnsi="宋体"/>
          <w:b/>
          <w:color w:val="000000" w:themeColor="text1"/>
          <w:sz w:val="24"/>
          <w:szCs w:val="24"/>
        </w:rPr>
      </w:pPr>
      <w:r>
        <w:rPr>
          <w:rFonts w:hint="eastAsia" w:ascii="宋体" w:hAnsi="宋体"/>
          <w:b/>
          <w:color w:val="000000" w:themeColor="text1"/>
          <w:sz w:val="24"/>
          <w:szCs w:val="24"/>
        </w:rPr>
        <w:t xml:space="preserve">1、网站截图为“信用中国”网站（www.creditchina.gov.cn）首页“信用信息”搜索一栏输入企业全称后得出的查询结果页面。信用记录承诺必须附网站截图。2、截图中可显示网站域名，页面信息必须明确显示参与本项目的企业全称 </w:t>
      </w:r>
    </w:p>
    <w:p>
      <w:pPr>
        <w:spacing w:line="360" w:lineRule="auto"/>
        <w:rPr>
          <w:rFonts w:ascii="宋体" w:hAnsi="宋体"/>
          <w:b/>
          <w:color w:val="000000" w:themeColor="text1"/>
          <w:sz w:val="24"/>
          <w:szCs w:val="24"/>
        </w:rPr>
      </w:pPr>
    </w:p>
    <w:p>
      <w:pPr>
        <w:spacing w:line="360" w:lineRule="auto"/>
        <w:rPr>
          <w:rFonts w:ascii="宋体" w:hAnsi="宋体"/>
          <w:b/>
          <w:color w:val="000000" w:themeColor="text1"/>
          <w:sz w:val="24"/>
          <w:szCs w:val="24"/>
        </w:rPr>
      </w:pPr>
      <w:r>
        <w:rPr>
          <w:rFonts w:hint="eastAsia" w:ascii="宋体" w:hAnsi="宋体"/>
          <w:b/>
          <w:color w:val="000000" w:themeColor="text1"/>
          <w:sz w:val="24"/>
          <w:szCs w:val="24"/>
        </w:rPr>
        <w:t>附件：</w:t>
      </w:r>
    </w:p>
    <w:p>
      <w:pPr>
        <w:spacing w:line="360" w:lineRule="auto"/>
      </w:pPr>
      <w:r>
        <w:rPr>
          <w:rFonts w:hint="eastAsia" w:ascii="宋体" w:hAnsi="宋体"/>
          <w:color w:val="000000" w:themeColor="text1"/>
          <w:sz w:val="24"/>
          <w:szCs w:val="24"/>
        </w:rPr>
        <w:t>“信用中国”网页截图</w:t>
      </w:r>
    </w:p>
    <w:p>
      <w:pPr>
        <w:pStyle w:val="4"/>
        <w:jc w:val="center"/>
        <w:rPr>
          <w:rFonts w:ascii="黑体" w:hAnsi="黑体" w:eastAsia="黑体" w:cs="黑体"/>
          <w:sz w:val="32"/>
          <w:szCs w:val="32"/>
        </w:rPr>
      </w:pPr>
      <w:r>
        <w:br w:type="page"/>
      </w:r>
      <w:bookmarkStart w:id="1174" w:name="_Toc453957380"/>
      <w:bookmarkStart w:id="1175" w:name="_Toc453956620"/>
      <w:r>
        <w:rPr>
          <w:rFonts w:hint="eastAsia" w:ascii="黑体" w:hAnsi="黑体" w:eastAsia="黑体" w:cs="黑体"/>
          <w:sz w:val="32"/>
          <w:szCs w:val="32"/>
        </w:rPr>
        <w:t>第六章 投标人须知</w:t>
      </w:r>
      <w:bookmarkEnd w:id="1174"/>
      <w:bookmarkEnd w:id="1175"/>
    </w:p>
    <w:p>
      <w:pPr>
        <w:spacing w:beforeLines="100" w:afterLines="100" w:line="360" w:lineRule="auto"/>
        <w:jc w:val="both"/>
        <w:outlineLvl w:val="0"/>
        <w:rPr>
          <w:b/>
        </w:rPr>
      </w:pPr>
      <w:bookmarkStart w:id="1176" w:name="_Toc453957381"/>
      <w:bookmarkStart w:id="1177" w:name="_Toc453956621"/>
      <w:r>
        <w:rPr>
          <w:rFonts w:hint="eastAsia" w:ascii="宋体" w:hAnsi="宋体" w:cs="楷体_GB2312"/>
          <w:b/>
          <w:sz w:val="28"/>
          <w:szCs w:val="28"/>
          <w:lang w:eastAsia="zh-TW"/>
        </w:rPr>
        <w:t>一、说明</w:t>
      </w:r>
      <w:bookmarkEnd w:id="1176"/>
      <w:bookmarkEnd w:id="1177"/>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178" w:name="_Toc453957382"/>
      <w:bookmarkStart w:id="1179" w:name="_Toc453956622"/>
      <w:r>
        <w:rPr>
          <w:rFonts w:hint="eastAsia" w:ascii="微软雅黑" w:hAnsi="微软雅黑" w:cs="微软雅黑"/>
          <w:b/>
          <w:bCs/>
          <w:sz w:val="20"/>
          <w:szCs w:val="20"/>
        </w:rPr>
        <w:t>适用范围</w:t>
      </w:r>
      <w:bookmarkEnd w:id="1178"/>
      <w:bookmarkEnd w:id="1179"/>
    </w:p>
    <w:p>
      <w:pPr>
        <w:widowControl w:val="0"/>
        <w:numPr>
          <w:ilvl w:val="1"/>
          <w:numId w:val="17"/>
        </w:numPr>
        <w:autoSpaceDE w:val="0"/>
        <w:autoSpaceDN w:val="0"/>
        <w:spacing w:after="0" w:line="360" w:lineRule="auto"/>
        <w:rPr>
          <w:rFonts w:ascii="微软雅黑" w:hAnsi="微软雅黑" w:cs="微软雅黑"/>
          <w:b/>
          <w:bCs/>
          <w:sz w:val="20"/>
          <w:szCs w:val="20"/>
          <w:highlight w:val="none"/>
        </w:rPr>
      </w:pPr>
      <w:r>
        <w:rPr>
          <w:rFonts w:hint="eastAsia" w:ascii="微软雅黑" w:hAnsi="微软雅黑" w:cs="微软雅黑"/>
          <w:sz w:val="20"/>
          <w:szCs w:val="20"/>
          <w:highlight w:val="none"/>
        </w:rPr>
        <w:t>本招标文件适用于本投标邀请中所述项目的采购招标。</w:t>
      </w:r>
    </w:p>
    <w:p>
      <w:pPr>
        <w:pStyle w:val="11"/>
        <w:spacing w:afterLines="50" w:line="360" w:lineRule="auto"/>
        <w:ind w:firstLine="200" w:firstLineChars="100"/>
        <w:rPr>
          <w:rFonts w:ascii="微软雅黑" w:hAnsi="微软雅黑" w:eastAsia="微软雅黑" w:cs="微软雅黑"/>
          <w:sz w:val="20"/>
          <w:szCs w:val="20"/>
          <w:highlight w:val="none"/>
        </w:rPr>
      </w:pPr>
      <w:bookmarkStart w:id="1180" w:name="_Toc48707720"/>
      <w:r>
        <w:rPr>
          <w:rFonts w:hint="eastAsia" w:ascii="微软雅黑" w:hAnsi="微软雅黑" w:eastAsia="微软雅黑" w:cs="微软雅黑"/>
          <w:sz w:val="20"/>
          <w:szCs w:val="20"/>
          <w:highlight w:val="none"/>
        </w:rPr>
        <w:t>1.2本招标文件使用的下列词语具有如下规定的意义：</w:t>
      </w:r>
      <w:bookmarkEnd w:id="1180"/>
    </w:p>
    <w:p>
      <w:pPr>
        <w:pStyle w:val="11"/>
        <w:tabs>
          <w:tab w:val="left" w:pos="284"/>
          <w:tab w:val="left" w:pos="426"/>
        </w:tabs>
        <w:spacing w:after="120" w:line="360" w:lineRule="auto"/>
        <w:ind w:firstLine="200" w:firstLineChars="100"/>
        <w:rPr>
          <w:rFonts w:ascii="微软雅黑" w:hAnsi="微软雅黑" w:eastAsia="微软雅黑" w:cs="微软雅黑"/>
          <w:sz w:val="20"/>
          <w:szCs w:val="20"/>
          <w:highlight w:val="none"/>
        </w:rPr>
      </w:pPr>
      <w:r>
        <w:rPr>
          <w:rFonts w:hint="eastAsia" w:ascii="微软雅黑" w:hAnsi="微软雅黑" w:eastAsia="微软雅黑" w:cs="微软雅黑"/>
          <w:b/>
          <w:sz w:val="20"/>
          <w:szCs w:val="20"/>
          <w:highlight w:val="none"/>
        </w:rPr>
        <w:t>1.2.1“招标人”</w:t>
      </w:r>
      <w:r>
        <w:rPr>
          <w:rFonts w:hint="eastAsia" w:ascii="微软雅黑" w:hAnsi="微软雅黑" w:eastAsia="微软雅黑" w:cs="微软雅黑"/>
          <w:sz w:val="20"/>
          <w:szCs w:val="20"/>
          <w:highlight w:val="none"/>
        </w:rPr>
        <w:t>指广州市增城自来水安装工程有限公司，在签订和执行合同阶段称为“</w:t>
      </w:r>
      <w:r>
        <w:rPr>
          <w:rFonts w:hint="eastAsia" w:ascii="微软雅黑" w:hAnsi="微软雅黑" w:eastAsia="微软雅黑" w:cs="微软雅黑"/>
          <w:b/>
          <w:sz w:val="20"/>
          <w:szCs w:val="20"/>
          <w:highlight w:val="none"/>
        </w:rPr>
        <w:t>买方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甲方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需方</w:t>
      </w:r>
      <w:r>
        <w:rPr>
          <w:rFonts w:hint="eastAsia" w:ascii="微软雅黑" w:hAnsi="微软雅黑" w:eastAsia="微软雅黑" w:cs="微软雅黑"/>
          <w:sz w:val="20"/>
          <w:szCs w:val="20"/>
          <w:highlight w:val="none"/>
        </w:rPr>
        <w:t>”。为便于招标文件及附件直接转化为采购合同条款，在招标文件中有时称“合同签订单位”为“</w:t>
      </w:r>
      <w:r>
        <w:rPr>
          <w:rFonts w:hint="eastAsia" w:ascii="微软雅黑" w:hAnsi="微软雅黑" w:eastAsia="微软雅黑" w:cs="微软雅黑"/>
          <w:b/>
          <w:sz w:val="20"/>
          <w:szCs w:val="20"/>
          <w:highlight w:val="none"/>
        </w:rPr>
        <w:t>买方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甲方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需方</w:t>
      </w:r>
      <w:r>
        <w:rPr>
          <w:rFonts w:hint="eastAsia" w:ascii="微软雅黑" w:hAnsi="微软雅黑" w:eastAsia="微软雅黑" w:cs="微软雅黑"/>
          <w:sz w:val="20"/>
          <w:szCs w:val="20"/>
          <w:highlight w:val="none"/>
        </w:rPr>
        <w:t>”。</w:t>
      </w:r>
    </w:p>
    <w:p>
      <w:pPr>
        <w:pStyle w:val="11"/>
        <w:tabs>
          <w:tab w:val="left" w:pos="284"/>
          <w:tab w:val="left" w:pos="426"/>
        </w:tabs>
        <w:spacing w:after="120" w:line="360" w:lineRule="auto"/>
        <w:rPr>
          <w:rFonts w:ascii="微软雅黑" w:hAnsi="微软雅黑" w:eastAsia="微软雅黑" w:cs="微软雅黑"/>
          <w:sz w:val="20"/>
          <w:szCs w:val="20"/>
          <w:highlight w:val="none"/>
        </w:rPr>
      </w:pPr>
      <w:r>
        <w:rPr>
          <w:rFonts w:hint="eastAsia" w:ascii="微软雅黑" w:hAnsi="微软雅黑" w:eastAsia="微软雅黑" w:cs="微软雅黑"/>
          <w:b/>
          <w:sz w:val="20"/>
          <w:szCs w:val="20"/>
          <w:highlight w:val="none"/>
        </w:rPr>
        <w:t>1.2.2“投标人”</w:t>
      </w:r>
      <w:r>
        <w:rPr>
          <w:rFonts w:hint="eastAsia" w:ascii="微软雅黑" w:hAnsi="微软雅黑" w:eastAsia="微软雅黑" w:cs="微软雅黑"/>
          <w:sz w:val="20"/>
          <w:szCs w:val="20"/>
          <w:highlight w:val="none"/>
        </w:rPr>
        <w:t>指响应招标符合资格条件并参加投标竞争依法成</w:t>
      </w:r>
      <w:r>
        <w:rPr>
          <w:rFonts w:hint="eastAsia" w:ascii="微软雅黑" w:hAnsi="微软雅黑" w:eastAsia="微软雅黑" w:cs="微软雅黑"/>
          <w:color w:val="auto"/>
          <w:sz w:val="20"/>
          <w:szCs w:val="20"/>
          <w:highlight w:val="none"/>
        </w:rPr>
        <w:t>立的中国国内厂商或代理商。</w:t>
      </w:r>
      <w:r>
        <w:rPr>
          <w:rFonts w:hint="eastAsia" w:ascii="微软雅黑" w:hAnsi="微软雅黑" w:eastAsia="微软雅黑" w:cs="微软雅黑"/>
          <w:sz w:val="20"/>
          <w:szCs w:val="20"/>
          <w:highlight w:val="none"/>
        </w:rPr>
        <w:t>在招投标阶段称为投标人，在中标以后签订和执行合同阶段称为“</w:t>
      </w:r>
      <w:r>
        <w:rPr>
          <w:rFonts w:hint="eastAsia" w:ascii="微软雅黑" w:hAnsi="微软雅黑" w:eastAsia="微软雅黑" w:cs="微软雅黑"/>
          <w:b/>
          <w:sz w:val="20"/>
          <w:szCs w:val="20"/>
          <w:highlight w:val="none"/>
        </w:rPr>
        <w:t>卖方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乙方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供方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“承包人/商”</w:t>
      </w:r>
      <w:r>
        <w:rPr>
          <w:rFonts w:hint="eastAsia" w:ascii="微软雅黑" w:hAnsi="微软雅黑" w:eastAsia="微软雅黑" w:cs="微软雅黑"/>
          <w:sz w:val="20"/>
          <w:szCs w:val="20"/>
          <w:highlight w:val="none"/>
        </w:rPr>
        <w:t>。为便于招标文件及附件直接转化为经济合同条款，在招标文件中有时称“投标人”为“</w:t>
      </w:r>
      <w:r>
        <w:rPr>
          <w:rFonts w:hint="eastAsia" w:ascii="微软雅黑" w:hAnsi="微软雅黑" w:eastAsia="微软雅黑" w:cs="微软雅黑"/>
          <w:b/>
          <w:sz w:val="20"/>
          <w:szCs w:val="20"/>
          <w:highlight w:val="none"/>
        </w:rPr>
        <w:t>卖方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乙方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供方</w:t>
      </w:r>
      <w:r>
        <w:rPr>
          <w:rFonts w:hint="eastAsia" w:ascii="微软雅黑" w:hAnsi="微软雅黑" w:eastAsia="微软雅黑" w:cs="微软雅黑"/>
          <w:sz w:val="20"/>
          <w:szCs w:val="20"/>
          <w:highlight w:val="none"/>
        </w:rPr>
        <w:t>”、</w:t>
      </w:r>
      <w:r>
        <w:rPr>
          <w:rFonts w:hint="eastAsia" w:ascii="微软雅黑" w:hAnsi="微软雅黑" w:eastAsia="微软雅黑" w:cs="微软雅黑"/>
          <w:b/>
          <w:sz w:val="20"/>
          <w:szCs w:val="20"/>
          <w:highlight w:val="none"/>
        </w:rPr>
        <w:t>“承包人/商”</w:t>
      </w:r>
      <w:r>
        <w:rPr>
          <w:rFonts w:hint="eastAsia" w:ascii="微软雅黑" w:hAnsi="微软雅黑" w:eastAsia="微软雅黑" w:cs="微软雅黑"/>
          <w:sz w:val="20"/>
          <w:szCs w:val="20"/>
          <w:highlight w:val="none"/>
        </w:rPr>
        <w:t>。</w:t>
      </w:r>
    </w:p>
    <w:p>
      <w:pPr>
        <w:pStyle w:val="7"/>
      </w:pP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181" w:name="_Toc453956623"/>
      <w:bookmarkStart w:id="1182" w:name="_Toc453957383"/>
      <w:r>
        <w:rPr>
          <w:rFonts w:hint="eastAsia" w:ascii="微软雅黑" w:hAnsi="微软雅黑" w:cs="微软雅黑"/>
          <w:b/>
          <w:bCs/>
          <w:sz w:val="20"/>
          <w:szCs w:val="20"/>
        </w:rPr>
        <w:t>监管部门及招标采购单位</w:t>
      </w:r>
      <w:bookmarkEnd w:id="1181"/>
      <w:bookmarkEnd w:id="1182"/>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监管部门指同级或上级主管部门。</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招标采购单位指采购人及采购代理机构。</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采购人指依法进行本次采购的国家机关、事业单位和团体组织。</w:t>
      </w:r>
      <w:r>
        <w:rPr>
          <w:rFonts w:hint="eastAsia" w:ascii="微软雅黑" w:hAnsi="微软雅黑" w:cs="微软雅黑"/>
          <w:b/>
          <w:sz w:val="20"/>
          <w:szCs w:val="20"/>
          <w:lang w:eastAsia="zh-TW"/>
        </w:rPr>
        <w:t>本招标文件投标资料表中所述的采购人已拥有一笔</w:t>
      </w:r>
      <w:r>
        <w:rPr>
          <w:rFonts w:hint="eastAsia" w:ascii="微软雅黑" w:hAnsi="微软雅黑" w:cs="微软雅黑"/>
          <w:b/>
          <w:sz w:val="20"/>
          <w:szCs w:val="20"/>
        </w:rPr>
        <w:t>资金来源已落实</w:t>
      </w:r>
      <w:r>
        <w:rPr>
          <w:rFonts w:hint="eastAsia" w:ascii="微软雅黑" w:hAnsi="微软雅黑" w:cs="微软雅黑"/>
          <w:b/>
          <w:sz w:val="20"/>
          <w:szCs w:val="20"/>
          <w:lang w:eastAsia="zh-TW"/>
        </w:rPr>
        <w:t>。</w:t>
      </w:r>
      <w:r>
        <w:rPr>
          <w:rFonts w:hint="eastAsia" w:ascii="微软雅黑" w:hAnsi="微软雅黑" w:cs="微软雅黑"/>
          <w:sz w:val="20"/>
          <w:szCs w:val="20"/>
          <w:lang w:eastAsia="zh-TW"/>
        </w:rPr>
        <w:t>采购人计划将一部分</w:t>
      </w:r>
      <w:r>
        <w:rPr>
          <w:rFonts w:hint="eastAsia" w:ascii="微软雅黑" w:hAnsi="微软雅黑" w:cs="微软雅黑"/>
          <w:sz w:val="20"/>
          <w:szCs w:val="20"/>
        </w:rPr>
        <w:t>或全部</w:t>
      </w:r>
      <w:r>
        <w:rPr>
          <w:rFonts w:hint="eastAsia" w:ascii="微软雅黑" w:hAnsi="微软雅黑" w:cs="微软雅黑"/>
          <w:sz w:val="20"/>
          <w:szCs w:val="20"/>
          <w:lang w:eastAsia="zh-TW"/>
        </w:rPr>
        <w:t>资金用于支付本次</w:t>
      </w:r>
      <w:r>
        <w:rPr>
          <w:rFonts w:hint="eastAsia" w:ascii="微软雅黑" w:hAnsi="微软雅黑" w:cs="微软雅黑"/>
          <w:sz w:val="20"/>
          <w:szCs w:val="20"/>
        </w:rPr>
        <w:t>采购</w:t>
      </w:r>
      <w:r>
        <w:rPr>
          <w:rFonts w:hint="eastAsia" w:ascii="微软雅黑" w:hAnsi="微软雅黑" w:cs="微软雅黑"/>
          <w:sz w:val="20"/>
          <w:szCs w:val="20"/>
          <w:lang w:eastAsia="zh-TW"/>
        </w:rPr>
        <w:t>后所签订合同项下的款项</w:t>
      </w:r>
      <w:r>
        <w:rPr>
          <w:rFonts w:hint="eastAsia" w:ascii="微软雅黑" w:hAnsi="微软雅黑" w:cs="微软雅黑"/>
          <w:sz w:val="20"/>
          <w:szCs w:val="20"/>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采购代理机构指依照中华人民共和国财政部令2010年第61号《政府采购代理机构资格认定办法》</w:t>
      </w:r>
      <w:r>
        <w:rPr>
          <w:rFonts w:hint="eastAsia" w:ascii="微软雅黑" w:hAnsi="微软雅黑" w:cs="微软雅黑"/>
          <w:sz w:val="20"/>
          <w:szCs w:val="20"/>
          <w:lang w:eastAsia="zh-TW"/>
        </w:rPr>
        <w:t>取得财政部门认定资格的专业服务机构</w:t>
      </w:r>
      <w:r>
        <w:rPr>
          <w:rFonts w:hint="eastAsia" w:ascii="微软雅黑" w:hAnsi="微软雅黑" w:cs="微软雅黑"/>
          <w:sz w:val="20"/>
          <w:szCs w:val="20"/>
        </w:rPr>
        <w:t>。</w:t>
      </w:r>
      <w:r>
        <w:rPr>
          <w:rFonts w:hint="eastAsia" w:ascii="微软雅黑" w:hAnsi="微软雅黑" w:cs="微软雅黑"/>
          <w:sz w:val="20"/>
          <w:szCs w:val="20"/>
          <w:lang w:eastAsia="zh-TW"/>
        </w:rPr>
        <w:t>本次</w:t>
      </w:r>
      <w:r>
        <w:rPr>
          <w:rFonts w:hint="eastAsia" w:ascii="微软雅黑" w:hAnsi="微软雅黑" w:cs="微软雅黑"/>
          <w:sz w:val="20"/>
          <w:szCs w:val="20"/>
        </w:rPr>
        <w:t>采购</w:t>
      </w:r>
      <w:r>
        <w:rPr>
          <w:rFonts w:hint="eastAsia" w:ascii="微软雅黑" w:hAnsi="微软雅黑" w:cs="微软雅黑"/>
          <w:sz w:val="20"/>
          <w:szCs w:val="20"/>
          <w:lang w:eastAsia="zh-TW"/>
        </w:rPr>
        <w:t>的代理机构名称、地址、电话和传真见</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183" w:name="_Toc294000365"/>
      <w:bookmarkEnd w:id="1183"/>
      <w:bookmarkStart w:id="1184" w:name="_Toc293507602"/>
      <w:bookmarkEnd w:id="1184"/>
      <w:bookmarkStart w:id="1185" w:name="_Toc293507695"/>
      <w:bookmarkEnd w:id="1185"/>
      <w:bookmarkStart w:id="1186" w:name="_Toc293506718"/>
      <w:bookmarkEnd w:id="1186"/>
      <w:bookmarkStart w:id="1187" w:name="_Toc293506658"/>
      <w:bookmarkEnd w:id="1187"/>
      <w:bookmarkStart w:id="1188" w:name="_Toc293507801"/>
      <w:bookmarkEnd w:id="1188"/>
      <w:bookmarkStart w:id="1189" w:name="_Toc453957384"/>
      <w:bookmarkStart w:id="1190" w:name="_Toc453956624"/>
      <w:r>
        <w:rPr>
          <w:rFonts w:hint="eastAsia" w:ascii="微软雅黑" w:hAnsi="微软雅黑" w:cs="微软雅黑"/>
          <w:b/>
          <w:bCs/>
          <w:sz w:val="20"/>
          <w:szCs w:val="20"/>
        </w:rPr>
        <w:t>合格的投标人</w:t>
      </w:r>
      <w:bookmarkEnd w:id="1189"/>
      <w:bookmarkEnd w:id="1190"/>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投标人是响应招标并且符合招标文件规定资格条件和参加投标竞争的法人、其他组织或者自然人。</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合格的投标人</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只有在法律上和财务上独立、合法运作并独立于采购人和政府采购代理机构的供货商才能参加投标；</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符合投标邀请“合格投标人资格要求”的特殊条款。</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不得参与本采购项目中同一包组竞争的投标人</w:t>
      </w:r>
    </w:p>
    <w:p>
      <w:pPr>
        <w:spacing w:line="360" w:lineRule="auto"/>
        <w:ind w:left="572" w:leftChars="260"/>
        <w:rPr>
          <w:rFonts w:ascii="微软雅黑" w:hAnsi="微软雅黑" w:cs="微软雅黑"/>
          <w:sz w:val="20"/>
          <w:szCs w:val="20"/>
        </w:rPr>
      </w:pPr>
      <w:r>
        <w:rPr>
          <w:rFonts w:hint="eastAsia" w:ascii="微软雅黑" w:hAnsi="微软雅黑" w:cs="微软雅黑"/>
          <w:sz w:val="20"/>
          <w:szCs w:val="20"/>
        </w:rPr>
        <w:t>除联合体外，不同的投标人之间有下列情形之一的，不接受作为参与本采购项目中同一包（组）竞争的投标人：</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彼此存在投资与被投资关系的；</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彼此的经营者、董事会（或同类管理机构）成员属于直系亲属或配偶关系的。</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中标人是指经法定程序确定并授予合同的投标人。</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191" w:name="_Toc453957385"/>
      <w:bookmarkStart w:id="1192" w:name="_Toc453956625"/>
      <w:r>
        <w:rPr>
          <w:rFonts w:hint="eastAsia" w:ascii="微软雅黑" w:hAnsi="微软雅黑" w:cs="微软雅黑"/>
          <w:b/>
          <w:bCs/>
          <w:sz w:val="20"/>
          <w:szCs w:val="20"/>
        </w:rPr>
        <w:t>合格的工程、货物、服务</w:t>
      </w:r>
      <w:bookmarkEnd w:id="1191"/>
      <w:bookmarkEnd w:id="1192"/>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工程是指建设工程，包括建筑物和构筑物的新建、改建、扩建、装修、拆除等。</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合格的工程是指按国家制定的《工程施工质量验收规范》合格标准要求完成的工程。</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“服务”是指投标人按招标文件规定完成的全部服务内容，其中包括完成服务所需的货物，及须承担的技术支持、培训和其它伴随服务。 </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投标人提供的所有服务，其质量、技术等特征必须符合国家、行业现行法律、法规的相关标准及其实施条例的有关规定及用户需求。</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采购人有权拒绝接受任何不合格的服务，由此产生的费用及相关后果均由投标人自行承担。</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193" w:name="_Toc453956626"/>
      <w:bookmarkStart w:id="1194" w:name="_Toc453957386"/>
      <w:r>
        <w:rPr>
          <w:rFonts w:hint="eastAsia" w:ascii="微软雅黑" w:hAnsi="微软雅黑" w:cs="微软雅黑"/>
          <w:b/>
          <w:bCs/>
          <w:sz w:val="20"/>
          <w:szCs w:val="20"/>
        </w:rPr>
        <w:t>投标费用</w:t>
      </w:r>
      <w:bookmarkEnd w:id="1193"/>
      <w:bookmarkEnd w:id="1194"/>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投标人应承担所有与准备和参加投标有关的费用。不论投标的结果如何</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招标采购单位均无义务和责任承担这些费用。</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195" w:name="_Toc453956627"/>
      <w:bookmarkStart w:id="1196" w:name="_Toc453957387"/>
      <w:bookmarkStart w:id="1197" w:name="_Toc315793364"/>
      <w:r>
        <w:rPr>
          <w:rFonts w:hint="eastAsia" w:ascii="微软雅黑" w:hAnsi="微软雅黑" w:cs="微软雅黑"/>
          <w:b/>
          <w:bCs/>
          <w:sz w:val="20"/>
          <w:szCs w:val="20"/>
        </w:rPr>
        <w:t>采购信用担保</w:t>
      </w:r>
      <w:bookmarkEnd w:id="1195"/>
      <w:bookmarkEnd w:id="1196"/>
      <w:bookmarkEnd w:id="1197"/>
    </w:p>
    <w:p>
      <w:pPr>
        <w:widowControl w:val="0"/>
        <w:numPr>
          <w:ilvl w:val="1"/>
          <w:numId w:val="16"/>
        </w:numPr>
        <w:autoSpaceDE w:val="0"/>
        <w:autoSpaceDN w:val="0"/>
        <w:spacing w:after="0" w:line="360" w:lineRule="auto"/>
        <w:jc w:val="both"/>
        <w:rPr>
          <w:rFonts w:ascii="微软雅黑" w:hAnsi="微软雅黑" w:cs="微软雅黑"/>
          <w:b/>
          <w:sz w:val="20"/>
          <w:szCs w:val="20"/>
          <w:lang w:eastAsia="zh-TW"/>
        </w:rPr>
      </w:pPr>
      <w:bookmarkStart w:id="1198" w:name="_Toc453957388"/>
      <w:bookmarkStart w:id="1199" w:name="_Toc453956628"/>
      <w:r>
        <w:rPr>
          <w:rFonts w:hint="eastAsia" w:ascii="微软雅黑" w:hAnsi="微软雅黑" w:cs="微软雅黑"/>
          <w:sz w:val="20"/>
          <w:szCs w:val="20"/>
        </w:rPr>
        <w:t>履约担保：详见用户需求书、合同条款</w:t>
      </w:r>
    </w:p>
    <w:p>
      <w:pPr>
        <w:widowControl w:val="0"/>
        <w:autoSpaceDE w:val="0"/>
        <w:autoSpaceDN w:val="0"/>
        <w:spacing w:after="0" w:line="360" w:lineRule="auto"/>
        <w:ind w:left="567"/>
        <w:jc w:val="center"/>
        <w:rPr>
          <w:rFonts w:ascii="宋体" w:hAnsi="宋体" w:cs="楷体_GB2312"/>
          <w:b/>
          <w:sz w:val="28"/>
          <w:szCs w:val="28"/>
          <w:lang w:eastAsia="zh-TW"/>
        </w:rPr>
      </w:pPr>
      <w:r>
        <w:rPr>
          <w:rFonts w:hint="eastAsia" w:ascii="宋体" w:hAnsi="宋体" w:cs="楷体_GB2312"/>
          <w:b/>
          <w:sz w:val="28"/>
          <w:szCs w:val="28"/>
          <w:lang w:eastAsia="zh-TW"/>
        </w:rPr>
        <w:t>二、招标文件</w:t>
      </w:r>
      <w:bookmarkEnd w:id="1198"/>
      <w:bookmarkEnd w:id="1199"/>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r>
        <w:rPr>
          <w:rFonts w:hint="eastAsia" w:ascii="微软雅黑" w:hAnsi="微软雅黑" w:cs="微软雅黑"/>
          <w:b/>
          <w:bCs/>
          <w:sz w:val="20"/>
          <w:szCs w:val="20"/>
        </w:rPr>
        <w:t>招标文件</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招标文件是采购人作为阐明所需服务的基本要求，招标文件、投标文件、评标结果、合同书和相关承诺确认文件均作为任何一方当事人履约的重要依据。</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招标文件共</w:t>
      </w:r>
      <w:r>
        <w:rPr>
          <w:rFonts w:hint="eastAsia" w:ascii="微软雅黑" w:hAnsi="微软雅黑" w:cs="微软雅黑"/>
          <w:sz w:val="20"/>
          <w:szCs w:val="20"/>
        </w:rPr>
        <w:t>七</w:t>
      </w:r>
      <w:r>
        <w:rPr>
          <w:rFonts w:hint="eastAsia" w:ascii="微软雅黑" w:hAnsi="微软雅黑" w:cs="微软雅黑"/>
          <w:sz w:val="20"/>
          <w:szCs w:val="20"/>
          <w:lang w:eastAsia="zh-TW"/>
        </w:rPr>
        <w:t>章。</w:t>
      </w:r>
      <w:r>
        <w:rPr>
          <w:rFonts w:hint="eastAsia" w:ascii="微软雅黑" w:hAnsi="微软雅黑" w:cs="微软雅黑"/>
          <w:sz w:val="20"/>
          <w:szCs w:val="20"/>
        </w:rPr>
        <w:t>由下列文件以及在招标过程中发出的澄清、修改和补充文件组成，</w:t>
      </w:r>
      <w:r>
        <w:rPr>
          <w:rFonts w:hint="eastAsia" w:ascii="微软雅黑" w:hAnsi="微软雅黑" w:cs="微软雅黑"/>
          <w:sz w:val="20"/>
          <w:szCs w:val="20"/>
          <w:lang w:eastAsia="zh-TW"/>
        </w:rPr>
        <w:t>各册的内容如下</w:t>
      </w:r>
      <w:r>
        <w:rPr>
          <w:rFonts w:hint="eastAsia" w:ascii="微软雅黑" w:hAnsi="微软雅黑" w:cs="微软雅黑"/>
          <w:sz w:val="20"/>
          <w:szCs w:val="20"/>
        </w:rPr>
        <w:t>：</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第一章　投标邀请</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第二章　投标资料表</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第三章　用户需求书</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第四章　评分体系和标准</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第五章  投标文件格式</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第六章　投标人须知</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第七章　合同通用条款</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投标人应认真阅读、并充分理解招标文件的全部内容（包括所有的补充、修改内容重要事项</w:t>
      </w:r>
      <w:r>
        <w:rPr>
          <w:rFonts w:hint="eastAsia" w:ascii="微软雅黑" w:hAnsi="微软雅黑" w:cs="微软雅黑"/>
          <w:sz w:val="20"/>
          <w:szCs w:val="20"/>
        </w:rPr>
        <w:t>、</w:t>
      </w:r>
      <w:r>
        <w:rPr>
          <w:rFonts w:hint="eastAsia" w:ascii="微软雅黑" w:hAnsi="微软雅黑" w:cs="微软雅黑"/>
          <w:sz w:val="20"/>
          <w:szCs w:val="20"/>
          <w:lang w:eastAsia="zh-TW"/>
        </w:rPr>
        <w:t>格式</w:t>
      </w:r>
      <w:r>
        <w:rPr>
          <w:rFonts w:hint="eastAsia" w:ascii="微软雅黑" w:hAnsi="微软雅黑" w:cs="微软雅黑"/>
          <w:sz w:val="20"/>
          <w:szCs w:val="20"/>
        </w:rPr>
        <w:t>、</w:t>
      </w:r>
      <w:r>
        <w:rPr>
          <w:rFonts w:hint="eastAsia" w:ascii="微软雅黑" w:hAnsi="微软雅黑" w:cs="微软雅黑"/>
          <w:sz w:val="20"/>
          <w:szCs w:val="20"/>
          <w:lang w:eastAsia="zh-TW"/>
        </w:rPr>
        <w:t>条款和技术规范、参数及要求等）。投标人没有按照招标文件要求提交全部资料，或者投标</w:t>
      </w:r>
      <w:r>
        <w:rPr>
          <w:rFonts w:hint="eastAsia" w:ascii="微软雅黑" w:hAnsi="微软雅黑" w:cs="微软雅黑"/>
          <w:sz w:val="20"/>
          <w:szCs w:val="20"/>
        </w:rPr>
        <w:t>文件</w:t>
      </w:r>
      <w:r>
        <w:rPr>
          <w:rFonts w:hint="eastAsia" w:ascii="微软雅黑" w:hAnsi="微软雅黑" w:cs="微软雅黑"/>
          <w:sz w:val="20"/>
          <w:szCs w:val="20"/>
          <w:lang w:eastAsia="zh-TW"/>
        </w:rPr>
        <w:t>没有对招标文件在各方面都</w:t>
      </w:r>
      <w:r>
        <w:rPr>
          <w:rFonts w:hint="eastAsia" w:ascii="微软雅黑" w:hAnsi="微软雅黑" w:cs="微软雅黑"/>
          <w:sz w:val="20"/>
          <w:szCs w:val="20"/>
        </w:rPr>
        <w:t>作</w:t>
      </w:r>
      <w:r>
        <w:rPr>
          <w:rFonts w:hint="eastAsia" w:ascii="微软雅黑" w:hAnsi="微软雅黑" w:cs="微软雅黑"/>
          <w:sz w:val="20"/>
          <w:szCs w:val="20"/>
          <w:lang w:eastAsia="zh-TW"/>
        </w:rPr>
        <w:t>出实质性响应是投标人的风险，有可能导致其投标被拒绝，或被认定为无效投标或被确定为投标无效。</w:t>
      </w:r>
    </w:p>
    <w:p>
      <w:pPr>
        <w:widowControl w:val="0"/>
        <w:numPr>
          <w:ilvl w:val="1"/>
          <w:numId w:val="16"/>
        </w:numPr>
        <w:autoSpaceDE w:val="0"/>
        <w:autoSpaceDN w:val="0"/>
        <w:spacing w:after="0" w:line="360" w:lineRule="auto"/>
        <w:rPr>
          <w:rFonts w:ascii="微软雅黑" w:hAnsi="微软雅黑" w:cs="微软雅黑"/>
          <w:sz w:val="20"/>
          <w:szCs w:val="20"/>
        </w:rPr>
      </w:pPr>
      <w:r>
        <w:rPr>
          <w:rFonts w:hint="eastAsia" w:ascii="微软雅黑" w:hAnsi="微软雅黑" w:cs="微软雅黑"/>
          <w:sz w:val="20"/>
          <w:szCs w:val="20"/>
        </w:rPr>
        <w:t>本</w:t>
      </w:r>
      <w:r>
        <w:rPr>
          <w:rFonts w:hint="eastAsia" w:ascii="微软雅黑" w:hAnsi="微软雅黑" w:cs="微软雅黑"/>
          <w:sz w:val="20"/>
          <w:szCs w:val="20"/>
          <w:lang w:eastAsia="zh-TW"/>
        </w:rPr>
        <w:t>招标文件的解释权归“</w:t>
      </w:r>
      <w:r>
        <w:rPr>
          <w:rFonts w:hint="eastAsia" w:ascii="微软雅黑" w:hAnsi="微软雅黑" w:cs="微软雅黑"/>
          <w:sz w:val="20"/>
          <w:szCs w:val="20"/>
        </w:rPr>
        <w:t>广州宝诚招标代理咨询有限公司</w:t>
      </w:r>
      <w:r>
        <w:rPr>
          <w:rFonts w:hint="eastAsia" w:ascii="微软雅黑" w:hAnsi="微软雅黑" w:cs="微软雅黑"/>
          <w:sz w:val="20"/>
          <w:szCs w:val="20"/>
          <w:lang w:eastAsia="zh-TW"/>
        </w:rPr>
        <w:t>”所有。</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00" w:name="_Toc453956630"/>
      <w:bookmarkStart w:id="1201" w:name="_Toc453957390"/>
      <w:r>
        <w:rPr>
          <w:rFonts w:hint="eastAsia" w:ascii="微软雅黑" w:hAnsi="微软雅黑" w:cs="微软雅黑"/>
          <w:b/>
          <w:bCs/>
          <w:sz w:val="20"/>
          <w:szCs w:val="20"/>
        </w:rPr>
        <w:t>招标文件的澄清</w:t>
      </w:r>
      <w:bookmarkEnd w:id="1200"/>
      <w:bookmarkEnd w:id="1201"/>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任何要求对招标文件进行澄清的投标人，均应以书面形式在投标截止时间十五日以前通知招标采购单位</w:t>
      </w:r>
      <w:r>
        <w:rPr>
          <w:rFonts w:hint="eastAsia" w:ascii="微软雅黑" w:hAnsi="微软雅黑" w:cs="微软雅黑"/>
          <w:sz w:val="20"/>
          <w:szCs w:val="20"/>
        </w:rPr>
        <w:t>。</w:t>
      </w:r>
      <w:r>
        <w:rPr>
          <w:rFonts w:hint="eastAsia" w:ascii="微软雅黑" w:hAnsi="微软雅黑" w:cs="微软雅黑"/>
          <w:sz w:val="20"/>
          <w:szCs w:val="20"/>
          <w:lang w:eastAsia="zh-TW"/>
        </w:rPr>
        <w:t>采购代理机构将视情况确定采用适当方式予以澄清或以书面形式予以答复，并在其认为必要时，将不标明询问来源的书面答复发送给每个购买采购文件的投标人；投标人在收到澄清或修改通知后24小时内应立即以书面形式（应加盖公章）予以确认，逾期不提交书面确认的，视为已确认。</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投标人在规定的时间内未对招标文件提出澄清或疑问的，招标采购单位将视其为无异议。对招标文件中描述有歧意或前后不一致的地方，评标委员会有权进行评判，但对同一条款的评判应适用于每个投标人。</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除非依本须知第8.1规定的有</w:t>
      </w:r>
      <w:r>
        <w:rPr>
          <w:rFonts w:hint="eastAsia" w:ascii="微软雅黑" w:hAnsi="微软雅黑" w:cs="微软雅黑"/>
          <w:sz w:val="20"/>
          <w:szCs w:val="20"/>
          <w:lang w:eastAsia="zh-TW"/>
        </w:rPr>
        <w:t>必要时</w:t>
      </w:r>
      <w:r>
        <w:rPr>
          <w:rFonts w:hint="eastAsia" w:ascii="微软雅黑" w:hAnsi="微软雅黑" w:cs="微软雅黑"/>
          <w:sz w:val="20"/>
          <w:szCs w:val="20"/>
        </w:rPr>
        <w:t>或</w:t>
      </w:r>
      <w:r>
        <w:rPr>
          <w:rFonts w:hint="eastAsia" w:ascii="微软雅黑" w:hAnsi="微软雅黑" w:cs="微软雅黑"/>
          <w:b/>
          <w:sz w:val="20"/>
          <w:szCs w:val="20"/>
        </w:rPr>
        <w:t>投标资料表</w:t>
      </w:r>
      <w:r>
        <w:rPr>
          <w:rFonts w:hint="eastAsia" w:ascii="微软雅黑" w:hAnsi="微软雅黑" w:cs="微软雅黑"/>
          <w:sz w:val="20"/>
          <w:szCs w:val="20"/>
        </w:rPr>
        <w:t>中另有规定，不举行项目集中答疑会或现场考察，如举行集中答疑会或现场考察的，则按以下规定：</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在</w:t>
      </w:r>
      <w:r>
        <w:rPr>
          <w:rFonts w:hint="eastAsia" w:ascii="微软雅黑" w:hAnsi="微软雅黑" w:cs="微软雅黑"/>
          <w:b/>
          <w:sz w:val="20"/>
          <w:szCs w:val="20"/>
          <w:lang w:eastAsia="zh-TW"/>
        </w:rPr>
        <w:t>投标资料表</w:t>
      </w:r>
      <w:r>
        <w:rPr>
          <w:rFonts w:hint="eastAsia" w:ascii="微软雅黑" w:hAnsi="微软雅黑" w:cs="微软雅黑"/>
          <w:sz w:val="20"/>
          <w:szCs w:val="20"/>
        </w:rPr>
        <w:t>中规定的日期、时间和地点组织公开答疑会或现场考察；</w:t>
      </w:r>
    </w:p>
    <w:p>
      <w:pPr>
        <w:widowControl w:val="0"/>
        <w:numPr>
          <w:ilvl w:val="2"/>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rPr>
        <w:t>潜在</w:t>
      </w:r>
      <w:r>
        <w:rPr>
          <w:rFonts w:hint="eastAsia" w:ascii="微软雅黑" w:hAnsi="微软雅黑" w:cs="微软雅黑"/>
          <w:sz w:val="20"/>
          <w:szCs w:val="20"/>
          <w:lang w:eastAsia="zh-TW"/>
        </w:rPr>
        <w:t>投标人对本项目提出的疑问，需在答疑会</w:t>
      </w:r>
      <w:r>
        <w:rPr>
          <w:rFonts w:hint="eastAsia" w:ascii="微软雅黑" w:hAnsi="微软雅黑" w:cs="微软雅黑"/>
          <w:sz w:val="20"/>
          <w:szCs w:val="20"/>
        </w:rPr>
        <w:t>或现场考察</w:t>
      </w:r>
      <w:r>
        <w:rPr>
          <w:rFonts w:hint="eastAsia" w:ascii="微软雅黑" w:hAnsi="微软雅黑" w:cs="微软雅黑"/>
          <w:sz w:val="20"/>
          <w:szCs w:val="20"/>
          <w:lang w:eastAsia="zh-TW"/>
        </w:rPr>
        <w:t>召开日前至少一个工作日将问题清单以书面</w:t>
      </w:r>
      <w:r>
        <w:rPr>
          <w:rFonts w:hint="eastAsia" w:ascii="微软雅黑" w:hAnsi="微软雅黑" w:cs="微软雅黑"/>
          <w:sz w:val="20"/>
          <w:szCs w:val="20"/>
        </w:rPr>
        <w:t>形式</w:t>
      </w:r>
      <w:r>
        <w:rPr>
          <w:rFonts w:hint="eastAsia" w:ascii="微软雅黑" w:hAnsi="微软雅黑" w:cs="微软雅黑"/>
          <w:sz w:val="20"/>
          <w:szCs w:val="20"/>
          <w:lang w:eastAsia="zh-TW"/>
        </w:rPr>
        <w:t>（加盖公章）提交至代理机构，</w:t>
      </w:r>
      <w:r>
        <w:rPr>
          <w:rFonts w:hint="eastAsia" w:ascii="微软雅黑" w:hAnsi="微软雅黑" w:cs="微软雅黑"/>
          <w:sz w:val="20"/>
          <w:szCs w:val="20"/>
        </w:rPr>
        <w:t>潜在</w:t>
      </w:r>
      <w:r>
        <w:rPr>
          <w:rFonts w:hint="eastAsia" w:ascii="微软雅黑" w:hAnsi="微软雅黑" w:cs="微软雅黑"/>
          <w:sz w:val="20"/>
          <w:szCs w:val="20"/>
          <w:lang w:eastAsia="zh-TW"/>
        </w:rPr>
        <w:t>投标人代表于上述的时间和地点出席答疑会</w:t>
      </w:r>
      <w:r>
        <w:rPr>
          <w:rFonts w:hint="eastAsia" w:ascii="微软雅黑" w:hAnsi="微软雅黑" w:cs="微软雅黑"/>
          <w:sz w:val="20"/>
          <w:szCs w:val="20"/>
        </w:rPr>
        <w:t>或现场考察；</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已购买</w:t>
      </w:r>
      <w:r>
        <w:rPr>
          <w:rFonts w:hint="eastAsia" w:ascii="微软雅黑" w:hAnsi="微软雅黑" w:cs="微软雅黑"/>
          <w:sz w:val="20"/>
          <w:szCs w:val="20"/>
        </w:rPr>
        <w:t>招标</w:t>
      </w:r>
      <w:r>
        <w:rPr>
          <w:rFonts w:hint="eastAsia" w:ascii="微软雅黑" w:hAnsi="微软雅黑" w:cs="微软雅黑"/>
          <w:sz w:val="20"/>
          <w:szCs w:val="20"/>
          <w:lang w:eastAsia="zh-TW"/>
        </w:rPr>
        <w:t>文件的投标人如不出席答疑会</w:t>
      </w:r>
      <w:r>
        <w:rPr>
          <w:rFonts w:hint="eastAsia" w:ascii="微软雅黑" w:hAnsi="微软雅黑" w:cs="微软雅黑"/>
          <w:sz w:val="20"/>
          <w:szCs w:val="20"/>
        </w:rPr>
        <w:t>或现场考察</w:t>
      </w:r>
      <w:r>
        <w:rPr>
          <w:rFonts w:hint="eastAsia" w:ascii="微软雅黑" w:hAnsi="微软雅黑" w:cs="微软雅黑"/>
          <w:sz w:val="20"/>
          <w:szCs w:val="20"/>
          <w:lang w:eastAsia="zh-TW"/>
        </w:rPr>
        <w:t>视为对招标文件所有内容无任何异议。</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02" w:name="_Toc453957391"/>
      <w:bookmarkStart w:id="1203" w:name="_Toc453956631"/>
      <w:r>
        <w:rPr>
          <w:rFonts w:hint="eastAsia" w:ascii="微软雅黑" w:hAnsi="微软雅黑" w:cs="微软雅黑"/>
          <w:b/>
          <w:bCs/>
          <w:sz w:val="20"/>
          <w:szCs w:val="20"/>
        </w:rPr>
        <w:t>招标文件的修改</w:t>
      </w:r>
      <w:bookmarkEnd w:id="1202"/>
      <w:bookmarkEnd w:id="1203"/>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无论出于何种原因</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招标采购单位可主动地或在解答投标人提出的疑问时对招标文件进行修改</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招标采购单位对已发出的招标文件进行必要修改的，应当在招标文件</w:t>
      </w:r>
      <w:r>
        <w:rPr>
          <w:rFonts w:hint="eastAsia" w:ascii="微软雅黑" w:hAnsi="微软雅黑" w:cs="微软雅黑"/>
          <w:b/>
          <w:sz w:val="20"/>
          <w:szCs w:val="20"/>
        </w:rPr>
        <w:t>投标资料表</w:t>
      </w:r>
      <w:r>
        <w:rPr>
          <w:rFonts w:hint="eastAsia" w:ascii="微软雅黑" w:hAnsi="微软雅黑" w:cs="微软雅黑"/>
          <w:sz w:val="20"/>
          <w:szCs w:val="20"/>
          <w:lang w:eastAsia="zh-TW"/>
        </w:rPr>
        <w:t>中所述提交投标文件截止时间十五日前，在</w:t>
      </w:r>
      <w:r>
        <w:rPr>
          <w:rFonts w:hint="eastAsia" w:ascii="微软雅黑" w:hAnsi="微软雅黑" w:cs="微软雅黑"/>
          <w:sz w:val="20"/>
          <w:szCs w:val="20"/>
        </w:rPr>
        <w:t>主管</w:t>
      </w:r>
      <w:r>
        <w:rPr>
          <w:rFonts w:hint="eastAsia" w:ascii="微软雅黑" w:hAnsi="微软雅黑" w:cs="微软雅黑"/>
          <w:sz w:val="20"/>
          <w:szCs w:val="20"/>
          <w:lang w:eastAsia="zh-TW"/>
        </w:rPr>
        <w:t>部门指定的采购信息发布媒体上发布更正公告</w:t>
      </w:r>
      <w:r>
        <w:rPr>
          <w:rFonts w:hint="eastAsia" w:ascii="微软雅黑" w:hAnsi="微软雅黑" w:cs="微软雅黑"/>
          <w:sz w:val="20"/>
          <w:szCs w:val="20"/>
        </w:rPr>
        <w:t>，</w:t>
      </w:r>
      <w:r>
        <w:rPr>
          <w:rFonts w:hint="eastAsia" w:ascii="微软雅黑" w:hAnsi="微软雅黑" w:cs="微软雅黑"/>
          <w:sz w:val="20"/>
          <w:szCs w:val="20"/>
          <w:lang w:eastAsia="zh-TW"/>
        </w:rPr>
        <w:t>并以书面形式通知所有招标文件收受人。</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除投标资料表中另有规定，澄清或修改时间距投标截止时间不足十五</w:t>
      </w:r>
      <w:r>
        <w:rPr>
          <w:rFonts w:hint="eastAsia" w:ascii="微软雅黑" w:hAnsi="微软雅黑" w:cs="微软雅黑"/>
          <w:sz w:val="20"/>
          <w:szCs w:val="20"/>
        </w:rPr>
        <w:t>日</w:t>
      </w:r>
      <w:r>
        <w:rPr>
          <w:rFonts w:hint="eastAsia" w:ascii="微软雅黑" w:hAnsi="微软雅黑" w:cs="微软雅黑"/>
          <w:sz w:val="20"/>
          <w:szCs w:val="20"/>
          <w:lang w:eastAsia="zh-TW"/>
        </w:rPr>
        <w:t>的</w:t>
      </w:r>
      <w:r>
        <w:rPr>
          <w:rFonts w:hint="eastAsia" w:ascii="微软雅黑" w:hAnsi="微软雅黑" w:cs="微软雅黑"/>
          <w:sz w:val="20"/>
          <w:szCs w:val="20"/>
        </w:rPr>
        <w:t>，采购</w:t>
      </w:r>
      <w:r>
        <w:rPr>
          <w:rFonts w:hint="eastAsia" w:ascii="微软雅黑" w:hAnsi="微软雅黑" w:cs="微软雅黑"/>
          <w:sz w:val="20"/>
          <w:szCs w:val="20"/>
          <w:lang w:eastAsia="zh-TW"/>
        </w:rPr>
        <w:t>人或采购代理机构在征得已获取招标文件的潜在投标人同意并书面确认后，可不改变投标截止时间。</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招标文件的修改内容是招标文件的组成部分，将以书面形式通知所有购买招标文件的潜在投标人，并对潜在投标人具有约束力。潜在投标人在收到上述通知后</w:t>
      </w:r>
      <w:r>
        <w:rPr>
          <w:rFonts w:hint="eastAsia" w:ascii="微软雅黑" w:hAnsi="微软雅黑" w:cs="微软雅黑"/>
          <w:sz w:val="20"/>
          <w:szCs w:val="20"/>
        </w:rPr>
        <w:t>，</w:t>
      </w:r>
      <w:r>
        <w:rPr>
          <w:rFonts w:hint="eastAsia" w:ascii="微软雅黑" w:hAnsi="微软雅黑" w:cs="微软雅黑"/>
          <w:sz w:val="20"/>
          <w:szCs w:val="20"/>
          <w:lang w:eastAsia="zh-TW"/>
        </w:rPr>
        <w:t>应立即以书面形式向招标采购单位确认。如在24小时之内无书面回函则视为同意修改内容，并有责任履行相应的义务。</w:t>
      </w:r>
    </w:p>
    <w:p>
      <w:pPr>
        <w:spacing w:beforeLines="100" w:afterLines="100" w:line="360" w:lineRule="auto"/>
        <w:jc w:val="center"/>
        <w:outlineLvl w:val="0"/>
        <w:rPr>
          <w:rFonts w:ascii="宋体" w:hAnsi="宋体" w:cs="楷体_GB2312"/>
          <w:b/>
          <w:sz w:val="28"/>
          <w:szCs w:val="28"/>
          <w:lang w:eastAsia="zh-TW"/>
        </w:rPr>
      </w:pPr>
      <w:bookmarkStart w:id="1204" w:name="_Toc453956632"/>
      <w:bookmarkStart w:id="1205" w:name="_Toc453957392"/>
      <w:r>
        <w:rPr>
          <w:rFonts w:hint="eastAsia" w:ascii="宋体" w:hAnsi="宋体" w:cs="楷体_GB2312"/>
          <w:b/>
          <w:sz w:val="28"/>
          <w:szCs w:val="28"/>
          <w:lang w:eastAsia="zh-TW"/>
        </w:rPr>
        <w:t>三、投标文件的编制</w:t>
      </w:r>
      <w:bookmarkEnd w:id="1204"/>
      <w:bookmarkEnd w:id="1205"/>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06" w:name="_Toc453957393"/>
      <w:bookmarkStart w:id="1207" w:name="_Toc453956633"/>
      <w:r>
        <w:rPr>
          <w:rFonts w:hint="eastAsia" w:ascii="微软雅黑" w:hAnsi="微软雅黑" w:cs="微软雅黑"/>
          <w:b/>
          <w:bCs/>
          <w:sz w:val="20"/>
          <w:szCs w:val="20"/>
        </w:rPr>
        <w:t>投标的语言</w:t>
      </w:r>
      <w:bookmarkEnd w:id="1206"/>
      <w:bookmarkEnd w:id="1207"/>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投标人提交的投标文件以及投标人与招标采购单位就有关投标的所有来往函电均应使用中文书写</w:t>
      </w:r>
      <w:r>
        <w:rPr>
          <w:rFonts w:hint="eastAsia" w:ascii="微软雅黑" w:hAnsi="微软雅黑" w:cs="微软雅黑"/>
          <w:sz w:val="20"/>
          <w:szCs w:val="20"/>
        </w:rPr>
        <w:t>。投</w:t>
      </w:r>
      <w:r>
        <w:rPr>
          <w:rFonts w:hint="eastAsia" w:ascii="微软雅黑" w:hAnsi="微软雅黑" w:cs="微软雅黑"/>
          <w:sz w:val="20"/>
          <w:szCs w:val="20"/>
          <w:lang w:eastAsia="zh-TW"/>
        </w:rPr>
        <w:t>标人提交的支持资料和</w:t>
      </w:r>
      <w:r>
        <w:rPr>
          <w:rFonts w:hint="eastAsia" w:ascii="微软雅黑" w:hAnsi="微软雅黑" w:cs="微软雅黑"/>
          <w:sz w:val="20"/>
          <w:szCs w:val="20"/>
        </w:rPr>
        <w:t>已</w:t>
      </w:r>
      <w:r>
        <w:rPr>
          <w:rFonts w:hint="eastAsia" w:ascii="微软雅黑" w:hAnsi="微软雅黑" w:cs="微软雅黑"/>
          <w:sz w:val="20"/>
          <w:szCs w:val="20"/>
          <w:lang w:eastAsia="zh-TW"/>
        </w:rPr>
        <w:t>刷的文献可以用另一种语言</w:t>
      </w:r>
      <w:r>
        <w:rPr>
          <w:rFonts w:hint="eastAsia" w:ascii="微软雅黑" w:hAnsi="微软雅黑" w:cs="微软雅黑"/>
          <w:sz w:val="20"/>
          <w:szCs w:val="20"/>
        </w:rPr>
        <w:t>，</w:t>
      </w:r>
      <w:r>
        <w:rPr>
          <w:rFonts w:hint="eastAsia" w:ascii="微软雅黑" w:hAnsi="微软雅黑" w:cs="微软雅黑"/>
          <w:sz w:val="20"/>
          <w:szCs w:val="20"/>
          <w:lang w:eastAsia="zh-TW"/>
        </w:rPr>
        <w:t>但相应内容应附有中文翻译本</w:t>
      </w:r>
      <w:r>
        <w:rPr>
          <w:rFonts w:hint="eastAsia" w:ascii="微软雅黑" w:hAnsi="微软雅黑" w:cs="微软雅黑"/>
          <w:sz w:val="20"/>
          <w:szCs w:val="20"/>
        </w:rPr>
        <w:t>，</w:t>
      </w:r>
      <w:r>
        <w:rPr>
          <w:rFonts w:hint="eastAsia" w:ascii="微软雅黑" w:hAnsi="微软雅黑" w:cs="微软雅黑"/>
          <w:sz w:val="20"/>
          <w:szCs w:val="20"/>
          <w:lang w:eastAsia="zh-TW"/>
        </w:rPr>
        <w:t>在解释投标文件的修改内容时以中文翻译本为准。对中文翻译有异议的</w:t>
      </w:r>
      <w:r>
        <w:rPr>
          <w:rFonts w:hint="eastAsia" w:ascii="微软雅黑" w:hAnsi="微软雅黑" w:cs="微软雅黑"/>
          <w:sz w:val="20"/>
          <w:szCs w:val="20"/>
        </w:rPr>
        <w:t>，</w:t>
      </w:r>
      <w:r>
        <w:rPr>
          <w:rFonts w:hint="eastAsia" w:ascii="微软雅黑" w:hAnsi="微软雅黑" w:cs="微软雅黑"/>
          <w:sz w:val="20"/>
          <w:szCs w:val="20"/>
          <w:lang w:eastAsia="zh-TW"/>
        </w:rPr>
        <w:t>以权威机构的译本为准。</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08" w:name="_Toc453956634"/>
      <w:bookmarkStart w:id="1209" w:name="_Toc453957394"/>
      <w:r>
        <w:rPr>
          <w:rFonts w:hint="eastAsia" w:ascii="微软雅黑" w:hAnsi="微软雅黑" w:cs="微软雅黑"/>
          <w:b/>
          <w:bCs/>
          <w:sz w:val="20"/>
          <w:szCs w:val="20"/>
        </w:rPr>
        <w:t>投标文件的构成</w:t>
      </w:r>
      <w:bookmarkEnd w:id="1208"/>
      <w:bookmarkEnd w:id="1209"/>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投标人编写的投标文件应包括初审文件、技术文件、商务文件，编排顺序参见投标文件格式。</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投标文件的构成应符合法律法规及招标文件的要求。</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10" w:name="_Toc293506733"/>
      <w:bookmarkEnd w:id="1210"/>
      <w:bookmarkStart w:id="1211" w:name="_Toc293506731"/>
      <w:bookmarkEnd w:id="1211"/>
      <w:bookmarkStart w:id="1212" w:name="_Toc294000379"/>
      <w:bookmarkEnd w:id="1212"/>
      <w:bookmarkStart w:id="1213" w:name="_Toc293506671"/>
      <w:bookmarkEnd w:id="1213"/>
      <w:bookmarkStart w:id="1214" w:name="_Toc293507615"/>
      <w:bookmarkEnd w:id="1214"/>
      <w:bookmarkStart w:id="1215" w:name="_Toc294000378"/>
      <w:bookmarkEnd w:id="1215"/>
      <w:bookmarkStart w:id="1216" w:name="_Toc294000376"/>
      <w:bookmarkEnd w:id="1216"/>
      <w:bookmarkStart w:id="1217" w:name="_Toc293507813"/>
      <w:bookmarkEnd w:id="1217"/>
      <w:bookmarkStart w:id="1218" w:name="_Toc293506673"/>
      <w:bookmarkEnd w:id="1218"/>
      <w:bookmarkStart w:id="1219" w:name="_Toc293507613"/>
      <w:bookmarkEnd w:id="1219"/>
      <w:bookmarkStart w:id="1220" w:name="_Toc294000380"/>
      <w:bookmarkEnd w:id="1220"/>
      <w:bookmarkStart w:id="1221" w:name="_Toc293506670"/>
      <w:bookmarkEnd w:id="1221"/>
      <w:bookmarkStart w:id="1222" w:name="_Toc293507706"/>
      <w:bookmarkEnd w:id="1222"/>
      <w:bookmarkStart w:id="1223" w:name="_Toc293506732"/>
      <w:bookmarkEnd w:id="1223"/>
      <w:bookmarkStart w:id="1224" w:name="_Toc294000377"/>
      <w:bookmarkEnd w:id="1224"/>
      <w:bookmarkStart w:id="1225" w:name="_Toc293507707"/>
      <w:bookmarkEnd w:id="1225"/>
      <w:bookmarkStart w:id="1226" w:name="_Toc293507709"/>
      <w:bookmarkEnd w:id="1226"/>
      <w:bookmarkStart w:id="1227" w:name="_Toc293507614"/>
      <w:bookmarkEnd w:id="1227"/>
      <w:bookmarkStart w:id="1228" w:name="_Toc293507816"/>
      <w:bookmarkEnd w:id="1228"/>
      <w:bookmarkStart w:id="1229" w:name="_Toc293507812"/>
      <w:bookmarkEnd w:id="1229"/>
      <w:bookmarkStart w:id="1230" w:name="_Toc293506730"/>
      <w:bookmarkEnd w:id="1230"/>
      <w:bookmarkStart w:id="1231" w:name="_Toc293507708"/>
      <w:bookmarkEnd w:id="1231"/>
      <w:bookmarkStart w:id="1232" w:name="_Toc293507710"/>
      <w:bookmarkEnd w:id="1232"/>
      <w:bookmarkStart w:id="1233" w:name="_Toc293507617"/>
      <w:bookmarkEnd w:id="1233"/>
      <w:bookmarkStart w:id="1234" w:name="_Toc293506672"/>
      <w:bookmarkEnd w:id="1234"/>
      <w:bookmarkStart w:id="1235" w:name="_Toc293507815"/>
      <w:bookmarkEnd w:id="1235"/>
      <w:bookmarkStart w:id="1236" w:name="_Toc293507814"/>
      <w:bookmarkEnd w:id="1236"/>
      <w:bookmarkStart w:id="1237" w:name="_Toc293507616"/>
      <w:bookmarkEnd w:id="1237"/>
      <w:bookmarkStart w:id="1238" w:name="_Toc293506729"/>
      <w:bookmarkEnd w:id="1238"/>
      <w:bookmarkStart w:id="1239" w:name="_Toc293506669"/>
      <w:bookmarkEnd w:id="1239"/>
      <w:bookmarkStart w:id="1240" w:name="_Toc453956635"/>
      <w:bookmarkStart w:id="1241" w:name="_Toc453957395"/>
      <w:r>
        <w:rPr>
          <w:rFonts w:hint="eastAsia" w:ascii="微软雅黑" w:hAnsi="微软雅黑" w:cs="微软雅黑"/>
          <w:b/>
          <w:bCs/>
          <w:sz w:val="20"/>
          <w:szCs w:val="20"/>
        </w:rPr>
        <w:t>投标文件的编写</w:t>
      </w:r>
      <w:bookmarkEnd w:id="1240"/>
      <w:bookmarkEnd w:id="1241"/>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投标人应完整</w:t>
      </w:r>
      <w:r>
        <w:rPr>
          <w:rFonts w:hint="eastAsia" w:ascii="微软雅黑" w:hAnsi="微软雅黑" w:cs="微软雅黑"/>
          <w:sz w:val="20"/>
          <w:szCs w:val="20"/>
        </w:rPr>
        <w:t>、真实、准确</w:t>
      </w:r>
      <w:r>
        <w:rPr>
          <w:rFonts w:hint="eastAsia" w:ascii="微软雅黑" w:hAnsi="微软雅黑" w:cs="微软雅黑"/>
          <w:sz w:val="20"/>
          <w:szCs w:val="20"/>
          <w:lang w:eastAsia="zh-TW"/>
        </w:rPr>
        <w:t>地填写招标文件中提供的投标</w:t>
      </w:r>
      <w:r>
        <w:rPr>
          <w:rFonts w:hint="eastAsia" w:ascii="微软雅黑" w:hAnsi="微软雅黑" w:cs="微软雅黑"/>
          <w:sz w:val="20"/>
          <w:szCs w:val="20"/>
        </w:rPr>
        <w:t>函</w:t>
      </w:r>
      <w:r>
        <w:rPr>
          <w:rFonts w:hint="eastAsia" w:ascii="微软雅黑" w:hAnsi="微软雅黑" w:cs="微软雅黑"/>
          <w:sz w:val="20"/>
          <w:szCs w:val="20"/>
          <w:lang w:eastAsia="zh-TW"/>
        </w:rPr>
        <w:t>、开标一览表(报价表)、</w:t>
      </w:r>
      <w:r>
        <w:rPr>
          <w:rFonts w:hint="eastAsia" w:ascii="微软雅黑" w:hAnsi="微软雅黑" w:cs="微软雅黑"/>
          <w:sz w:val="20"/>
          <w:szCs w:val="20"/>
        </w:rPr>
        <w:t>项目报价明细表</w:t>
      </w:r>
      <w:r>
        <w:rPr>
          <w:rFonts w:hint="eastAsia" w:ascii="微软雅黑" w:hAnsi="微软雅黑" w:cs="微软雅黑"/>
          <w:sz w:val="20"/>
          <w:szCs w:val="20"/>
          <w:lang w:eastAsia="zh-TW"/>
        </w:rPr>
        <w:t>（如适用）以及招标文件中规定的其它所有内容。</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投标人对招标文件中多个</w:t>
      </w:r>
      <w:r>
        <w:rPr>
          <w:rFonts w:hint="eastAsia" w:ascii="微软雅黑" w:hAnsi="微软雅黑" w:cs="微软雅黑"/>
          <w:sz w:val="20"/>
          <w:szCs w:val="20"/>
        </w:rPr>
        <w:t>包组</w:t>
      </w:r>
      <w:r>
        <w:rPr>
          <w:rFonts w:hint="eastAsia" w:ascii="微软雅黑" w:hAnsi="微软雅黑" w:cs="微软雅黑"/>
          <w:sz w:val="20"/>
          <w:szCs w:val="20"/>
          <w:lang w:eastAsia="zh-TW"/>
        </w:rPr>
        <w:t>进行投标的</w:t>
      </w:r>
      <w:r>
        <w:rPr>
          <w:rFonts w:hint="eastAsia" w:ascii="微软雅黑" w:hAnsi="微软雅黑" w:cs="微软雅黑"/>
          <w:sz w:val="20"/>
          <w:szCs w:val="20"/>
        </w:rPr>
        <w:t>，</w:t>
      </w:r>
      <w:r>
        <w:rPr>
          <w:rFonts w:hint="eastAsia" w:ascii="微软雅黑" w:hAnsi="微软雅黑" w:cs="微软雅黑"/>
          <w:sz w:val="20"/>
          <w:szCs w:val="20"/>
          <w:lang w:eastAsia="zh-TW"/>
        </w:rPr>
        <w:t>其投标文件的编制</w:t>
      </w:r>
      <w:r>
        <w:rPr>
          <w:rFonts w:hint="eastAsia" w:ascii="微软雅黑" w:hAnsi="微软雅黑" w:cs="微软雅黑"/>
          <w:sz w:val="20"/>
          <w:szCs w:val="20"/>
        </w:rPr>
        <w:t>可按</w:t>
      </w:r>
      <w:r>
        <w:rPr>
          <w:rFonts w:hint="eastAsia" w:ascii="微软雅黑" w:hAnsi="微软雅黑" w:cs="微软雅黑"/>
          <w:sz w:val="20"/>
          <w:szCs w:val="20"/>
          <w:lang w:eastAsia="zh-TW"/>
        </w:rPr>
        <w:t>每个</w:t>
      </w:r>
      <w:r>
        <w:rPr>
          <w:rFonts w:hint="eastAsia" w:ascii="微软雅黑" w:hAnsi="微软雅黑" w:cs="微软雅黑"/>
          <w:sz w:val="20"/>
          <w:szCs w:val="20"/>
        </w:rPr>
        <w:t>包组</w:t>
      </w:r>
      <w:r>
        <w:rPr>
          <w:rFonts w:hint="eastAsia" w:ascii="微软雅黑" w:hAnsi="微软雅黑" w:cs="微软雅黑"/>
          <w:sz w:val="20"/>
          <w:szCs w:val="20"/>
          <w:lang w:eastAsia="zh-TW"/>
        </w:rPr>
        <w:t>的要求分别装订和封装。投标人应当对投标文件进行装订，对未经装订的投标文件可能发生的文件散落或缺损，由此造成的后果</w:t>
      </w:r>
      <w:r>
        <w:rPr>
          <w:rFonts w:hint="eastAsia" w:ascii="微软雅黑" w:hAnsi="微软雅黑" w:cs="微软雅黑"/>
          <w:sz w:val="20"/>
          <w:szCs w:val="20"/>
        </w:rPr>
        <w:t>和</w:t>
      </w:r>
      <w:r>
        <w:rPr>
          <w:rFonts w:hint="eastAsia" w:ascii="微软雅黑" w:hAnsi="微软雅黑" w:cs="微软雅黑"/>
          <w:sz w:val="20"/>
          <w:szCs w:val="20"/>
          <w:lang w:eastAsia="zh-TW"/>
        </w:rPr>
        <w:t>责任由投标人承担</w:t>
      </w:r>
      <w:r>
        <w:rPr>
          <w:rFonts w:hint="eastAsia" w:ascii="微软雅黑" w:hAnsi="微软雅黑" w:cs="微软雅黑"/>
          <w:sz w:val="20"/>
          <w:szCs w:val="20"/>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投标人必须对投标文件所提供的全部资料的真实性承担法律责任，并无条件接受招标采购单位及采购监督管理部门等对其中任何资料进行核实的要求。</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如果因为投标人</w:t>
      </w:r>
      <w:r>
        <w:rPr>
          <w:rFonts w:hint="eastAsia" w:ascii="微软雅黑" w:hAnsi="微软雅黑" w:cs="微软雅黑"/>
          <w:sz w:val="20"/>
          <w:szCs w:val="20"/>
        </w:rPr>
        <w:t>的</w:t>
      </w:r>
      <w:r>
        <w:rPr>
          <w:rFonts w:hint="eastAsia" w:ascii="微软雅黑" w:hAnsi="微软雅黑" w:cs="微软雅黑"/>
          <w:sz w:val="20"/>
          <w:szCs w:val="20"/>
          <w:lang w:eastAsia="zh-TW"/>
        </w:rPr>
        <w:t>投标文件只填写和提供了本</w:t>
      </w:r>
      <w:r>
        <w:rPr>
          <w:rFonts w:hint="eastAsia" w:ascii="微软雅黑" w:hAnsi="微软雅黑" w:cs="微软雅黑"/>
          <w:sz w:val="20"/>
          <w:szCs w:val="20"/>
        </w:rPr>
        <w:t>招标</w:t>
      </w:r>
      <w:r>
        <w:rPr>
          <w:rFonts w:hint="eastAsia" w:ascii="微软雅黑" w:hAnsi="微软雅黑" w:cs="微软雅黑"/>
          <w:sz w:val="20"/>
          <w:szCs w:val="20"/>
          <w:lang w:eastAsia="zh-TW"/>
        </w:rPr>
        <w:t>文件要求的部分内容和附件，或没有提供招标文件中所要求的全部资料及数据，由此造成的后果</w:t>
      </w:r>
      <w:r>
        <w:rPr>
          <w:rFonts w:hint="eastAsia" w:ascii="微软雅黑" w:hAnsi="微软雅黑" w:cs="微软雅黑"/>
          <w:sz w:val="20"/>
          <w:szCs w:val="20"/>
        </w:rPr>
        <w:t>和</w:t>
      </w:r>
      <w:r>
        <w:rPr>
          <w:rFonts w:hint="eastAsia" w:ascii="微软雅黑" w:hAnsi="微软雅黑" w:cs="微软雅黑"/>
          <w:sz w:val="20"/>
          <w:szCs w:val="20"/>
          <w:lang w:eastAsia="zh-TW"/>
        </w:rPr>
        <w:t>责任由投标人承担</w:t>
      </w:r>
      <w:r>
        <w:rPr>
          <w:rFonts w:hint="eastAsia" w:ascii="微软雅黑" w:hAnsi="微软雅黑" w:cs="微软雅黑"/>
          <w:sz w:val="20"/>
          <w:szCs w:val="20"/>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42" w:name="_Toc453956636"/>
      <w:bookmarkStart w:id="1243" w:name="_Toc453957396"/>
      <w:r>
        <w:rPr>
          <w:rFonts w:hint="eastAsia" w:ascii="微软雅黑" w:hAnsi="微软雅黑" w:cs="微软雅黑"/>
          <w:b/>
          <w:bCs/>
          <w:sz w:val="20"/>
          <w:szCs w:val="20"/>
        </w:rPr>
        <w:t>投标货币</w:t>
      </w:r>
      <w:bookmarkEnd w:id="1242"/>
      <w:bookmarkEnd w:id="1243"/>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投标人所提供的货物均应以人民币报价。</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44" w:name="_Toc453957397"/>
      <w:bookmarkStart w:id="1245" w:name="_Toc453956637"/>
      <w:r>
        <w:rPr>
          <w:rFonts w:hint="eastAsia" w:ascii="微软雅黑" w:hAnsi="微软雅黑" w:cs="微软雅黑"/>
          <w:b/>
          <w:bCs/>
          <w:sz w:val="20"/>
          <w:szCs w:val="20"/>
        </w:rPr>
        <w:t>联合体投标</w:t>
      </w:r>
      <w:bookmarkEnd w:id="1244"/>
      <w:bookmarkEnd w:id="1245"/>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除非</w:t>
      </w:r>
      <w:r>
        <w:rPr>
          <w:rFonts w:hint="eastAsia" w:ascii="微软雅黑" w:hAnsi="微软雅黑" w:cs="微软雅黑"/>
          <w:b/>
          <w:sz w:val="20"/>
          <w:szCs w:val="20"/>
        </w:rPr>
        <w:t>投标邀请</w:t>
      </w:r>
      <w:r>
        <w:rPr>
          <w:rFonts w:hint="eastAsia" w:ascii="微软雅黑" w:hAnsi="微软雅黑" w:cs="微软雅黑"/>
          <w:sz w:val="20"/>
          <w:szCs w:val="20"/>
        </w:rPr>
        <w:t>中另有规定，不接受联合体投标。如果投标邀请中规定允许联合体投标的，则必须满足：</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 xml:space="preserve">以联合体形式参加投标的，联合体各方均必须符合本须知“合格的投标人”的一般规定，并至少有一方符合“合格的投标人”的特殊条款要求； </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联合体投标的，必须提供各方签订的共同投标协议，明确约定各方承担的工作和相应的责任，由同一专业的单位组成的联合体，按照同一资质等级较低的单位确定资质等级。联合体各方签订共同投标协议后，不得再以自己名义单独在同一项目（或包组）中投标，也不得组成新的联合体参加同一项目（或包组）投标；</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联合体投标的，可以由联合体中的一方或者共同提交投标保证金，以一方名义提交投标保证金的，对联合体各方均具有约束力；</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联合体中标的，联合体各方应当共同与采购人签订合同。</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r>
        <w:rPr>
          <w:rFonts w:hint="eastAsia" w:ascii="微软雅黑" w:hAnsi="微软雅黑" w:cs="微软雅黑"/>
          <w:b/>
          <w:bCs/>
          <w:sz w:val="20"/>
          <w:szCs w:val="20"/>
        </w:rPr>
        <w:t>关于关联企业</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bookmarkStart w:id="1246" w:name="_Toc134955409"/>
      <w:bookmarkStart w:id="1247" w:name="_Toc127930780"/>
      <w:r>
        <w:rPr>
          <w:rFonts w:hint="eastAsia" w:ascii="微软雅黑" w:hAnsi="微软雅黑" w:cs="微软雅黑"/>
          <w:sz w:val="20"/>
          <w:szCs w:val="20"/>
        </w:rPr>
        <w:t>除联合体外，法定代表人或单位负责人为同一个人或者存在直接控股、管理关系的不同投标人，不得同时参加同一项目或同一子项目的投标。如同时参加，则评审时将同时被拒绝。</w:t>
      </w:r>
      <w:bookmarkEnd w:id="1246"/>
      <w:bookmarkEnd w:id="1247"/>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r>
        <w:rPr>
          <w:rFonts w:hint="eastAsia" w:ascii="微软雅黑" w:hAnsi="微软雅黑" w:cs="微软雅黑"/>
          <w:b/>
          <w:bCs/>
          <w:sz w:val="20"/>
          <w:szCs w:val="20"/>
        </w:rPr>
        <w:t xml:space="preserve">关于分公司投标 </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bookmarkStart w:id="1248" w:name="EB389f116341dd4693875bc7987e7327f3"/>
      <w:r>
        <w:rPr>
          <w:rFonts w:hint="eastAsia" w:ascii="微软雅黑" w:hAnsi="微软雅黑" w:cs="微软雅黑"/>
          <w:sz w:val="20"/>
          <w:szCs w:val="20"/>
        </w:rPr>
        <w:t>对可接受分公司投标的项目，分公司投标的，需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bookmarkEnd w:id="1248"/>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r>
        <w:rPr>
          <w:rFonts w:hint="eastAsia" w:ascii="微软雅黑" w:hAnsi="微软雅黑" w:cs="微软雅黑"/>
          <w:b/>
          <w:bCs/>
          <w:sz w:val="20"/>
          <w:szCs w:val="20"/>
        </w:rPr>
        <w:t>关于提供前期服务的投标人</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为采购项目提供整体设计、规范编制或者项目管理、监理、检测等服务的投标人，不得再参加该采购项目的其他采购活动。</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r>
        <w:rPr>
          <w:rFonts w:hint="eastAsia" w:ascii="微软雅黑" w:hAnsi="微软雅黑" w:cs="微软雅黑"/>
          <w:b/>
          <w:bCs/>
          <w:sz w:val="20"/>
          <w:szCs w:val="20"/>
        </w:rPr>
        <w:t>证明投标人合格和资格的文件</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投标人应提交证明其有资格参加投标和中标后有能力履行合同的文件</w:t>
      </w:r>
      <w:r>
        <w:rPr>
          <w:rFonts w:hint="eastAsia" w:ascii="微软雅黑" w:hAnsi="微软雅黑" w:cs="微软雅黑"/>
          <w:sz w:val="20"/>
          <w:szCs w:val="20"/>
        </w:rPr>
        <w:t>，</w:t>
      </w:r>
      <w:r>
        <w:rPr>
          <w:rFonts w:hint="eastAsia" w:ascii="微软雅黑" w:hAnsi="微软雅黑" w:cs="微软雅黑"/>
          <w:sz w:val="20"/>
          <w:szCs w:val="20"/>
          <w:lang w:eastAsia="zh-TW"/>
        </w:rPr>
        <w:t>并作为其投标文件的一部分。如果投标人为联合体</w:t>
      </w:r>
      <w:r>
        <w:rPr>
          <w:rFonts w:hint="eastAsia" w:ascii="微软雅黑" w:hAnsi="微软雅黑" w:cs="微软雅黑"/>
          <w:sz w:val="20"/>
          <w:szCs w:val="20"/>
        </w:rPr>
        <w:t>，</w:t>
      </w:r>
      <w:r>
        <w:rPr>
          <w:rFonts w:hint="eastAsia" w:ascii="微软雅黑" w:hAnsi="微软雅黑" w:cs="微软雅黑"/>
          <w:sz w:val="20"/>
          <w:szCs w:val="20"/>
          <w:lang w:eastAsia="zh-TW"/>
        </w:rPr>
        <w:t>应提交联合体各方的资格证明文件、</w:t>
      </w:r>
      <w:r>
        <w:rPr>
          <w:rFonts w:hint="eastAsia" w:ascii="微软雅黑" w:hAnsi="微软雅黑" w:cs="微软雅黑"/>
          <w:sz w:val="20"/>
          <w:szCs w:val="20"/>
        </w:rPr>
        <w:t>共同投标协议</w:t>
      </w:r>
      <w:r>
        <w:rPr>
          <w:rFonts w:hint="eastAsia" w:ascii="微软雅黑" w:hAnsi="微软雅黑" w:cs="微软雅黑"/>
          <w:sz w:val="20"/>
          <w:szCs w:val="20"/>
          <w:lang w:eastAsia="zh-TW"/>
        </w:rPr>
        <w:t>并注明</w:t>
      </w:r>
      <w:r>
        <w:rPr>
          <w:rFonts w:hint="eastAsia" w:ascii="微软雅黑" w:hAnsi="微软雅黑" w:cs="微软雅黑"/>
          <w:sz w:val="20"/>
          <w:szCs w:val="20"/>
        </w:rPr>
        <w:t>主体方及各方拟承担的工作和责任。</w:t>
      </w:r>
      <w:r>
        <w:rPr>
          <w:rFonts w:hint="eastAsia" w:ascii="微软雅黑" w:hAnsi="微软雅黑" w:cs="微软雅黑"/>
          <w:sz w:val="20"/>
          <w:szCs w:val="20"/>
          <w:lang w:eastAsia="zh-TW"/>
        </w:rPr>
        <w:t>否则</w:t>
      </w:r>
      <w:r>
        <w:rPr>
          <w:rFonts w:hint="eastAsia" w:ascii="微软雅黑" w:hAnsi="微软雅黑" w:cs="微软雅黑"/>
          <w:sz w:val="20"/>
          <w:szCs w:val="20"/>
        </w:rPr>
        <w:t>，</w:t>
      </w:r>
      <w:r>
        <w:rPr>
          <w:rFonts w:hint="eastAsia" w:ascii="微软雅黑" w:hAnsi="微软雅黑" w:cs="微软雅黑"/>
          <w:sz w:val="20"/>
          <w:szCs w:val="20"/>
          <w:lang w:eastAsia="zh-TW"/>
        </w:rPr>
        <w:t>将导致其投标</w:t>
      </w:r>
      <w:r>
        <w:rPr>
          <w:rFonts w:hint="eastAsia" w:ascii="微软雅黑" w:hAnsi="微软雅黑" w:cs="微软雅黑"/>
          <w:sz w:val="20"/>
          <w:szCs w:val="20"/>
        </w:rPr>
        <w:t>无效。</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投标人提交的资格证明文件应证明其</w:t>
      </w:r>
      <w:r>
        <w:rPr>
          <w:rFonts w:hint="eastAsia" w:ascii="微软雅黑" w:hAnsi="微软雅黑" w:cs="微软雅黑"/>
          <w:sz w:val="20"/>
          <w:szCs w:val="20"/>
        </w:rPr>
        <w:t>满足</w:t>
      </w:r>
      <w:r>
        <w:rPr>
          <w:rFonts w:hint="eastAsia" w:ascii="微软雅黑" w:hAnsi="微软雅黑" w:cs="微软雅黑"/>
          <w:sz w:val="20"/>
          <w:szCs w:val="20"/>
          <w:lang w:eastAsia="zh-TW"/>
        </w:rPr>
        <w:t>本须知定义的合格投标人。</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49" w:name="_Toc453957399"/>
      <w:bookmarkStart w:id="1250" w:name="_Toc453956639"/>
      <w:r>
        <w:rPr>
          <w:rFonts w:hint="eastAsia" w:ascii="微软雅黑" w:hAnsi="微软雅黑" w:cs="微软雅黑"/>
          <w:b/>
          <w:bCs/>
          <w:sz w:val="20"/>
          <w:szCs w:val="20"/>
        </w:rPr>
        <w:t>证明服务的合格性和符合招标文件规定的文件</w:t>
      </w:r>
      <w:bookmarkEnd w:id="1249"/>
      <w:bookmarkEnd w:id="1250"/>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投标人应提交证明文件，证明其拟投标的服务的合格性符合招标文件规定。该证明文件作为投标文件的一部分。 </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证明服务与招标文件的要求相一致的文件，可以是文字资料、图纸和数据，它包括： 服务主要内容、方案、质量、标准指标等的详细说明； </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 </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51" w:name="_Toc453956640"/>
      <w:bookmarkStart w:id="1252" w:name="_Toc453957400"/>
      <w:r>
        <w:rPr>
          <w:rFonts w:hint="eastAsia" w:ascii="微软雅黑" w:hAnsi="微软雅黑" w:cs="微软雅黑"/>
          <w:b/>
          <w:bCs/>
          <w:sz w:val="20"/>
          <w:szCs w:val="20"/>
        </w:rPr>
        <w:t>投标保证金</w:t>
      </w:r>
      <w:bookmarkEnd w:id="1251"/>
      <w:bookmarkEnd w:id="1252"/>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投标人应</w:t>
      </w:r>
      <w:r>
        <w:rPr>
          <w:rFonts w:hint="eastAsia" w:ascii="微软雅黑" w:hAnsi="微软雅黑" w:cs="微软雅黑"/>
          <w:sz w:val="20"/>
          <w:szCs w:val="20"/>
        </w:rPr>
        <w:t>按</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中规定</w:t>
      </w:r>
      <w:r>
        <w:rPr>
          <w:rFonts w:hint="eastAsia" w:ascii="微软雅黑" w:hAnsi="微软雅黑" w:cs="微软雅黑"/>
          <w:sz w:val="20"/>
          <w:szCs w:val="20"/>
        </w:rPr>
        <w:t>的金</w:t>
      </w:r>
      <w:r>
        <w:rPr>
          <w:rFonts w:hint="eastAsia" w:ascii="微软雅黑" w:hAnsi="微软雅黑" w:cs="微软雅黑"/>
          <w:sz w:val="20"/>
          <w:szCs w:val="20"/>
          <w:lang w:eastAsia="zh-TW"/>
        </w:rPr>
        <w:t>额</w:t>
      </w:r>
      <w:r>
        <w:rPr>
          <w:rFonts w:hint="eastAsia" w:ascii="微软雅黑" w:hAnsi="微软雅黑" w:cs="微软雅黑"/>
          <w:sz w:val="20"/>
          <w:szCs w:val="20"/>
        </w:rPr>
        <w:t>和期限缴纳</w:t>
      </w:r>
      <w:r>
        <w:rPr>
          <w:rFonts w:hint="eastAsia" w:ascii="微软雅黑" w:hAnsi="微软雅黑" w:cs="微软雅黑"/>
          <w:sz w:val="20"/>
          <w:szCs w:val="20"/>
          <w:lang w:eastAsia="zh-TW"/>
        </w:rPr>
        <w:t>投标保证金</w:t>
      </w:r>
      <w:r>
        <w:rPr>
          <w:rFonts w:hint="eastAsia" w:ascii="微软雅黑" w:hAnsi="微软雅黑" w:cs="微软雅黑"/>
          <w:sz w:val="20"/>
          <w:szCs w:val="20"/>
        </w:rPr>
        <w:t>，</w:t>
      </w:r>
      <w:r>
        <w:rPr>
          <w:rFonts w:hint="eastAsia" w:ascii="微软雅黑" w:hAnsi="微软雅黑" w:cs="微软雅黑"/>
          <w:sz w:val="20"/>
          <w:szCs w:val="20"/>
          <w:lang w:eastAsia="zh-TW"/>
        </w:rPr>
        <w:t>并作为其投标</w:t>
      </w:r>
      <w:r>
        <w:rPr>
          <w:rFonts w:hint="eastAsia" w:ascii="微软雅黑" w:hAnsi="微软雅黑" w:cs="微软雅黑"/>
          <w:sz w:val="20"/>
          <w:szCs w:val="20"/>
        </w:rPr>
        <w:t>文件的组成</w:t>
      </w:r>
      <w:r>
        <w:rPr>
          <w:rFonts w:hint="eastAsia" w:ascii="微软雅黑" w:hAnsi="微软雅黑" w:cs="微软雅黑"/>
          <w:sz w:val="20"/>
          <w:szCs w:val="20"/>
          <w:lang w:eastAsia="zh-TW"/>
        </w:rPr>
        <w:t>部分。</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如无质疑或投诉，未中标的投标人保证金，在</w:t>
      </w:r>
      <w:r>
        <w:rPr>
          <w:rFonts w:hint="eastAsia" w:ascii="微软雅黑" w:hAnsi="微软雅黑" w:cs="微软雅黑"/>
          <w:sz w:val="20"/>
          <w:szCs w:val="20"/>
        </w:rPr>
        <w:t>中标结果公示完后</w:t>
      </w:r>
      <w:r>
        <w:rPr>
          <w:rFonts w:hint="eastAsia" w:ascii="微软雅黑" w:hAnsi="微软雅黑" w:cs="微软雅黑"/>
          <w:sz w:val="20"/>
          <w:szCs w:val="20"/>
          <w:lang w:eastAsia="zh-TW"/>
        </w:rPr>
        <w:t>五个工作日内不计利息原额退还；如有质疑或投诉，招标采购单位将在质疑和投诉处理完毕后不计利息原额退还。</w:t>
      </w:r>
    </w:p>
    <w:p>
      <w:pPr>
        <w:widowControl w:val="0"/>
        <w:numPr>
          <w:ilvl w:val="1"/>
          <w:numId w:val="16"/>
        </w:numPr>
        <w:autoSpaceDE w:val="0"/>
        <w:autoSpaceDN w:val="0"/>
        <w:spacing w:after="0" w:line="360" w:lineRule="auto"/>
        <w:jc w:val="both"/>
        <w:rPr>
          <w:rFonts w:ascii="微软雅黑" w:hAnsi="微软雅黑" w:cs="微软雅黑"/>
          <w:b/>
          <w:sz w:val="20"/>
          <w:szCs w:val="20"/>
          <w:lang w:eastAsia="zh-TW"/>
        </w:rPr>
      </w:pPr>
      <w:r>
        <w:rPr>
          <w:rFonts w:hint="eastAsia" w:ascii="微软雅黑" w:hAnsi="微软雅黑" w:cs="微软雅黑"/>
          <w:sz w:val="20"/>
          <w:szCs w:val="20"/>
          <w:lang w:eastAsia="zh-TW"/>
        </w:rPr>
        <w:t>中标人的投标保证金余额，在中标人与采购人签订采购合同后五个工作日内</w:t>
      </w:r>
      <w:r>
        <w:rPr>
          <w:rFonts w:hint="eastAsia" w:ascii="微软雅黑" w:hAnsi="微软雅黑" w:cs="微软雅黑"/>
          <w:sz w:val="20"/>
          <w:szCs w:val="20"/>
          <w:highlight w:val="yellow"/>
          <w:lang w:eastAsia="zh-TW"/>
        </w:rPr>
        <w:t>不计利息原路退还</w:t>
      </w:r>
      <w:r>
        <w:rPr>
          <w:rFonts w:hint="eastAsia" w:ascii="微软雅黑" w:hAnsi="微软雅黑" w:cs="微软雅黑"/>
          <w:b/>
          <w:sz w:val="20"/>
          <w:szCs w:val="20"/>
          <w:highlight w:val="yellow"/>
          <w:lang w:eastAsia="zh-TW"/>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下列任一情况发生时</w:t>
      </w:r>
      <w:r>
        <w:rPr>
          <w:rFonts w:hint="eastAsia" w:ascii="微软雅黑" w:hAnsi="微软雅黑" w:cs="微软雅黑"/>
          <w:sz w:val="20"/>
          <w:szCs w:val="20"/>
        </w:rPr>
        <w:t>，</w:t>
      </w:r>
      <w:r>
        <w:rPr>
          <w:rFonts w:hint="eastAsia" w:ascii="微软雅黑" w:hAnsi="微软雅黑" w:cs="微软雅黑"/>
          <w:sz w:val="20"/>
          <w:szCs w:val="20"/>
          <w:lang w:eastAsia="zh-TW"/>
        </w:rPr>
        <w:t>投标保证金将不予退还：</w:t>
      </w:r>
    </w:p>
    <w:p>
      <w:pPr>
        <w:widowControl w:val="0"/>
        <w:numPr>
          <w:ilvl w:val="2"/>
          <w:numId w:val="16"/>
        </w:numPr>
        <w:tabs>
          <w:tab w:val="left" w:pos="851"/>
          <w:tab w:val="left" w:pos="1134"/>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投标人在招标文件中规定的投标有效期内撤回其投标</w:t>
      </w:r>
      <w:r>
        <w:rPr>
          <w:rFonts w:hint="eastAsia" w:ascii="微软雅黑" w:hAnsi="微软雅黑" w:cs="微软雅黑"/>
          <w:sz w:val="20"/>
          <w:szCs w:val="20"/>
        </w:rPr>
        <w:t>；</w:t>
      </w:r>
    </w:p>
    <w:p>
      <w:pPr>
        <w:widowControl w:val="0"/>
        <w:numPr>
          <w:ilvl w:val="2"/>
          <w:numId w:val="16"/>
        </w:numPr>
        <w:tabs>
          <w:tab w:val="left" w:pos="851"/>
          <w:tab w:val="left" w:pos="1134"/>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中标后无正当理由放弃中标或中标人在规定期限内未能根据本须知规定签订合同</w:t>
      </w:r>
      <w:r>
        <w:rPr>
          <w:rFonts w:hint="eastAsia" w:ascii="微软雅黑" w:hAnsi="微软雅黑" w:cs="微软雅黑"/>
          <w:sz w:val="20"/>
          <w:szCs w:val="20"/>
        </w:rPr>
        <w:t>；</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lang w:eastAsia="zh-TW"/>
        </w:rPr>
      </w:pPr>
      <w:r>
        <w:rPr>
          <w:rFonts w:hint="eastAsia" w:ascii="微软雅黑" w:hAnsi="微软雅黑" w:cs="微软雅黑"/>
          <w:sz w:val="20"/>
          <w:szCs w:val="20"/>
          <w:lang w:eastAsia="zh-TW"/>
        </w:rPr>
        <w:t>将中标项目转让给他人，或者在投标文件中未说明，且未经采购人同意，违反招标文件规定，将中标项目分包给他人的</w:t>
      </w:r>
      <w:r>
        <w:rPr>
          <w:rFonts w:hint="eastAsia" w:ascii="微软雅黑" w:hAnsi="微软雅黑" w:cs="微软雅黑"/>
          <w:sz w:val="20"/>
          <w:szCs w:val="20"/>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53" w:name="_Toc293507823"/>
      <w:bookmarkEnd w:id="1253"/>
      <w:bookmarkStart w:id="1254" w:name="_Toc293506740"/>
      <w:bookmarkEnd w:id="1254"/>
      <w:bookmarkStart w:id="1255" w:name="_Toc293507825"/>
      <w:bookmarkEnd w:id="1255"/>
      <w:bookmarkStart w:id="1256" w:name="_Toc293507719"/>
      <w:bookmarkEnd w:id="1256"/>
      <w:bookmarkStart w:id="1257" w:name="_Toc293507720"/>
      <w:bookmarkEnd w:id="1257"/>
      <w:bookmarkStart w:id="1258" w:name="_Toc293507718"/>
      <w:bookmarkEnd w:id="1258"/>
      <w:bookmarkStart w:id="1259" w:name="_Toc293506742"/>
      <w:bookmarkEnd w:id="1259"/>
      <w:bookmarkStart w:id="1260" w:name="_Toc294000387"/>
      <w:bookmarkEnd w:id="1260"/>
      <w:bookmarkStart w:id="1261" w:name="_Toc293507625"/>
      <w:bookmarkEnd w:id="1261"/>
      <w:bookmarkStart w:id="1262" w:name="_Toc293506683"/>
      <w:bookmarkEnd w:id="1262"/>
      <w:bookmarkStart w:id="1263" w:name="_Toc293507717"/>
      <w:bookmarkEnd w:id="1263"/>
      <w:bookmarkStart w:id="1264" w:name="_Toc293506682"/>
      <w:bookmarkEnd w:id="1264"/>
      <w:bookmarkStart w:id="1265" w:name="_Toc293507624"/>
      <w:bookmarkEnd w:id="1265"/>
      <w:bookmarkStart w:id="1266" w:name="_Toc294000388"/>
      <w:bookmarkEnd w:id="1266"/>
      <w:bookmarkStart w:id="1267" w:name="_Toc294000390"/>
      <w:bookmarkEnd w:id="1267"/>
      <w:bookmarkStart w:id="1268" w:name="_Toc293506680"/>
      <w:bookmarkEnd w:id="1268"/>
      <w:bookmarkStart w:id="1269" w:name="_Toc293506741"/>
      <w:bookmarkEnd w:id="1269"/>
      <w:bookmarkStart w:id="1270" w:name="_Toc293507826"/>
      <w:bookmarkEnd w:id="1270"/>
      <w:bookmarkStart w:id="1271" w:name="_Toc293506681"/>
      <w:bookmarkEnd w:id="1271"/>
      <w:bookmarkStart w:id="1272" w:name="_Toc293506743"/>
      <w:bookmarkEnd w:id="1272"/>
      <w:bookmarkStart w:id="1273" w:name="_Toc293507626"/>
      <w:bookmarkEnd w:id="1273"/>
      <w:bookmarkStart w:id="1274" w:name="_Toc293507627"/>
      <w:bookmarkEnd w:id="1274"/>
      <w:bookmarkStart w:id="1275" w:name="_Toc294000389"/>
      <w:bookmarkEnd w:id="1275"/>
      <w:bookmarkStart w:id="1276" w:name="_Toc293507824"/>
      <w:bookmarkEnd w:id="1276"/>
      <w:bookmarkStart w:id="1277" w:name="_Toc453956641"/>
      <w:bookmarkStart w:id="1278" w:name="_Toc453957401"/>
      <w:r>
        <w:rPr>
          <w:rFonts w:hint="eastAsia" w:ascii="微软雅黑" w:hAnsi="微软雅黑" w:cs="微软雅黑"/>
          <w:b/>
          <w:bCs/>
          <w:sz w:val="20"/>
          <w:szCs w:val="20"/>
        </w:rPr>
        <w:t>投标有效期</w:t>
      </w:r>
      <w:bookmarkEnd w:id="1277"/>
      <w:bookmarkEnd w:id="1278"/>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投标应自</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中规定的</w:t>
      </w:r>
      <w:r>
        <w:rPr>
          <w:rFonts w:hint="eastAsia" w:ascii="微软雅黑" w:hAnsi="微软雅黑" w:cs="微软雅黑"/>
          <w:sz w:val="20"/>
          <w:szCs w:val="20"/>
        </w:rPr>
        <w:t>投标文件递交截止时间</w:t>
      </w:r>
      <w:r>
        <w:rPr>
          <w:rFonts w:hint="eastAsia" w:ascii="微软雅黑" w:hAnsi="微软雅黑" w:cs="微软雅黑"/>
          <w:sz w:val="20"/>
          <w:szCs w:val="20"/>
          <w:lang w:eastAsia="zh-TW"/>
        </w:rPr>
        <w:t>起</w:t>
      </w:r>
      <w:r>
        <w:rPr>
          <w:rFonts w:hint="eastAsia" w:ascii="微软雅黑" w:hAnsi="微软雅黑" w:cs="微软雅黑"/>
          <w:sz w:val="20"/>
          <w:szCs w:val="20"/>
        </w:rPr>
        <w:t>，</w:t>
      </w:r>
      <w:r>
        <w:rPr>
          <w:rFonts w:hint="eastAsia" w:ascii="微软雅黑" w:hAnsi="微软雅黑" w:cs="微软雅黑"/>
          <w:sz w:val="20"/>
          <w:szCs w:val="20"/>
          <w:lang w:eastAsia="zh-TW"/>
        </w:rPr>
        <w:t>并在</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中所述期限内保持有效。投标有效期不足的投标将被视为非实质性响应</w:t>
      </w:r>
      <w:r>
        <w:rPr>
          <w:rFonts w:hint="eastAsia" w:ascii="微软雅黑" w:hAnsi="微软雅黑" w:cs="微软雅黑"/>
          <w:sz w:val="20"/>
          <w:szCs w:val="20"/>
        </w:rPr>
        <w:t>，视为无效投标</w:t>
      </w:r>
      <w:r>
        <w:rPr>
          <w:rFonts w:hint="eastAsia" w:ascii="微软雅黑" w:hAnsi="微软雅黑" w:cs="微软雅黑"/>
          <w:sz w:val="20"/>
          <w:szCs w:val="20"/>
          <w:lang w:eastAsia="zh-TW"/>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特殊情况下</w:t>
      </w:r>
      <w:r>
        <w:rPr>
          <w:rFonts w:hint="eastAsia" w:ascii="微软雅黑" w:hAnsi="微软雅黑" w:cs="微软雅黑"/>
          <w:sz w:val="20"/>
          <w:szCs w:val="20"/>
        </w:rPr>
        <w:t>，</w:t>
      </w:r>
      <w:r>
        <w:rPr>
          <w:rFonts w:hint="eastAsia" w:ascii="微软雅黑" w:hAnsi="微软雅黑" w:cs="微软雅黑"/>
          <w:sz w:val="20"/>
          <w:szCs w:val="20"/>
          <w:lang w:eastAsia="zh-TW"/>
        </w:rPr>
        <w:t>在原投标有效期截止之前</w:t>
      </w:r>
      <w:r>
        <w:rPr>
          <w:rFonts w:hint="eastAsia" w:ascii="微软雅黑" w:hAnsi="微软雅黑" w:cs="微软雅黑"/>
          <w:sz w:val="20"/>
          <w:szCs w:val="20"/>
        </w:rPr>
        <w:t>，</w:t>
      </w:r>
      <w:r>
        <w:rPr>
          <w:rFonts w:hint="eastAsia" w:ascii="微软雅黑" w:hAnsi="微软雅黑" w:cs="微软雅黑"/>
          <w:sz w:val="20"/>
          <w:szCs w:val="20"/>
          <w:lang w:eastAsia="zh-TW"/>
        </w:rPr>
        <w:t>采购代理机构可要求投标人延长投标有效期。这种要求与答复均应以书面形式提交。投标人可拒绝采购代理机构的这种要求</w:t>
      </w:r>
      <w:r>
        <w:rPr>
          <w:rFonts w:hint="eastAsia" w:ascii="微软雅黑" w:hAnsi="微软雅黑" w:cs="微软雅黑"/>
          <w:sz w:val="20"/>
          <w:szCs w:val="20"/>
        </w:rPr>
        <w:t>，</w:t>
      </w:r>
      <w:r>
        <w:rPr>
          <w:rFonts w:hint="eastAsia" w:ascii="微软雅黑" w:hAnsi="微软雅黑" w:cs="微软雅黑"/>
          <w:sz w:val="20"/>
          <w:szCs w:val="20"/>
          <w:lang w:eastAsia="zh-TW"/>
        </w:rPr>
        <w:t>其投标保证金将不会被没收</w:t>
      </w:r>
      <w:r>
        <w:rPr>
          <w:rFonts w:hint="eastAsia" w:ascii="微软雅黑" w:hAnsi="微软雅黑" w:cs="微软雅黑"/>
          <w:sz w:val="20"/>
          <w:szCs w:val="20"/>
        </w:rPr>
        <w:t>，</w:t>
      </w:r>
      <w:r>
        <w:rPr>
          <w:rFonts w:hint="eastAsia" w:ascii="微软雅黑" w:hAnsi="微软雅黑" w:cs="微软雅黑"/>
          <w:sz w:val="20"/>
          <w:szCs w:val="20"/>
          <w:lang w:eastAsia="zh-TW"/>
        </w:rPr>
        <w:t>但其投标在原投标有效期期满后将不再有效。同意延长投标有效期的投标人将不会被要求和允许修正其投标</w:t>
      </w:r>
      <w:r>
        <w:rPr>
          <w:rFonts w:hint="eastAsia" w:ascii="微软雅黑" w:hAnsi="微软雅黑" w:cs="微软雅黑"/>
          <w:sz w:val="20"/>
          <w:szCs w:val="20"/>
        </w:rPr>
        <w:t>，</w:t>
      </w:r>
      <w:r>
        <w:rPr>
          <w:rFonts w:hint="eastAsia" w:ascii="微软雅黑" w:hAnsi="微软雅黑" w:cs="微软雅黑"/>
          <w:sz w:val="20"/>
          <w:szCs w:val="20"/>
          <w:lang w:eastAsia="zh-TW"/>
        </w:rPr>
        <w:t>而只会被要求相应地延长其投标保证金的有效期。在这种情况下</w:t>
      </w:r>
      <w:r>
        <w:rPr>
          <w:rFonts w:hint="eastAsia" w:ascii="微软雅黑" w:hAnsi="微软雅黑" w:cs="微软雅黑"/>
          <w:sz w:val="20"/>
          <w:szCs w:val="20"/>
        </w:rPr>
        <w:t>，</w:t>
      </w:r>
      <w:r>
        <w:rPr>
          <w:rFonts w:hint="eastAsia" w:ascii="微软雅黑" w:hAnsi="微软雅黑" w:cs="微软雅黑"/>
          <w:sz w:val="20"/>
          <w:szCs w:val="20"/>
          <w:lang w:eastAsia="zh-TW"/>
        </w:rPr>
        <w:t>本须知有关投标保证金的退还和没收的规定将在延长了的有效期内继续有效。</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79" w:name="_Toc453956642"/>
      <w:bookmarkStart w:id="1280" w:name="_Toc453957402"/>
      <w:r>
        <w:rPr>
          <w:rFonts w:hint="eastAsia" w:ascii="微软雅黑" w:hAnsi="微软雅黑" w:cs="微软雅黑"/>
          <w:b/>
          <w:bCs/>
          <w:sz w:val="20"/>
          <w:szCs w:val="20"/>
        </w:rPr>
        <w:t>投标文件的式样和签署</w:t>
      </w:r>
      <w:bookmarkEnd w:id="1279"/>
      <w:bookmarkEnd w:id="1280"/>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投标文件的式样：投标人应准备一份投标文件正本</w:t>
      </w:r>
      <w:r>
        <w:rPr>
          <w:rFonts w:hint="eastAsia" w:ascii="微软雅黑" w:hAnsi="微软雅黑" w:cs="微软雅黑"/>
          <w:sz w:val="20"/>
          <w:szCs w:val="20"/>
        </w:rPr>
        <w:t>、电子文件</w:t>
      </w:r>
      <w:r>
        <w:rPr>
          <w:rFonts w:hint="eastAsia" w:ascii="微软雅黑" w:hAnsi="微软雅黑" w:cs="微软雅黑"/>
          <w:sz w:val="20"/>
          <w:szCs w:val="20"/>
          <w:lang w:eastAsia="zh-TW"/>
        </w:rPr>
        <w:t>和</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中规定数目的副本</w:t>
      </w:r>
      <w:r>
        <w:rPr>
          <w:rFonts w:hint="eastAsia" w:ascii="微软雅黑" w:hAnsi="微软雅黑" w:cs="微软雅黑"/>
          <w:sz w:val="20"/>
          <w:szCs w:val="20"/>
        </w:rPr>
        <w:t>，</w:t>
      </w:r>
      <w:r>
        <w:rPr>
          <w:rFonts w:hint="eastAsia" w:ascii="微软雅黑" w:hAnsi="微软雅黑" w:cs="微软雅黑"/>
          <w:sz w:val="20"/>
          <w:szCs w:val="20"/>
          <w:lang w:eastAsia="zh-TW"/>
        </w:rPr>
        <w:t>投标文件的副本可采用正本的复印件。每套投标文件须清楚地标明“正本”或</w:t>
      </w:r>
      <w:r>
        <w:rPr>
          <w:rFonts w:hint="eastAsia" w:ascii="微软雅黑" w:hAnsi="微软雅黑" w:cs="微软雅黑"/>
          <w:sz w:val="20"/>
          <w:szCs w:val="20"/>
        </w:rPr>
        <w:t>“副</w:t>
      </w:r>
      <w:r>
        <w:rPr>
          <w:rFonts w:hint="eastAsia" w:ascii="微软雅黑" w:hAnsi="微软雅黑" w:cs="微软雅黑"/>
          <w:sz w:val="20"/>
          <w:szCs w:val="20"/>
          <w:lang w:eastAsia="zh-TW"/>
        </w:rPr>
        <w:t>本</w:t>
      </w:r>
      <w:r>
        <w:rPr>
          <w:rFonts w:hint="eastAsia" w:ascii="微软雅黑" w:hAnsi="微软雅黑" w:cs="微软雅黑"/>
          <w:sz w:val="20"/>
          <w:szCs w:val="20"/>
        </w:rPr>
        <w:t>”</w:t>
      </w:r>
      <w:r>
        <w:rPr>
          <w:rFonts w:hint="eastAsia" w:ascii="微软雅黑" w:hAnsi="微软雅黑" w:cs="微软雅黑"/>
          <w:sz w:val="20"/>
          <w:szCs w:val="20"/>
          <w:lang w:eastAsia="zh-TW"/>
        </w:rPr>
        <w:t>。若副本与正本不符</w:t>
      </w:r>
      <w:r>
        <w:rPr>
          <w:rFonts w:hint="eastAsia" w:ascii="微软雅黑" w:hAnsi="微软雅黑" w:cs="微软雅黑"/>
          <w:sz w:val="20"/>
          <w:szCs w:val="20"/>
        </w:rPr>
        <w:t>，</w:t>
      </w:r>
      <w:r>
        <w:rPr>
          <w:rFonts w:hint="eastAsia" w:ascii="微软雅黑" w:hAnsi="微软雅黑" w:cs="微软雅黑"/>
          <w:sz w:val="20"/>
          <w:szCs w:val="20"/>
          <w:lang w:eastAsia="zh-TW"/>
        </w:rPr>
        <w:t>以正本为准。</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投标文件的签署：</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lang w:eastAsia="zh-TW"/>
        </w:rPr>
        <w:t>投标文件的正本需打印或用不褪色墨水书写</w:t>
      </w:r>
      <w:r>
        <w:rPr>
          <w:rFonts w:hint="eastAsia" w:ascii="微软雅黑" w:hAnsi="微软雅黑" w:cs="微软雅黑"/>
          <w:sz w:val="20"/>
          <w:szCs w:val="20"/>
        </w:rPr>
        <w:t>，招标文件要求签名的</w:t>
      </w:r>
      <w:r>
        <w:rPr>
          <w:rFonts w:hint="eastAsia" w:ascii="微软雅黑" w:hAnsi="微软雅黑" w:cs="微软雅黑"/>
          <w:sz w:val="20"/>
          <w:szCs w:val="20"/>
          <w:lang w:eastAsia="zh-TW"/>
        </w:rPr>
        <w:t>由</w:t>
      </w:r>
      <w:r>
        <w:rPr>
          <w:rFonts w:hint="eastAsia" w:ascii="微软雅黑" w:hAnsi="微软雅黑" w:cs="微软雅黑"/>
          <w:sz w:val="20"/>
          <w:szCs w:val="20"/>
        </w:rPr>
        <w:t>法定</w:t>
      </w:r>
      <w:r>
        <w:rPr>
          <w:rFonts w:hint="eastAsia" w:ascii="微软雅黑" w:hAnsi="微软雅黑" w:cs="微软雅黑"/>
          <w:sz w:val="20"/>
          <w:szCs w:val="20"/>
          <w:lang w:eastAsia="zh-TW"/>
        </w:rPr>
        <w:t>代表人或经其正式授权的代表签字</w:t>
      </w:r>
      <w:r>
        <w:rPr>
          <w:rFonts w:hint="eastAsia" w:ascii="微软雅黑" w:hAnsi="微软雅黑" w:cs="微软雅黑"/>
          <w:sz w:val="20"/>
          <w:szCs w:val="20"/>
        </w:rPr>
        <w:t>，投标文件每一页均要求加盖投标人公章，副本可以复印，与正本具有同等法律效力</w:t>
      </w:r>
      <w:r>
        <w:rPr>
          <w:rFonts w:hint="eastAsia" w:ascii="微软雅黑" w:hAnsi="微软雅黑" w:cs="微软雅黑"/>
          <w:sz w:val="20"/>
          <w:szCs w:val="20"/>
          <w:lang w:eastAsia="zh-TW"/>
        </w:rPr>
        <w:t>。授权代表须将以书面形式出具的《法定代表人授权</w:t>
      </w:r>
      <w:r>
        <w:rPr>
          <w:rFonts w:hint="eastAsia" w:ascii="微软雅黑" w:hAnsi="微软雅黑" w:cs="微软雅黑"/>
          <w:sz w:val="20"/>
          <w:szCs w:val="20"/>
        </w:rPr>
        <w:t>委托</w:t>
      </w:r>
      <w:r>
        <w:rPr>
          <w:rFonts w:hint="eastAsia" w:ascii="微软雅黑" w:hAnsi="微软雅黑" w:cs="微软雅黑"/>
          <w:sz w:val="20"/>
          <w:szCs w:val="20"/>
          <w:lang w:eastAsia="zh-TW"/>
        </w:rPr>
        <w:t>书》附在</w:t>
      </w:r>
      <w:r>
        <w:rPr>
          <w:rFonts w:hint="eastAsia" w:ascii="微软雅黑" w:hAnsi="微软雅黑" w:cs="微软雅黑"/>
          <w:sz w:val="20"/>
          <w:szCs w:val="20"/>
        </w:rPr>
        <w:t>投</w:t>
      </w:r>
      <w:r>
        <w:rPr>
          <w:rFonts w:hint="eastAsia" w:ascii="微软雅黑" w:hAnsi="微软雅黑" w:cs="微软雅黑"/>
          <w:sz w:val="20"/>
          <w:szCs w:val="20"/>
          <w:lang w:eastAsia="zh-TW"/>
        </w:rPr>
        <w:t>标文件中</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lang w:eastAsia="zh-TW"/>
        </w:rPr>
      </w:pPr>
      <w:r>
        <w:rPr>
          <w:rFonts w:hint="eastAsia" w:ascii="微软雅黑" w:hAnsi="微软雅黑" w:cs="微软雅黑"/>
          <w:sz w:val="20"/>
          <w:szCs w:val="20"/>
          <w:lang w:eastAsia="zh-TW"/>
        </w:rPr>
        <w:t>投标文件中的任何重要的插字、涂改和增删，必须由法定代表人或经其正式授权的代表在旁边签章或签字才有效。</w:t>
      </w:r>
    </w:p>
    <w:p>
      <w:pPr>
        <w:spacing w:beforeLines="100" w:afterLines="100" w:line="360" w:lineRule="auto"/>
        <w:jc w:val="center"/>
        <w:outlineLvl w:val="0"/>
        <w:rPr>
          <w:rFonts w:ascii="宋体" w:hAnsi="宋体" w:cs="楷体_GB2312"/>
          <w:b/>
          <w:sz w:val="28"/>
          <w:szCs w:val="28"/>
          <w:lang w:eastAsia="zh-TW"/>
        </w:rPr>
      </w:pPr>
      <w:bookmarkStart w:id="1281" w:name="_Toc453957403"/>
      <w:bookmarkStart w:id="1282" w:name="_Toc453956643"/>
      <w:r>
        <w:rPr>
          <w:rFonts w:hint="eastAsia" w:ascii="宋体" w:hAnsi="宋体" w:cs="楷体_GB2312"/>
          <w:b/>
          <w:sz w:val="28"/>
          <w:szCs w:val="28"/>
          <w:lang w:eastAsia="zh-TW"/>
        </w:rPr>
        <w:t>四、投标文件的递交</w:t>
      </w:r>
      <w:bookmarkEnd w:id="1281"/>
      <w:bookmarkEnd w:id="1282"/>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83" w:name="_Toc453956644"/>
      <w:bookmarkStart w:id="1284" w:name="_Toc453957404"/>
      <w:r>
        <w:rPr>
          <w:rFonts w:hint="eastAsia" w:ascii="微软雅黑" w:hAnsi="微软雅黑" w:cs="微软雅黑"/>
          <w:b/>
          <w:bCs/>
          <w:sz w:val="20"/>
          <w:szCs w:val="20"/>
        </w:rPr>
        <w:t>投标文件的密封和标记</w:t>
      </w:r>
      <w:bookmarkEnd w:id="1283"/>
      <w:bookmarkEnd w:id="1284"/>
    </w:p>
    <w:p>
      <w:pPr>
        <w:widowControl w:val="0"/>
        <w:numPr>
          <w:ilvl w:val="1"/>
          <w:numId w:val="16"/>
        </w:numPr>
        <w:autoSpaceDE w:val="0"/>
        <w:autoSpaceDN w:val="0"/>
        <w:spacing w:after="0" w:line="360" w:lineRule="auto"/>
        <w:jc w:val="both"/>
        <w:rPr>
          <w:rFonts w:ascii="微软雅黑" w:hAnsi="微软雅黑" w:cs="微软雅黑"/>
          <w:b/>
          <w:bCs/>
          <w:dstrike/>
          <w:sz w:val="20"/>
          <w:szCs w:val="20"/>
        </w:rPr>
      </w:pPr>
      <w:r>
        <w:rPr>
          <w:rFonts w:hint="eastAsia" w:ascii="微软雅黑" w:hAnsi="微软雅黑" w:cs="微软雅黑"/>
          <w:sz w:val="20"/>
          <w:szCs w:val="20"/>
          <w:lang w:eastAsia="zh-TW"/>
        </w:rPr>
        <w:t>为方便开标唱标</w:t>
      </w:r>
      <w:r>
        <w:rPr>
          <w:rFonts w:hint="eastAsia" w:ascii="微软雅黑" w:hAnsi="微软雅黑" w:cs="微软雅黑"/>
          <w:sz w:val="20"/>
          <w:szCs w:val="20"/>
        </w:rPr>
        <w:t>，</w:t>
      </w:r>
      <w:r>
        <w:rPr>
          <w:rFonts w:hint="eastAsia" w:ascii="微软雅黑" w:hAnsi="微软雅黑" w:cs="微软雅黑"/>
          <w:sz w:val="20"/>
          <w:szCs w:val="20"/>
          <w:lang w:eastAsia="zh-TW"/>
        </w:rPr>
        <w:t>投标人应将开标一览表(报价表)</w:t>
      </w:r>
      <w:r>
        <w:rPr>
          <w:rFonts w:hint="eastAsia" w:ascii="微软雅黑" w:hAnsi="微软雅黑" w:cs="微软雅黑"/>
          <w:sz w:val="20"/>
          <w:szCs w:val="20"/>
        </w:rPr>
        <w:t>、</w:t>
      </w:r>
      <w:r>
        <w:rPr>
          <w:rFonts w:hint="eastAsia" w:ascii="微软雅黑" w:hAnsi="微软雅黑" w:cs="微软雅黑"/>
          <w:sz w:val="20"/>
          <w:szCs w:val="20"/>
          <w:lang w:eastAsia="zh-TW"/>
        </w:rPr>
        <w:t>投标保证金</w:t>
      </w:r>
      <w:r>
        <w:rPr>
          <w:rFonts w:hint="eastAsia" w:ascii="微软雅黑" w:hAnsi="微软雅黑" w:cs="微软雅黑"/>
          <w:sz w:val="20"/>
          <w:szCs w:val="20"/>
        </w:rPr>
        <w:t>缴付凭证、</w:t>
      </w:r>
      <w:r>
        <w:rPr>
          <w:rFonts w:hint="eastAsia" w:ascii="微软雅黑" w:hAnsi="微软雅黑" w:cs="微软雅黑"/>
          <w:sz w:val="20"/>
          <w:szCs w:val="20"/>
          <w:lang w:eastAsia="zh-TW"/>
        </w:rPr>
        <w:t>法定代表人证明书或法定代表人授权委托书、电子文件和退投标保证金说明函一起密封提交，</w:t>
      </w:r>
      <w:r>
        <w:rPr>
          <w:rFonts w:hint="eastAsia" w:ascii="微软雅黑" w:hAnsi="微软雅黑" w:cs="微软雅黑"/>
          <w:sz w:val="20"/>
          <w:szCs w:val="20"/>
        </w:rPr>
        <w:t>若本项目（或包组）接受联合体投标，则联合体投标，应将各方共同签署的《联合投标协议》和《投标联合体授权主体方协议书》一并提交，</w:t>
      </w:r>
      <w:r>
        <w:rPr>
          <w:rFonts w:hint="eastAsia" w:ascii="微软雅黑" w:hAnsi="微软雅黑" w:cs="微软雅黑"/>
          <w:sz w:val="20"/>
          <w:szCs w:val="20"/>
          <w:lang w:eastAsia="zh-TW"/>
        </w:rPr>
        <w:t>并在信封上标明</w:t>
      </w:r>
      <w:r>
        <w:rPr>
          <w:rFonts w:hint="eastAsia" w:ascii="微软雅黑" w:hAnsi="微软雅黑" w:cs="微软雅黑"/>
          <w:sz w:val="20"/>
          <w:szCs w:val="20"/>
        </w:rPr>
        <w:t>“开标信封”的</w:t>
      </w:r>
      <w:r>
        <w:rPr>
          <w:rFonts w:hint="eastAsia" w:ascii="微软雅黑" w:hAnsi="微软雅黑" w:cs="微软雅黑"/>
          <w:sz w:val="20"/>
          <w:szCs w:val="20"/>
          <w:lang w:eastAsia="zh-TW"/>
        </w:rPr>
        <w:t>字样。投标人应将投标文件正本和所有的副本分开密封装在单独的信封中</w:t>
      </w:r>
      <w:r>
        <w:rPr>
          <w:rFonts w:hint="eastAsia" w:ascii="微软雅黑" w:hAnsi="微软雅黑" w:cs="微软雅黑"/>
          <w:sz w:val="20"/>
          <w:szCs w:val="20"/>
        </w:rPr>
        <w:t>，</w:t>
      </w:r>
      <w:r>
        <w:rPr>
          <w:rFonts w:hint="eastAsia" w:ascii="微软雅黑" w:hAnsi="微软雅黑" w:cs="微软雅黑"/>
          <w:sz w:val="20"/>
          <w:szCs w:val="20"/>
          <w:lang w:eastAsia="zh-TW"/>
        </w:rPr>
        <w:t>且在信封</w:t>
      </w:r>
      <w:r>
        <w:rPr>
          <w:rFonts w:hint="eastAsia" w:ascii="微软雅黑" w:hAnsi="微软雅黑" w:cs="微软雅黑"/>
          <w:sz w:val="20"/>
          <w:szCs w:val="20"/>
        </w:rPr>
        <w:t>上</w:t>
      </w:r>
      <w:r>
        <w:rPr>
          <w:rFonts w:hint="eastAsia" w:ascii="微软雅黑" w:hAnsi="微软雅黑" w:cs="微软雅黑"/>
          <w:sz w:val="20"/>
          <w:szCs w:val="20"/>
          <w:lang w:eastAsia="zh-TW"/>
        </w:rPr>
        <w:t>标明</w:t>
      </w:r>
      <w:r>
        <w:rPr>
          <w:rFonts w:hint="eastAsia" w:ascii="微软雅黑" w:hAnsi="微软雅黑" w:cs="微软雅黑"/>
          <w:sz w:val="20"/>
          <w:szCs w:val="20"/>
        </w:rPr>
        <w:t>“</w:t>
      </w:r>
      <w:r>
        <w:rPr>
          <w:rFonts w:hint="eastAsia" w:ascii="微软雅黑" w:hAnsi="微软雅黑" w:cs="微软雅黑"/>
          <w:sz w:val="20"/>
          <w:szCs w:val="20"/>
          <w:lang w:eastAsia="zh-TW"/>
        </w:rPr>
        <w:t>正本</w:t>
      </w:r>
      <w:r>
        <w:rPr>
          <w:rFonts w:hint="eastAsia" w:ascii="微软雅黑" w:hAnsi="微软雅黑" w:cs="微软雅黑"/>
          <w:sz w:val="20"/>
          <w:szCs w:val="20"/>
        </w:rPr>
        <w:t>”、“副</w:t>
      </w:r>
      <w:r>
        <w:rPr>
          <w:rFonts w:hint="eastAsia" w:ascii="微软雅黑" w:hAnsi="微软雅黑" w:cs="微软雅黑"/>
          <w:sz w:val="20"/>
          <w:szCs w:val="20"/>
          <w:lang w:eastAsia="zh-TW"/>
        </w:rPr>
        <w:t>本</w:t>
      </w:r>
      <w:r>
        <w:rPr>
          <w:rFonts w:hint="eastAsia" w:ascii="微软雅黑" w:hAnsi="微软雅黑" w:cs="微软雅黑"/>
          <w:sz w:val="20"/>
          <w:szCs w:val="20"/>
        </w:rPr>
        <w:t>”</w:t>
      </w:r>
      <w:r>
        <w:rPr>
          <w:rFonts w:hint="eastAsia" w:ascii="微软雅黑" w:hAnsi="微软雅黑" w:cs="微软雅黑"/>
          <w:sz w:val="20"/>
          <w:szCs w:val="20"/>
          <w:lang w:eastAsia="zh-TW"/>
        </w:rPr>
        <w:t>字样。</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投标文件封装：</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清楚写明投标人名称和地址。</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lang w:eastAsia="zh-TW"/>
        </w:rPr>
        <w:t>注明投标邀请中指明的项目名称、项目编号、包组号（如有）和“在(招标文件中规定的开标日期和时间)之前不得启封”的字样。</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如果未按本须知</w:t>
      </w:r>
      <w:r>
        <w:rPr>
          <w:rFonts w:hint="eastAsia" w:ascii="微软雅黑" w:hAnsi="微软雅黑" w:cs="微软雅黑"/>
          <w:sz w:val="20"/>
          <w:szCs w:val="20"/>
        </w:rPr>
        <w:t>上款</w:t>
      </w:r>
      <w:r>
        <w:rPr>
          <w:rFonts w:hint="eastAsia" w:ascii="微软雅黑" w:hAnsi="微软雅黑" w:cs="微软雅黑"/>
          <w:sz w:val="20"/>
          <w:szCs w:val="20"/>
          <w:lang w:eastAsia="zh-TW"/>
        </w:rPr>
        <w:t>要求加写标记和</w:t>
      </w:r>
      <w:r>
        <w:rPr>
          <w:rFonts w:hint="eastAsia" w:ascii="微软雅黑" w:hAnsi="微软雅黑" w:cs="微软雅黑"/>
          <w:sz w:val="20"/>
          <w:szCs w:val="20"/>
        </w:rPr>
        <w:t>密封，</w:t>
      </w:r>
      <w:r>
        <w:rPr>
          <w:rFonts w:hint="eastAsia" w:ascii="微软雅黑" w:hAnsi="微软雅黑" w:cs="微软雅黑"/>
          <w:sz w:val="20"/>
          <w:szCs w:val="20"/>
          <w:lang w:eastAsia="zh-TW"/>
        </w:rPr>
        <w:t>代理机构对误投或提前启封概不负责</w:t>
      </w:r>
      <w:r>
        <w:rPr>
          <w:rFonts w:hint="eastAsia" w:ascii="微软雅黑" w:hAnsi="微软雅黑" w:cs="微软雅黑"/>
          <w:sz w:val="20"/>
          <w:szCs w:val="20"/>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85" w:name="_Toc453957405"/>
      <w:bookmarkStart w:id="1286" w:name="_Toc453956645"/>
      <w:r>
        <w:rPr>
          <w:rFonts w:hint="eastAsia" w:ascii="微软雅黑" w:hAnsi="微软雅黑" w:cs="微软雅黑"/>
          <w:b/>
          <w:bCs/>
          <w:sz w:val="20"/>
          <w:szCs w:val="20"/>
        </w:rPr>
        <w:t>投标截止期</w:t>
      </w:r>
      <w:bookmarkEnd w:id="1285"/>
      <w:bookmarkEnd w:id="1286"/>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投标人应在不迟于</w:t>
      </w:r>
      <w:r>
        <w:rPr>
          <w:rFonts w:hint="eastAsia" w:ascii="微软雅黑" w:hAnsi="微软雅黑" w:cs="微软雅黑"/>
          <w:b/>
          <w:sz w:val="20"/>
          <w:szCs w:val="20"/>
        </w:rPr>
        <w:t>投标资料表</w:t>
      </w:r>
      <w:r>
        <w:rPr>
          <w:rFonts w:hint="eastAsia" w:ascii="微软雅黑" w:hAnsi="微软雅黑" w:cs="微软雅黑"/>
          <w:sz w:val="20"/>
          <w:szCs w:val="20"/>
          <w:lang w:eastAsia="zh-TW"/>
        </w:rPr>
        <w:t>中规定的截止日期和时间将投标文件递交至采购代理机构</w:t>
      </w:r>
      <w:r>
        <w:rPr>
          <w:rFonts w:hint="eastAsia" w:ascii="微软雅黑" w:hAnsi="微软雅黑" w:cs="微软雅黑"/>
          <w:sz w:val="20"/>
          <w:szCs w:val="20"/>
        </w:rPr>
        <w:t>，</w:t>
      </w:r>
      <w:r>
        <w:rPr>
          <w:rFonts w:hint="eastAsia" w:ascii="微软雅黑" w:hAnsi="微软雅黑" w:cs="微软雅黑"/>
          <w:sz w:val="20"/>
          <w:szCs w:val="20"/>
          <w:lang w:eastAsia="zh-TW"/>
        </w:rPr>
        <w:t>递交地点应是</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中指明的地址。</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为使投标人准备投标时有充分时间对招标文件的修改部分进行研究</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招标采购单位可适当推迟投标截止期，但应发布公告并书面通知所有购买招标文件的潜在投标人。在此情况下</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招标采购单位和投标人受投标截止期制约的所有权利和义务均应延长至新的截止期。</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采购代理机构将拒收在招标文件规定的投标截止时间之后送达的投标文件。</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87" w:name="_Toc293506750"/>
      <w:bookmarkEnd w:id="1287"/>
      <w:bookmarkStart w:id="1288" w:name="_Toc293507832"/>
      <w:bookmarkEnd w:id="1288"/>
      <w:bookmarkStart w:id="1289" w:name="_Toc294000398"/>
      <w:bookmarkEnd w:id="1289"/>
      <w:bookmarkStart w:id="1290" w:name="_Toc294000397"/>
      <w:bookmarkEnd w:id="1290"/>
      <w:bookmarkStart w:id="1291" w:name="_Toc293506689"/>
      <w:bookmarkEnd w:id="1291"/>
      <w:bookmarkStart w:id="1292" w:name="_Toc293506690"/>
      <w:bookmarkEnd w:id="1292"/>
      <w:bookmarkStart w:id="1293" w:name="_Toc293507728"/>
      <w:bookmarkEnd w:id="1293"/>
      <w:bookmarkStart w:id="1294" w:name="_Toc293507834"/>
      <w:bookmarkEnd w:id="1294"/>
      <w:bookmarkStart w:id="1295" w:name="_Toc294000396"/>
      <w:bookmarkEnd w:id="1295"/>
      <w:bookmarkStart w:id="1296" w:name="_Toc293507633"/>
      <w:bookmarkEnd w:id="1296"/>
      <w:bookmarkStart w:id="1297" w:name="_Toc293506751"/>
      <w:bookmarkEnd w:id="1297"/>
      <w:bookmarkStart w:id="1298" w:name="_Toc293506691"/>
      <w:bookmarkEnd w:id="1298"/>
      <w:bookmarkStart w:id="1299" w:name="_Toc293507727"/>
      <w:bookmarkEnd w:id="1299"/>
      <w:bookmarkStart w:id="1300" w:name="_Toc293506749"/>
      <w:bookmarkEnd w:id="1300"/>
      <w:bookmarkStart w:id="1301" w:name="_Toc293507634"/>
      <w:bookmarkEnd w:id="1301"/>
      <w:bookmarkStart w:id="1302" w:name="_Toc293507635"/>
      <w:bookmarkEnd w:id="1302"/>
      <w:bookmarkStart w:id="1303" w:name="_Toc293507833"/>
      <w:bookmarkEnd w:id="1303"/>
      <w:bookmarkStart w:id="1304" w:name="_Toc293507726"/>
      <w:bookmarkEnd w:id="1304"/>
      <w:bookmarkStart w:id="1305" w:name="_Toc453956646"/>
      <w:bookmarkStart w:id="1306" w:name="_Toc453957406"/>
      <w:r>
        <w:rPr>
          <w:rFonts w:hint="eastAsia" w:ascii="微软雅黑" w:hAnsi="微软雅黑" w:cs="微软雅黑"/>
          <w:b/>
          <w:bCs/>
          <w:sz w:val="20"/>
          <w:szCs w:val="20"/>
        </w:rPr>
        <w:t>投标文件的修改和撤回</w:t>
      </w:r>
      <w:bookmarkEnd w:id="1305"/>
      <w:bookmarkEnd w:id="1306"/>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pPr>
        <w:spacing w:beforeLines="100" w:afterLines="100" w:line="360" w:lineRule="auto"/>
        <w:jc w:val="center"/>
        <w:outlineLvl w:val="0"/>
        <w:rPr>
          <w:rFonts w:ascii="宋体" w:hAnsi="宋体" w:cs="楷体_GB2312"/>
          <w:b/>
          <w:sz w:val="28"/>
          <w:szCs w:val="28"/>
          <w:lang w:eastAsia="zh-TW"/>
        </w:rPr>
      </w:pPr>
      <w:bookmarkStart w:id="1307" w:name="_Toc453957407"/>
      <w:bookmarkStart w:id="1308" w:name="_Toc453956647"/>
      <w:r>
        <w:rPr>
          <w:rFonts w:hint="eastAsia" w:ascii="宋体" w:hAnsi="宋体" w:cs="楷体_GB2312"/>
          <w:b/>
          <w:sz w:val="28"/>
          <w:szCs w:val="28"/>
          <w:lang w:eastAsia="zh-TW"/>
        </w:rPr>
        <w:t>五、开标与评标</w:t>
      </w:r>
      <w:bookmarkEnd w:id="1307"/>
      <w:bookmarkEnd w:id="1308"/>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09" w:name="_Toc453956648"/>
      <w:bookmarkStart w:id="1310" w:name="_Toc453957408"/>
      <w:r>
        <w:rPr>
          <w:rFonts w:hint="eastAsia" w:ascii="微软雅黑" w:hAnsi="微软雅黑" w:cs="微软雅黑"/>
          <w:b/>
          <w:bCs/>
          <w:sz w:val="20"/>
          <w:szCs w:val="20"/>
        </w:rPr>
        <w:t>开标</w:t>
      </w:r>
      <w:bookmarkEnd w:id="1309"/>
      <w:bookmarkEnd w:id="1310"/>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采购代理机构在</w:t>
      </w:r>
      <w:r>
        <w:rPr>
          <w:rFonts w:hint="eastAsia" w:ascii="微软雅黑" w:hAnsi="微软雅黑" w:cs="微软雅黑"/>
          <w:b/>
          <w:sz w:val="20"/>
          <w:szCs w:val="20"/>
          <w:lang w:eastAsia="zh-TW"/>
        </w:rPr>
        <w:t>投标邀请</w:t>
      </w:r>
      <w:r>
        <w:rPr>
          <w:rFonts w:hint="eastAsia" w:ascii="微软雅黑" w:hAnsi="微软雅黑" w:cs="微软雅黑"/>
          <w:sz w:val="20"/>
          <w:szCs w:val="20"/>
          <w:lang w:eastAsia="zh-TW"/>
        </w:rPr>
        <w:t>中规定的日期、时</w:t>
      </w:r>
      <w:r>
        <w:rPr>
          <w:rFonts w:hint="eastAsia" w:ascii="微软雅黑" w:hAnsi="微软雅黑" w:cs="微软雅黑"/>
          <w:sz w:val="20"/>
          <w:szCs w:val="20"/>
        </w:rPr>
        <w:t>间</w:t>
      </w:r>
      <w:r>
        <w:rPr>
          <w:rFonts w:hint="eastAsia" w:ascii="微软雅黑" w:hAnsi="微软雅黑" w:cs="微软雅黑"/>
          <w:sz w:val="20"/>
          <w:szCs w:val="20"/>
          <w:lang w:eastAsia="zh-TW"/>
        </w:rPr>
        <w:t>和地点组织公开开标。开标时邀请所有投标人代表参加。参加开标的代表应签名报到以证明其出席。</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开标时</w:t>
      </w:r>
      <w:r>
        <w:rPr>
          <w:rFonts w:hint="eastAsia" w:ascii="微软雅黑" w:hAnsi="微软雅黑" w:cs="微软雅黑"/>
          <w:sz w:val="20"/>
          <w:szCs w:val="20"/>
        </w:rPr>
        <w:t>，</w:t>
      </w:r>
      <w:r>
        <w:rPr>
          <w:rFonts w:hint="eastAsia" w:ascii="微软雅黑" w:hAnsi="微软雅黑" w:cs="微软雅黑"/>
          <w:sz w:val="20"/>
          <w:szCs w:val="20"/>
          <w:lang w:eastAsia="zh-TW"/>
        </w:rPr>
        <w:t>由按签到顺序递交投标文件的前三名投标人代表作为全体投标人推选的代表</w:t>
      </w:r>
      <w:r>
        <w:rPr>
          <w:rFonts w:hint="eastAsia" w:ascii="微软雅黑" w:hAnsi="微软雅黑" w:cs="微软雅黑"/>
          <w:sz w:val="20"/>
          <w:szCs w:val="20"/>
        </w:rPr>
        <w:t>就所有</w:t>
      </w:r>
      <w:r>
        <w:rPr>
          <w:rFonts w:hint="eastAsia" w:ascii="微软雅黑" w:hAnsi="微软雅黑" w:cs="微软雅黑"/>
          <w:sz w:val="20"/>
          <w:szCs w:val="20"/>
          <w:lang w:eastAsia="zh-TW"/>
        </w:rPr>
        <w:t>投标文件的密封情况</w:t>
      </w:r>
      <w:r>
        <w:rPr>
          <w:rFonts w:hint="eastAsia" w:ascii="微软雅黑" w:hAnsi="微软雅黑" w:cs="微软雅黑"/>
          <w:sz w:val="20"/>
          <w:szCs w:val="20"/>
        </w:rPr>
        <w:t>进行检查，</w:t>
      </w:r>
      <w:r>
        <w:rPr>
          <w:rFonts w:hint="eastAsia" w:ascii="微软雅黑" w:hAnsi="微软雅黑" w:cs="微软雅黑"/>
          <w:sz w:val="20"/>
          <w:szCs w:val="20"/>
          <w:lang w:eastAsia="zh-TW"/>
        </w:rPr>
        <w:t>也可以由</w:t>
      </w:r>
      <w:r>
        <w:rPr>
          <w:rFonts w:hint="eastAsia" w:ascii="微软雅黑" w:hAnsi="微软雅黑" w:cs="微软雅黑"/>
          <w:sz w:val="20"/>
          <w:szCs w:val="20"/>
        </w:rPr>
        <w:t>招标</w:t>
      </w:r>
      <w:r>
        <w:rPr>
          <w:rFonts w:hint="eastAsia" w:ascii="微软雅黑" w:hAnsi="微软雅黑" w:cs="微软雅黑"/>
          <w:sz w:val="20"/>
          <w:szCs w:val="20"/>
          <w:lang w:eastAsia="zh-TW"/>
        </w:rPr>
        <w:t>采购</w:t>
      </w:r>
      <w:r>
        <w:rPr>
          <w:rFonts w:hint="eastAsia" w:ascii="微软雅黑" w:hAnsi="微软雅黑" w:cs="微软雅黑"/>
          <w:sz w:val="20"/>
          <w:szCs w:val="20"/>
        </w:rPr>
        <w:t>单位</w:t>
      </w:r>
      <w:r>
        <w:rPr>
          <w:rFonts w:hint="eastAsia" w:ascii="微软雅黑" w:hAnsi="微软雅黑" w:cs="微软雅黑"/>
          <w:sz w:val="20"/>
          <w:szCs w:val="20"/>
          <w:lang w:eastAsia="zh-TW"/>
        </w:rPr>
        <w:t>委托的机构检查并见证，经确认无误后由招标工作人员当众拆封，宣读投标人名称、投标价格、价格折扣</w:t>
      </w:r>
      <w:r>
        <w:rPr>
          <w:rFonts w:hint="eastAsia" w:ascii="微软雅黑" w:hAnsi="微软雅黑" w:cs="微软雅黑"/>
          <w:sz w:val="20"/>
          <w:szCs w:val="20"/>
        </w:rPr>
        <w:t>（如有）</w:t>
      </w:r>
      <w:r>
        <w:rPr>
          <w:rFonts w:hint="eastAsia" w:ascii="微软雅黑" w:hAnsi="微软雅黑" w:cs="微软雅黑"/>
          <w:sz w:val="20"/>
          <w:szCs w:val="20"/>
          <w:lang w:eastAsia="zh-TW"/>
        </w:rPr>
        <w:t>、投标文件的其他主要内容和招标文件允许提供的备选投标方案</w:t>
      </w:r>
      <w:r>
        <w:rPr>
          <w:rFonts w:hint="eastAsia" w:ascii="微软雅黑" w:hAnsi="微软雅黑" w:cs="微软雅黑"/>
          <w:sz w:val="20"/>
          <w:szCs w:val="20"/>
        </w:rPr>
        <w:t>，</w:t>
      </w:r>
      <w:r>
        <w:rPr>
          <w:rFonts w:hint="eastAsia" w:ascii="微软雅黑" w:hAnsi="微软雅黑" w:cs="微软雅黑"/>
          <w:sz w:val="20"/>
          <w:szCs w:val="20"/>
          <w:lang w:eastAsia="zh-TW"/>
        </w:rPr>
        <w:t>以及采购代理机构认为合适的其他内容。</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在开标时</w:t>
      </w:r>
      <w:r>
        <w:rPr>
          <w:rFonts w:hint="eastAsia" w:ascii="微软雅黑" w:hAnsi="微软雅黑" w:cs="微软雅黑"/>
          <w:sz w:val="20"/>
          <w:szCs w:val="20"/>
        </w:rPr>
        <w:t>，未宣读的投标价格、价格折扣（如有）和招标文件允许提供的备选投标方案等实质内容，</w:t>
      </w:r>
      <w:r>
        <w:rPr>
          <w:rFonts w:hint="eastAsia" w:ascii="微软雅黑" w:hAnsi="微软雅黑" w:cs="微软雅黑"/>
          <w:sz w:val="20"/>
          <w:szCs w:val="20"/>
          <w:lang w:eastAsia="zh-TW"/>
        </w:rPr>
        <w:t>评标时不予</w:t>
      </w:r>
      <w:r>
        <w:rPr>
          <w:rFonts w:hint="eastAsia" w:ascii="微软雅黑" w:hAnsi="微软雅黑" w:cs="微软雅黑"/>
          <w:sz w:val="20"/>
          <w:szCs w:val="20"/>
        </w:rPr>
        <w:t>承认</w:t>
      </w:r>
      <w:r>
        <w:rPr>
          <w:rFonts w:hint="eastAsia" w:ascii="微软雅黑" w:hAnsi="微软雅黑" w:cs="微软雅黑"/>
          <w:sz w:val="20"/>
          <w:szCs w:val="20"/>
          <w:lang w:eastAsia="zh-TW"/>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采购代理机构将做开标记录</w:t>
      </w:r>
      <w:r>
        <w:rPr>
          <w:rFonts w:hint="eastAsia" w:ascii="微软雅黑" w:hAnsi="微软雅黑" w:cs="微软雅黑"/>
          <w:sz w:val="20"/>
          <w:szCs w:val="20"/>
        </w:rPr>
        <w:t>，开标记录由投标人代表和有关人员共同签字确认</w:t>
      </w:r>
      <w:r>
        <w:rPr>
          <w:rFonts w:hint="eastAsia" w:ascii="微软雅黑" w:hAnsi="微软雅黑" w:cs="微软雅黑"/>
          <w:sz w:val="20"/>
          <w:szCs w:val="20"/>
          <w:lang w:eastAsia="zh-TW"/>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11" w:name="_Toc453956649"/>
      <w:bookmarkStart w:id="1312" w:name="_Toc453957409"/>
      <w:r>
        <w:rPr>
          <w:rFonts w:hint="eastAsia" w:ascii="微软雅黑" w:hAnsi="微软雅黑" w:cs="微软雅黑"/>
          <w:b/>
          <w:bCs/>
          <w:sz w:val="20"/>
          <w:szCs w:val="20"/>
        </w:rPr>
        <w:t>评标委员会和评标方法</w:t>
      </w:r>
      <w:bookmarkEnd w:id="1311"/>
      <w:bookmarkEnd w:id="1312"/>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评标由依照采购法律、法规、规章、政策的规定，组建的评标委员会负责。评标委员会成员按采购规定由采购人代表和</w:t>
      </w:r>
      <w:r>
        <w:rPr>
          <w:rFonts w:hint="eastAsia" w:ascii="微软雅黑" w:hAnsi="微软雅黑" w:cs="微软雅黑"/>
          <w:sz w:val="20"/>
          <w:szCs w:val="20"/>
        </w:rPr>
        <w:t>有关</w:t>
      </w:r>
      <w:r>
        <w:rPr>
          <w:rFonts w:hint="eastAsia" w:ascii="微软雅黑" w:hAnsi="微软雅黑" w:cs="微软雅黑"/>
          <w:sz w:val="20"/>
          <w:szCs w:val="20"/>
          <w:lang w:eastAsia="zh-TW"/>
        </w:rPr>
        <w:t>技术、经济等方面的专家组成，采购人代表人数、专家人数构成将按照</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中确定。评标委员会成员依法从专家库中随机抽取。</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评标委员会名单在</w:t>
      </w:r>
      <w:r>
        <w:rPr>
          <w:rFonts w:hint="eastAsia" w:ascii="微软雅黑" w:hAnsi="微软雅黑" w:cs="微软雅黑"/>
          <w:sz w:val="20"/>
          <w:szCs w:val="20"/>
        </w:rPr>
        <w:t>评审</w:t>
      </w:r>
      <w:r>
        <w:rPr>
          <w:rFonts w:hint="eastAsia" w:ascii="微软雅黑" w:hAnsi="微软雅黑" w:cs="微软雅黑"/>
          <w:sz w:val="20"/>
          <w:szCs w:val="20"/>
          <w:lang w:eastAsia="zh-TW"/>
        </w:rPr>
        <w:t>结果确定前严格保密。评审专家有下列情形之一的，受到邀请应主动提出回避，采购当事人也可以要求该评审专家回避：</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三年内曾在参加该采购项目</w:t>
      </w:r>
      <w:r>
        <w:rPr>
          <w:rFonts w:hint="eastAsia" w:ascii="微软雅黑" w:hAnsi="微软雅黑" w:cs="微软雅黑"/>
          <w:sz w:val="20"/>
          <w:szCs w:val="20"/>
        </w:rPr>
        <w:t>投标人</w:t>
      </w:r>
      <w:r>
        <w:rPr>
          <w:rFonts w:hint="eastAsia" w:ascii="微软雅黑" w:hAnsi="微软雅黑" w:cs="微软雅黑"/>
          <w:sz w:val="20"/>
          <w:szCs w:val="20"/>
          <w:lang w:eastAsia="zh-TW"/>
        </w:rPr>
        <w:t>中任职或担任顾问的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配偶或直系亲属在参加该采购项目的</w:t>
      </w:r>
      <w:r>
        <w:rPr>
          <w:rFonts w:hint="eastAsia" w:ascii="微软雅黑" w:hAnsi="微软雅黑" w:cs="微软雅黑"/>
          <w:sz w:val="20"/>
          <w:szCs w:val="20"/>
        </w:rPr>
        <w:t>投标人</w:t>
      </w:r>
      <w:r>
        <w:rPr>
          <w:rFonts w:hint="eastAsia" w:ascii="微软雅黑" w:hAnsi="微软雅黑" w:cs="微软雅黑"/>
          <w:sz w:val="20"/>
          <w:szCs w:val="20"/>
          <w:lang w:eastAsia="zh-TW"/>
        </w:rPr>
        <w:t>中任职或担任顾问的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与参加该采购项目</w:t>
      </w:r>
      <w:r>
        <w:rPr>
          <w:rFonts w:hint="eastAsia" w:ascii="微软雅黑" w:hAnsi="微软雅黑" w:cs="微软雅黑"/>
          <w:sz w:val="20"/>
          <w:szCs w:val="20"/>
        </w:rPr>
        <w:t>投标人</w:t>
      </w:r>
      <w:r>
        <w:rPr>
          <w:rFonts w:hint="eastAsia" w:ascii="微软雅黑" w:hAnsi="微软雅黑" w:cs="微软雅黑"/>
          <w:sz w:val="20"/>
          <w:szCs w:val="20"/>
          <w:lang w:eastAsia="zh-TW"/>
        </w:rPr>
        <w:t>发生过法律纠纷的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评标委员会中，同一任职单位评审专家超过二名的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任职单位与采购人或参与该采购项目</w:t>
      </w:r>
      <w:r>
        <w:rPr>
          <w:rFonts w:hint="eastAsia" w:ascii="微软雅黑" w:hAnsi="微软雅黑" w:cs="微软雅黑"/>
          <w:sz w:val="20"/>
          <w:szCs w:val="20"/>
        </w:rPr>
        <w:t>投标人</w:t>
      </w:r>
      <w:r>
        <w:rPr>
          <w:rFonts w:hint="eastAsia" w:ascii="微软雅黑" w:hAnsi="微软雅黑" w:cs="微软雅黑"/>
          <w:sz w:val="20"/>
          <w:szCs w:val="20"/>
          <w:lang w:eastAsia="zh-TW"/>
        </w:rPr>
        <w:t>存在行政隶属关系的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参与招标文件论证的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法律、法规、规章规定应当回避以及其他可能影响公正评审的。</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评标委员会和有关工作人员不得透露对投标文件的评审和比较以及与评标有关的其他情况。</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评标委员会将按照</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中确定的评标方法</w:t>
      </w:r>
      <w:r>
        <w:rPr>
          <w:rFonts w:hint="eastAsia" w:ascii="微软雅黑" w:hAnsi="微软雅黑" w:cs="微软雅黑"/>
          <w:sz w:val="20"/>
          <w:szCs w:val="20"/>
        </w:rPr>
        <w:t>和</w:t>
      </w:r>
      <w:r>
        <w:rPr>
          <w:rFonts w:hint="eastAsia" w:ascii="微软雅黑" w:hAnsi="微软雅黑" w:cs="微软雅黑"/>
          <w:sz w:val="20"/>
          <w:szCs w:val="20"/>
          <w:lang w:eastAsia="zh-TW"/>
        </w:rPr>
        <w:t>本招标文件规定</w:t>
      </w:r>
      <w:r>
        <w:rPr>
          <w:rFonts w:hint="eastAsia" w:ascii="微软雅黑" w:hAnsi="微软雅黑" w:cs="微软雅黑"/>
          <w:sz w:val="20"/>
          <w:szCs w:val="20"/>
        </w:rPr>
        <w:t>的评标</w:t>
      </w:r>
      <w:r>
        <w:rPr>
          <w:rFonts w:hint="eastAsia" w:ascii="微软雅黑" w:hAnsi="微软雅黑" w:cs="微软雅黑"/>
          <w:sz w:val="20"/>
          <w:szCs w:val="20"/>
          <w:lang w:eastAsia="zh-TW"/>
        </w:rPr>
        <w:t>标准进行评标。</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13" w:name="_Toc453957410"/>
      <w:bookmarkStart w:id="1314" w:name="_Toc453956650"/>
      <w:r>
        <w:rPr>
          <w:rFonts w:hint="eastAsia" w:ascii="微软雅黑" w:hAnsi="微软雅黑" w:cs="微软雅黑"/>
          <w:b/>
          <w:bCs/>
          <w:sz w:val="20"/>
          <w:szCs w:val="20"/>
        </w:rPr>
        <w:t>投标文件的初审</w:t>
      </w:r>
      <w:bookmarkEnd w:id="1313"/>
      <w:bookmarkEnd w:id="1314"/>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评标委员会将</w:t>
      </w:r>
      <w:r>
        <w:rPr>
          <w:rFonts w:hint="eastAsia" w:ascii="微软雅黑" w:hAnsi="微软雅黑" w:cs="微软雅黑"/>
          <w:sz w:val="20"/>
          <w:szCs w:val="20"/>
        </w:rPr>
        <w:t>依法</w:t>
      </w:r>
      <w:r>
        <w:rPr>
          <w:rFonts w:hint="eastAsia" w:ascii="微软雅黑" w:hAnsi="微软雅黑" w:cs="微软雅黑"/>
          <w:sz w:val="20"/>
          <w:szCs w:val="20"/>
          <w:lang w:eastAsia="zh-TW"/>
        </w:rPr>
        <w:t>审查投标文件是否完整、文件签署是否合格、是否按招标文件的规定密封和标记、投标人是否</w:t>
      </w:r>
      <w:r>
        <w:rPr>
          <w:rFonts w:hint="eastAsia" w:ascii="微软雅黑" w:hAnsi="微软雅黑" w:cs="微软雅黑"/>
          <w:sz w:val="20"/>
          <w:szCs w:val="20"/>
        </w:rPr>
        <w:t>缴纳</w:t>
      </w:r>
      <w:r>
        <w:rPr>
          <w:rFonts w:hint="eastAsia" w:ascii="微软雅黑" w:hAnsi="微软雅黑" w:cs="微软雅黑"/>
          <w:sz w:val="20"/>
          <w:szCs w:val="20"/>
          <w:lang w:eastAsia="zh-TW"/>
        </w:rPr>
        <w:t>了投标保证金、有无计算</w:t>
      </w:r>
      <w:r>
        <w:rPr>
          <w:rFonts w:hint="eastAsia" w:ascii="微软雅黑" w:hAnsi="微软雅黑" w:cs="微软雅黑"/>
          <w:sz w:val="20"/>
          <w:szCs w:val="20"/>
        </w:rPr>
        <w:t>上</w:t>
      </w:r>
      <w:r>
        <w:rPr>
          <w:rFonts w:hint="eastAsia" w:ascii="微软雅黑" w:hAnsi="微软雅黑" w:cs="微软雅黑"/>
          <w:sz w:val="20"/>
          <w:szCs w:val="20"/>
          <w:lang w:eastAsia="zh-TW"/>
        </w:rPr>
        <w:t>的错误等。</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开标时，投标文件中开标一览表(报价表)内容与投标文件中</w:t>
      </w:r>
      <w:r>
        <w:rPr>
          <w:rFonts w:hint="eastAsia" w:ascii="微软雅黑" w:hAnsi="微软雅黑" w:cs="微软雅黑"/>
          <w:sz w:val="20"/>
          <w:szCs w:val="20"/>
        </w:rPr>
        <w:t>相应</w:t>
      </w:r>
      <w:r>
        <w:rPr>
          <w:rFonts w:hint="eastAsia" w:ascii="微软雅黑" w:hAnsi="微软雅黑" w:cs="微软雅黑"/>
          <w:sz w:val="20"/>
          <w:szCs w:val="20"/>
          <w:lang w:eastAsia="zh-TW"/>
        </w:rPr>
        <w:t>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微软雅黑" w:hAnsi="微软雅黑" w:cs="微软雅黑"/>
          <w:sz w:val="20"/>
          <w:szCs w:val="20"/>
        </w:rPr>
        <w:t>。如果投标人不接受对其错误的更正，其投标将被视为无效投标或确定为投标无效。</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对于投标文件中不构成实质性偏差的不正规、不一致或不规则</w:t>
      </w:r>
      <w:r>
        <w:rPr>
          <w:rFonts w:hint="eastAsia" w:ascii="微软雅黑" w:hAnsi="微软雅黑" w:cs="微软雅黑"/>
          <w:sz w:val="20"/>
          <w:szCs w:val="20"/>
        </w:rPr>
        <w:t>，</w:t>
      </w:r>
      <w:r>
        <w:rPr>
          <w:rFonts w:hint="eastAsia" w:ascii="微软雅黑" w:hAnsi="微软雅黑" w:cs="微软雅黑"/>
          <w:sz w:val="20"/>
          <w:szCs w:val="20"/>
          <w:lang w:eastAsia="zh-TW"/>
        </w:rPr>
        <w:t>评标委员会可以接受</w:t>
      </w:r>
      <w:r>
        <w:rPr>
          <w:rFonts w:hint="eastAsia" w:ascii="微软雅黑" w:hAnsi="微软雅黑" w:cs="微软雅黑"/>
          <w:sz w:val="20"/>
          <w:szCs w:val="20"/>
        </w:rPr>
        <w:t>，</w:t>
      </w:r>
      <w:r>
        <w:rPr>
          <w:rFonts w:hint="eastAsia" w:ascii="微软雅黑" w:hAnsi="微软雅黑" w:cs="微软雅黑"/>
          <w:sz w:val="20"/>
          <w:szCs w:val="20"/>
          <w:lang w:eastAsia="zh-TW"/>
        </w:rPr>
        <w:t>但这种接受不能损害或影响任何投标人的相对排序。</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在详细评标之前</w:t>
      </w:r>
      <w:r>
        <w:rPr>
          <w:rFonts w:hint="eastAsia" w:ascii="微软雅黑" w:hAnsi="微软雅黑" w:cs="微软雅黑"/>
          <w:sz w:val="20"/>
          <w:szCs w:val="20"/>
        </w:rPr>
        <w:t>，</w:t>
      </w:r>
      <w:r>
        <w:rPr>
          <w:rFonts w:hint="eastAsia" w:ascii="微软雅黑" w:hAnsi="微软雅黑" w:cs="微软雅黑"/>
          <w:sz w:val="20"/>
          <w:szCs w:val="20"/>
          <w:lang w:eastAsia="zh-TW"/>
        </w:rPr>
        <w:t>评标委员会要审查每份投标文件是否实质上响应了招标文件的要求。实质上</w:t>
      </w:r>
      <w:r>
        <w:rPr>
          <w:rFonts w:hint="eastAsia" w:ascii="微软雅黑" w:hAnsi="微软雅黑" w:cs="微软雅黑"/>
          <w:sz w:val="20"/>
          <w:szCs w:val="20"/>
        </w:rPr>
        <w:t>响</w:t>
      </w:r>
      <w:r>
        <w:rPr>
          <w:rFonts w:hint="eastAsia" w:ascii="微软雅黑" w:hAnsi="微软雅黑" w:cs="微软雅黑"/>
          <w:sz w:val="20"/>
          <w:szCs w:val="20"/>
          <w:lang w:eastAsia="zh-TW"/>
        </w:rPr>
        <w:t>应的投标</w:t>
      </w:r>
      <w:r>
        <w:rPr>
          <w:rFonts w:hint="eastAsia" w:ascii="微软雅黑" w:hAnsi="微软雅黑" w:cs="微软雅黑"/>
          <w:sz w:val="20"/>
          <w:szCs w:val="20"/>
        </w:rPr>
        <w:t>文件</w:t>
      </w:r>
      <w:r>
        <w:rPr>
          <w:rFonts w:hint="eastAsia" w:ascii="微软雅黑" w:hAnsi="微软雅黑" w:cs="微软雅黑"/>
          <w:sz w:val="20"/>
          <w:szCs w:val="20"/>
          <w:lang w:eastAsia="zh-TW"/>
        </w:rPr>
        <w:t>应该是与招标文件要求的关键条款</w:t>
      </w:r>
      <w:r>
        <w:rPr>
          <w:rFonts w:hint="eastAsia" w:ascii="微软雅黑" w:hAnsi="微软雅黑" w:cs="微软雅黑"/>
          <w:sz w:val="20"/>
          <w:szCs w:val="20"/>
        </w:rPr>
        <w:t>、</w:t>
      </w:r>
      <w:r>
        <w:rPr>
          <w:rFonts w:hint="eastAsia" w:ascii="微软雅黑" w:hAnsi="微软雅黑" w:cs="微软雅黑"/>
          <w:sz w:val="20"/>
          <w:szCs w:val="20"/>
          <w:lang w:eastAsia="zh-TW"/>
        </w:rPr>
        <w:t>条件和规格相符</w:t>
      </w:r>
      <w:r>
        <w:rPr>
          <w:rFonts w:hint="eastAsia" w:ascii="微软雅黑" w:hAnsi="微软雅黑" w:cs="微软雅黑"/>
          <w:sz w:val="20"/>
          <w:szCs w:val="20"/>
        </w:rPr>
        <w:t>或优于，</w:t>
      </w:r>
      <w:r>
        <w:rPr>
          <w:rFonts w:hint="eastAsia" w:ascii="微软雅黑" w:hAnsi="微软雅黑" w:cs="微软雅黑"/>
          <w:sz w:val="20"/>
          <w:szCs w:val="20"/>
          <w:lang w:eastAsia="zh-TW"/>
        </w:rPr>
        <w:t>没有</w:t>
      </w:r>
      <w:r>
        <w:rPr>
          <w:rFonts w:hint="eastAsia" w:ascii="微软雅黑" w:hAnsi="微软雅黑" w:cs="微软雅黑"/>
          <w:sz w:val="20"/>
          <w:szCs w:val="20"/>
        </w:rPr>
        <w:t>实质</w:t>
      </w:r>
      <w:r>
        <w:rPr>
          <w:rFonts w:hint="eastAsia" w:ascii="微软雅黑" w:hAnsi="微软雅黑" w:cs="微软雅黑"/>
          <w:sz w:val="20"/>
          <w:szCs w:val="20"/>
          <w:lang w:eastAsia="zh-TW"/>
        </w:rPr>
        <w:t>偏离的投标</w:t>
      </w:r>
      <w:r>
        <w:rPr>
          <w:rFonts w:hint="eastAsia" w:ascii="微软雅黑" w:hAnsi="微软雅黑" w:cs="微软雅黑"/>
          <w:sz w:val="20"/>
          <w:szCs w:val="20"/>
        </w:rPr>
        <w:t>文件</w:t>
      </w:r>
      <w:r>
        <w:rPr>
          <w:rFonts w:hint="eastAsia" w:ascii="微软雅黑" w:hAnsi="微软雅黑" w:cs="微软雅黑"/>
          <w:sz w:val="20"/>
          <w:szCs w:val="20"/>
          <w:lang w:eastAsia="zh-TW"/>
        </w:rPr>
        <w:t>。评标委员会决定投标的响应性只根据投标</w:t>
      </w:r>
      <w:r>
        <w:rPr>
          <w:rFonts w:hint="eastAsia" w:ascii="微软雅黑" w:hAnsi="微软雅黑" w:cs="微软雅黑"/>
          <w:sz w:val="20"/>
          <w:szCs w:val="20"/>
        </w:rPr>
        <w:t>文件</w:t>
      </w:r>
      <w:r>
        <w:rPr>
          <w:rFonts w:hint="eastAsia" w:ascii="微软雅黑" w:hAnsi="微软雅黑" w:cs="微软雅黑"/>
          <w:sz w:val="20"/>
          <w:szCs w:val="20"/>
          <w:lang w:eastAsia="zh-TW"/>
        </w:rPr>
        <w:t>本身的真实无误的内容</w:t>
      </w:r>
      <w:r>
        <w:rPr>
          <w:rFonts w:hint="eastAsia" w:ascii="微软雅黑" w:hAnsi="微软雅黑" w:cs="微软雅黑"/>
          <w:sz w:val="20"/>
          <w:szCs w:val="20"/>
        </w:rPr>
        <w:t>，</w:t>
      </w:r>
      <w:r>
        <w:rPr>
          <w:rFonts w:hint="eastAsia" w:ascii="微软雅黑" w:hAnsi="微软雅黑" w:cs="微软雅黑"/>
          <w:sz w:val="20"/>
          <w:szCs w:val="20"/>
          <w:lang w:eastAsia="zh-TW"/>
        </w:rPr>
        <w:t>而不依据外部的证据</w:t>
      </w:r>
      <w:r>
        <w:rPr>
          <w:rFonts w:hint="eastAsia" w:ascii="微软雅黑" w:hAnsi="微软雅黑" w:cs="微软雅黑"/>
          <w:sz w:val="20"/>
          <w:szCs w:val="20"/>
        </w:rPr>
        <w:t>，</w:t>
      </w:r>
      <w:r>
        <w:rPr>
          <w:rFonts w:hint="eastAsia" w:ascii="微软雅黑" w:hAnsi="微软雅黑" w:cs="微软雅黑"/>
          <w:sz w:val="20"/>
          <w:szCs w:val="20"/>
          <w:lang w:eastAsia="zh-TW"/>
        </w:rPr>
        <w:t>但投标有不真实不正确的内容时除外。</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实质上没有响应招标文件要求的投标将</w:t>
      </w:r>
      <w:r>
        <w:rPr>
          <w:rFonts w:hint="eastAsia" w:ascii="微软雅黑" w:hAnsi="微软雅黑" w:cs="微软雅黑"/>
          <w:sz w:val="20"/>
          <w:szCs w:val="20"/>
        </w:rPr>
        <w:t>被视为无效投标</w:t>
      </w:r>
      <w:r>
        <w:rPr>
          <w:rFonts w:hint="eastAsia" w:ascii="微软雅黑" w:hAnsi="微软雅黑" w:cs="微软雅黑"/>
          <w:sz w:val="20"/>
          <w:szCs w:val="20"/>
          <w:lang w:eastAsia="zh-TW"/>
        </w:rPr>
        <w:t>。投标人不得通过修正或撤销不合要求的偏离或保留从而使其投标成为实质上响应的投标。</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lang w:eastAsia="zh-TW"/>
        </w:rPr>
        <w:t>在资格性审查、符合性检查时，未能通过资格性、符合性审查被认定为无效投标，具体条款</w:t>
      </w:r>
      <w:r>
        <w:rPr>
          <w:rFonts w:hint="eastAsia" w:ascii="微软雅黑" w:hAnsi="微软雅黑" w:cs="微软雅黑"/>
          <w:sz w:val="20"/>
          <w:szCs w:val="20"/>
        </w:rPr>
        <w:t>详</w:t>
      </w:r>
      <w:r>
        <w:rPr>
          <w:rFonts w:hint="eastAsia" w:ascii="微软雅黑" w:hAnsi="微软雅黑" w:cs="微软雅黑"/>
          <w:sz w:val="20"/>
          <w:szCs w:val="20"/>
          <w:lang w:eastAsia="zh-TW"/>
        </w:rPr>
        <w:t>见招标文件《资格、符合性评审条款》</w:t>
      </w:r>
      <w:r>
        <w:rPr>
          <w:rFonts w:hint="eastAsia" w:ascii="微软雅黑" w:hAnsi="微软雅黑" w:cs="微软雅黑"/>
          <w:sz w:val="20"/>
          <w:szCs w:val="20"/>
        </w:rPr>
        <w:t xml:space="preserve">； </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lang w:eastAsia="zh-TW"/>
        </w:rPr>
        <w:t>评标委员会对各投标人进行资格性和符合性审查过程中，对初步被认定为初审不合格或无效投标者应实行及时告知</w:t>
      </w:r>
      <w:r>
        <w:rPr>
          <w:rFonts w:hint="eastAsia" w:ascii="微软雅黑" w:hAnsi="微软雅黑" w:cs="微软雅黑"/>
          <w:sz w:val="20"/>
          <w:szCs w:val="20"/>
        </w:rPr>
        <w:t>，</w:t>
      </w:r>
      <w:r>
        <w:rPr>
          <w:rFonts w:hint="eastAsia" w:ascii="微软雅黑" w:hAnsi="微软雅黑" w:cs="微软雅黑"/>
          <w:sz w:val="20"/>
          <w:szCs w:val="20"/>
          <w:lang w:eastAsia="zh-TW"/>
        </w:rPr>
        <w:t>由评标委员会主任或采购人代表将集体意见现场及时告知投标当事人，以让其核证、澄清事实。</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15" w:name="_Toc453957411"/>
      <w:bookmarkStart w:id="1316" w:name="_Toc453956651"/>
      <w:r>
        <w:rPr>
          <w:rFonts w:hint="eastAsia" w:ascii="微软雅黑" w:hAnsi="微软雅黑" w:cs="微软雅黑"/>
          <w:b/>
          <w:bCs/>
          <w:sz w:val="20"/>
          <w:szCs w:val="20"/>
        </w:rPr>
        <w:t>投标文件的澄清</w:t>
      </w:r>
      <w:bookmarkEnd w:id="1315"/>
      <w:bookmarkEnd w:id="1316"/>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w:t>
      </w:r>
      <w:r>
        <w:rPr>
          <w:rFonts w:hint="eastAsia" w:ascii="微软雅黑" w:hAnsi="微软雅黑" w:cs="微软雅黑"/>
          <w:sz w:val="20"/>
          <w:szCs w:val="20"/>
        </w:rPr>
        <w:t>，</w:t>
      </w:r>
      <w:r>
        <w:rPr>
          <w:rFonts w:hint="eastAsia" w:ascii="微软雅黑" w:hAnsi="微软雅黑" w:cs="微软雅黑"/>
          <w:sz w:val="20"/>
          <w:szCs w:val="20"/>
          <w:lang w:eastAsia="zh-TW"/>
        </w:rPr>
        <w:t>由其授权的代表签字</w:t>
      </w:r>
      <w:r>
        <w:rPr>
          <w:rFonts w:hint="eastAsia" w:ascii="微软雅黑" w:hAnsi="微软雅黑" w:cs="微软雅黑"/>
          <w:sz w:val="20"/>
          <w:szCs w:val="20"/>
        </w:rPr>
        <w:t>或盖章</w:t>
      </w:r>
      <w:r>
        <w:rPr>
          <w:rFonts w:hint="eastAsia" w:ascii="微软雅黑" w:hAnsi="微软雅黑" w:cs="微软雅黑"/>
          <w:sz w:val="20"/>
          <w:szCs w:val="20"/>
          <w:lang w:eastAsia="zh-TW"/>
        </w:rPr>
        <w:t>，但</w:t>
      </w:r>
      <w:r>
        <w:rPr>
          <w:rFonts w:hint="eastAsia" w:ascii="微软雅黑" w:hAnsi="微软雅黑" w:cs="微软雅黑"/>
          <w:sz w:val="20"/>
          <w:szCs w:val="20"/>
        </w:rPr>
        <w:t>不得超出投标文件的范围或者改变投标文件的实质性内容。</w:t>
      </w:r>
      <w:r>
        <w:rPr>
          <w:rFonts w:hint="eastAsia" w:ascii="微软雅黑" w:hAnsi="微软雅黑" w:cs="微软雅黑"/>
          <w:sz w:val="20"/>
          <w:szCs w:val="20"/>
          <w:lang w:eastAsia="zh-TW"/>
        </w:rPr>
        <w:t>有关澄清的答复均应由投标人的法定代表人或授权代表签字</w:t>
      </w:r>
      <w:r>
        <w:rPr>
          <w:rFonts w:hint="eastAsia" w:ascii="微软雅黑" w:hAnsi="微软雅黑" w:cs="微软雅黑"/>
          <w:sz w:val="20"/>
          <w:szCs w:val="20"/>
        </w:rPr>
        <w:t>或盖章</w:t>
      </w:r>
      <w:r>
        <w:rPr>
          <w:rFonts w:hint="eastAsia" w:ascii="微软雅黑" w:hAnsi="微软雅黑" w:cs="微软雅黑"/>
          <w:sz w:val="20"/>
          <w:szCs w:val="20"/>
          <w:lang w:eastAsia="zh-TW"/>
        </w:rPr>
        <w:t>的书面形式作出。</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投标人的澄清文件是其投标文件的组成部分。</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17" w:name="_Toc453957412"/>
      <w:bookmarkStart w:id="1318" w:name="_Toc453956652"/>
      <w:r>
        <w:rPr>
          <w:rFonts w:hint="eastAsia" w:ascii="微软雅黑" w:hAnsi="微软雅黑" w:cs="微软雅黑"/>
          <w:b/>
          <w:bCs/>
          <w:sz w:val="20"/>
          <w:szCs w:val="20"/>
        </w:rPr>
        <w:t>投标文件详细评价</w:t>
      </w:r>
      <w:bookmarkEnd w:id="1317"/>
      <w:bookmarkEnd w:id="1318"/>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评</w:t>
      </w:r>
      <w:r>
        <w:rPr>
          <w:rFonts w:hint="eastAsia" w:ascii="微软雅黑" w:hAnsi="微软雅黑" w:cs="微软雅黑"/>
          <w:sz w:val="20"/>
          <w:szCs w:val="20"/>
          <w:lang w:eastAsia="zh-TW"/>
        </w:rPr>
        <w:t>标委员会将</w:t>
      </w:r>
      <w:r>
        <w:rPr>
          <w:rFonts w:hint="eastAsia" w:ascii="微软雅黑" w:hAnsi="微软雅黑" w:cs="微软雅黑"/>
          <w:sz w:val="20"/>
          <w:szCs w:val="20"/>
        </w:rPr>
        <w:t>对通过</w:t>
      </w:r>
      <w:r>
        <w:rPr>
          <w:rFonts w:hint="eastAsia" w:ascii="微软雅黑" w:hAnsi="微软雅黑" w:cs="微软雅黑"/>
          <w:sz w:val="20"/>
          <w:szCs w:val="20"/>
          <w:lang w:eastAsia="zh-TW"/>
        </w:rPr>
        <w:t>资格性、符合性审查的投标</w:t>
      </w:r>
      <w:r>
        <w:rPr>
          <w:rFonts w:hint="eastAsia" w:ascii="微软雅黑" w:hAnsi="微软雅黑" w:cs="微软雅黑"/>
          <w:sz w:val="20"/>
          <w:szCs w:val="20"/>
        </w:rPr>
        <w:t>文件</w:t>
      </w:r>
      <w:r>
        <w:rPr>
          <w:rFonts w:hint="eastAsia" w:ascii="微软雅黑" w:hAnsi="微软雅黑" w:cs="微软雅黑"/>
          <w:sz w:val="20"/>
          <w:szCs w:val="20"/>
          <w:lang w:eastAsia="zh-TW"/>
        </w:rPr>
        <w:t>进行</w:t>
      </w:r>
      <w:r>
        <w:rPr>
          <w:rFonts w:hint="eastAsia" w:ascii="微软雅黑" w:hAnsi="微软雅黑" w:cs="微软雅黑"/>
          <w:sz w:val="20"/>
          <w:szCs w:val="20"/>
        </w:rPr>
        <w:t>详细</w:t>
      </w:r>
      <w:r>
        <w:rPr>
          <w:rFonts w:hint="eastAsia" w:ascii="微软雅黑" w:hAnsi="微软雅黑" w:cs="微软雅黑"/>
          <w:sz w:val="20"/>
          <w:szCs w:val="20"/>
          <w:lang w:eastAsia="zh-TW"/>
        </w:rPr>
        <w:t>评价和比较</w:t>
      </w:r>
      <w:r>
        <w:rPr>
          <w:rFonts w:hint="eastAsia" w:ascii="微软雅黑" w:hAnsi="微软雅黑" w:cs="微软雅黑"/>
          <w:sz w:val="20"/>
          <w:szCs w:val="20"/>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19" w:name="_Toc294000406"/>
      <w:bookmarkEnd w:id="1319"/>
      <w:bookmarkStart w:id="1320" w:name="_Toc293507643"/>
      <w:bookmarkEnd w:id="1320"/>
      <w:bookmarkStart w:id="1321" w:name="_Toc293506699"/>
      <w:bookmarkEnd w:id="1321"/>
      <w:bookmarkStart w:id="1322" w:name="_Toc293507736"/>
      <w:bookmarkEnd w:id="1322"/>
      <w:bookmarkStart w:id="1323" w:name="_Toc293507842"/>
      <w:bookmarkEnd w:id="1323"/>
      <w:bookmarkStart w:id="1324" w:name="_Toc293506759"/>
      <w:bookmarkEnd w:id="1324"/>
      <w:bookmarkStart w:id="1325" w:name="_Toc453956653"/>
      <w:bookmarkStart w:id="1326" w:name="_Toc453957413"/>
      <w:r>
        <w:rPr>
          <w:rFonts w:hint="eastAsia" w:ascii="微软雅黑" w:hAnsi="微软雅黑" w:cs="微软雅黑"/>
          <w:b/>
          <w:bCs/>
          <w:sz w:val="20"/>
          <w:szCs w:val="20"/>
        </w:rPr>
        <w:t>定标原则与授标</w:t>
      </w:r>
      <w:bookmarkEnd w:id="1325"/>
      <w:bookmarkEnd w:id="1326"/>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评标委员会按照招标文件确定的评标方法、步骤、标准，对投标文件进行评审，提出书面评标报告。</w:t>
      </w:r>
    </w:p>
    <w:p>
      <w:pPr>
        <w:spacing w:line="360" w:lineRule="auto"/>
        <w:rPr>
          <w:rFonts w:ascii="微软雅黑" w:hAnsi="微软雅黑" w:cs="微软雅黑"/>
          <w:sz w:val="20"/>
          <w:szCs w:val="20"/>
        </w:rPr>
      </w:pPr>
      <w:r>
        <w:rPr>
          <w:rFonts w:hint="eastAsia" w:ascii="微软雅黑" w:hAnsi="微软雅黑" w:cs="微软雅黑"/>
          <w:sz w:val="20"/>
          <w:szCs w:val="20"/>
        </w:rPr>
        <w:t>采用综合评分法的，按评审后得分由高到低顺序排列。得分相同的，按投标报价由低到高顺序排列。得分且投标报价相同的，按技术指标优劣顺序排列。本项目确定三家供应商。本项目共分</w:t>
      </w:r>
      <w:r>
        <w:rPr>
          <w:rFonts w:hint="eastAsia" w:ascii="微软雅黑" w:hAnsi="微软雅黑" w:cs="微软雅黑"/>
          <w:sz w:val="20"/>
          <w:szCs w:val="20"/>
          <w:lang w:val="en-US" w:eastAsia="zh-Hans"/>
        </w:rPr>
        <w:t>三</w:t>
      </w:r>
      <w:r>
        <w:rPr>
          <w:rFonts w:hint="eastAsia" w:ascii="微软雅黑" w:hAnsi="微软雅黑" w:cs="微软雅黑"/>
          <w:sz w:val="20"/>
          <w:szCs w:val="20"/>
        </w:rPr>
        <w:t>个子包，每个子包设一名中标候选人。投标人必须兼投但不可兼中。综合得分第一的投标人自动成为子包一的中标候选人，综合得分第二的投标人为子包二的中标候选人，综合得分第三的投标人为子包三的中标候选人。</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采用</w:t>
      </w:r>
      <w:r>
        <w:rPr>
          <w:rFonts w:hint="eastAsia" w:ascii="微软雅黑" w:hAnsi="微软雅黑" w:cs="微软雅黑"/>
          <w:sz w:val="20"/>
          <w:szCs w:val="20"/>
          <w:lang w:eastAsia="zh-TW"/>
        </w:rPr>
        <w:t>最低评标价法</w:t>
      </w:r>
      <w:r>
        <w:rPr>
          <w:rFonts w:hint="eastAsia" w:ascii="微软雅黑" w:hAnsi="微软雅黑" w:cs="微软雅黑"/>
          <w:sz w:val="20"/>
          <w:szCs w:val="20"/>
        </w:rPr>
        <w:t>的，</w:t>
      </w:r>
      <w:r>
        <w:rPr>
          <w:rFonts w:hint="eastAsia" w:ascii="微软雅黑" w:hAnsi="微软雅黑" w:cs="微软雅黑"/>
          <w:sz w:val="20"/>
          <w:szCs w:val="20"/>
          <w:lang w:eastAsia="zh-TW"/>
        </w:rPr>
        <w:t>按投标报价由低到高顺序排列。</w:t>
      </w:r>
      <w:r>
        <w:rPr>
          <w:rFonts w:hint="eastAsia" w:ascii="微软雅黑" w:hAnsi="微软雅黑" w:cs="微软雅黑"/>
          <w:sz w:val="20"/>
          <w:szCs w:val="20"/>
        </w:rPr>
        <w:t>推荐报价最低为第一中标候选人，报价次低为第二中标候选人。</w:t>
      </w:r>
      <w:r>
        <w:rPr>
          <w:rFonts w:hint="eastAsia" w:ascii="微软雅黑" w:hAnsi="微软雅黑" w:cs="微软雅黑"/>
          <w:sz w:val="20"/>
          <w:szCs w:val="20"/>
          <w:lang w:eastAsia="zh-TW"/>
        </w:rPr>
        <w:t>投标报价相同的，按</w:t>
      </w:r>
      <w:r>
        <w:rPr>
          <w:rFonts w:hint="eastAsia" w:ascii="微软雅黑" w:hAnsi="微软雅黑" w:cs="微软雅黑"/>
          <w:b/>
          <w:sz w:val="20"/>
          <w:szCs w:val="20"/>
        </w:rPr>
        <w:t>投标资料表</w:t>
      </w:r>
      <w:r>
        <w:rPr>
          <w:rFonts w:hint="eastAsia" w:ascii="微软雅黑" w:hAnsi="微软雅黑" w:cs="微软雅黑"/>
          <w:sz w:val="20"/>
          <w:szCs w:val="20"/>
        </w:rPr>
        <w:t>中所述的</w:t>
      </w:r>
      <w:r>
        <w:rPr>
          <w:rFonts w:hint="eastAsia" w:ascii="微软雅黑" w:hAnsi="微软雅黑" w:cs="微软雅黑"/>
          <w:sz w:val="20"/>
          <w:szCs w:val="20"/>
          <w:lang w:eastAsia="zh-TW"/>
        </w:rPr>
        <w:t>顺序排列。评标委员会认为，排在前面的中标候选人的最低投标</w:t>
      </w:r>
      <w:r>
        <w:rPr>
          <w:rFonts w:hint="eastAsia" w:ascii="微软雅黑" w:hAnsi="微软雅黑" w:cs="微软雅黑"/>
          <w:sz w:val="20"/>
          <w:szCs w:val="20"/>
        </w:rPr>
        <w:t>报</w:t>
      </w:r>
      <w:r>
        <w:rPr>
          <w:rFonts w:hint="eastAsia" w:ascii="微软雅黑" w:hAnsi="微软雅黑" w:cs="微软雅黑"/>
          <w:sz w:val="20"/>
          <w:szCs w:val="20"/>
          <w:lang w:eastAsia="zh-TW"/>
        </w:rPr>
        <w:t>价或者某些分项报价明显不合理或者低于成本，有可能影响</w:t>
      </w:r>
      <w:r>
        <w:rPr>
          <w:rFonts w:hint="eastAsia" w:ascii="微软雅黑" w:hAnsi="微软雅黑" w:cs="微软雅黑"/>
          <w:sz w:val="20"/>
          <w:szCs w:val="20"/>
        </w:rPr>
        <w:t>货物</w:t>
      </w:r>
      <w:r>
        <w:rPr>
          <w:rFonts w:hint="eastAsia" w:ascii="微软雅黑" w:hAnsi="微软雅黑" w:cs="微软雅黑"/>
          <w:sz w:val="20"/>
          <w:szCs w:val="20"/>
          <w:lang w:eastAsia="zh-TW"/>
        </w:rPr>
        <w:t>质量和不能诚信履约的，应当要求其在规定的期限内提供书面文件予以解释说明，并提交相关证明材料；否则，评标委员会可以取消该投标人的中标候选资格，按顺序由排在后面的中标候选人递补，以此类推。</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因不可抗力或自身原因不能履行合同的、不按要求与采购人签订合同、中标人放弃中标、中标资格被依法确认无效的，采购人可以与排位在中标人之后第一位的中标候选人签订采购合同，没有其他中标候选人的，应当重新组织采购活动。</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在招标采购中，出现下列情形之一的，应予废标： </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b/>
          <w:sz w:val="20"/>
          <w:szCs w:val="20"/>
        </w:rPr>
        <w:t>符合专业条件的投标人或者对招标文件作实质响应的投标人不足三家的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出现影响采购公正的违法、违规行为的；</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投标人的报价均超过了采购预算，采购人不能支付的；</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因重大变故，采购任务取消的。</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27" w:name="_Toc453956654"/>
      <w:bookmarkStart w:id="1328" w:name="_Toc453957414"/>
      <w:r>
        <w:rPr>
          <w:rFonts w:hint="eastAsia" w:ascii="微软雅黑" w:hAnsi="微软雅黑" w:cs="微软雅黑"/>
          <w:b/>
          <w:bCs/>
          <w:sz w:val="20"/>
          <w:szCs w:val="20"/>
        </w:rPr>
        <w:t>质疑与回复</w:t>
      </w:r>
      <w:bookmarkEnd w:id="1327"/>
      <w:bookmarkEnd w:id="1328"/>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投标人有质疑时，应当以书面形式（加盖投标人公章）在质疑有效期限内向招标采购单位提交质疑书原件，逾期质疑无效。投标人以电话、传真或电邮形式提交的质疑属于无效质疑。</w:t>
      </w:r>
      <w:r>
        <w:rPr>
          <w:rStyle w:val="27"/>
          <w:rFonts w:hint="eastAsia" w:ascii="微软雅黑" w:hAnsi="微软雅黑" w:cs="微软雅黑"/>
          <w:sz w:val="20"/>
          <w:szCs w:val="20"/>
        </w:rPr>
        <w:t>质疑有效期限为：</w:t>
      </w:r>
    </w:p>
    <w:p>
      <w:pPr>
        <w:pStyle w:val="6"/>
        <w:ind w:firstLine="650" w:firstLineChars="325"/>
        <w:rPr>
          <w:rStyle w:val="27"/>
          <w:rFonts w:ascii="微软雅黑" w:hAnsi="微软雅黑" w:cs="微软雅黑"/>
          <w:sz w:val="20"/>
          <w:szCs w:val="20"/>
        </w:rPr>
      </w:pPr>
      <w:r>
        <w:rPr>
          <w:rStyle w:val="27"/>
          <w:rFonts w:hint="eastAsia" w:ascii="微软雅黑" w:hAnsi="微软雅黑" w:cs="微软雅黑"/>
          <w:sz w:val="20"/>
          <w:szCs w:val="20"/>
        </w:rPr>
        <w:t>（1）对招标文件提出质疑的，为获取招标文件之日或者招标文件公告期限届满之日；</w:t>
      </w:r>
    </w:p>
    <w:p>
      <w:pPr>
        <w:pStyle w:val="6"/>
        <w:ind w:firstLine="650" w:firstLineChars="325"/>
        <w:rPr>
          <w:rStyle w:val="27"/>
          <w:rFonts w:ascii="微软雅黑" w:hAnsi="微软雅黑" w:cs="微软雅黑"/>
          <w:sz w:val="20"/>
          <w:szCs w:val="20"/>
        </w:rPr>
      </w:pPr>
      <w:r>
        <w:rPr>
          <w:rStyle w:val="27"/>
          <w:rFonts w:hint="eastAsia" w:ascii="微软雅黑" w:hAnsi="微软雅黑" w:cs="微软雅黑"/>
          <w:sz w:val="20"/>
          <w:szCs w:val="20"/>
        </w:rPr>
        <w:t>（2）对采购过程提出质疑的，为各采购程序环节结束之日；</w:t>
      </w:r>
    </w:p>
    <w:p>
      <w:pPr>
        <w:pStyle w:val="6"/>
        <w:tabs>
          <w:tab w:val="clear" w:pos="851"/>
        </w:tabs>
        <w:ind w:firstLine="650" w:firstLineChars="325"/>
        <w:rPr>
          <w:rFonts w:eastAsiaTheme="minorEastAsia"/>
        </w:rPr>
      </w:pPr>
      <w:r>
        <w:rPr>
          <w:rStyle w:val="27"/>
          <w:rFonts w:hint="eastAsia" w:ascii="微软雅黑" w:hAnsi="微软雅黑" w:cs="微软雅黑"/>
          <w:sz w:val="20"/>
          <w:szCs w:val="20"/>
        </w:rPr>
        <w:t>（3）对招标结果提出质疑的，为招标结果公示期限届满之日。</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招标采购单位受理书面质疑书原件之日起，在规定的期限内作出答复。对于捏造事实、滥用维权扰乱采购秩序的恶意质疑者或举证不全查无实据被驳回次数在一年内达三次以上，将纳入不良行为记录名单并承担相应的法律责任。</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招标采购单位在收到投标人的有效书面质疑后七个工作日内作出答复，但答复的内容不涉及商业秘密，质疑投标人对采购人、采购代理机构的质疑答复不满意，或采购人、采购代理机构未在规定期限内作出答复的，可以在答复期满后十五个工作日内向同级或上级主管部门提出投诉。</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29" w:name="_Toc453956655"/>
      <w:bookmarkStart w:id="1330" w:name="_Toc453957415"/>
      <w:r>
        <w:rPr>
          <w:rFonts w:hint="eastAsia" w:ascii="微软雅黑" w:hAnsi="微软雅黑" w:cs="微软雅黑"/>
          <w:b/>
          <w:bCs/>
          <w:sz w:val="20"/>
          <w:szCs w:val="20"/>
        </w:rPr>
        <w:t>中标通知书</w:t>
      </w:r>
      <w:bookmarkEnd w:id="1329"/>
      <w:bookmarkEnd w:id="1330"/>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中标人确定后</w:t>
      </w:r>
      <w:r>
        <w:rPr>
          <w:rFonts w:hint="eastAsia" w:ascii="微软雅黑" w:hAnsi="微软雅黑" w:cs="微软雅黑"/>
          <w:sz w:val="20"/>
          <w:szCs w:val="20"/>
        </w:rPr>
        <w:t>，</w:t>
      </w:r>
      <w:r>
        <w:rPr>
          <w:rFonts w:hint="eastAsia" w:ascii="微软雅黑" w:hAnsi="微软雅黑" w:cs="微软雅黑"/>
          <w:sz w:val="20"/>
          <w:szCs w:val="20"/>
          <w:lang w:eastAsia="zh-TW"/>
        </w:rPr>
        <w:t>采购代理机构将在</w:t>
      </w:r>
      <w:r>
        <w:rPr>
          <w:rFonts w:hint="eastAsia" w:ascii="微软雅黑" w:hAnsi="微软雅黑" w:cs="微软雅黑"/>
          <w:sz w:val="20"/>
          <w:szCs w:val="20"/>
        </w:rPr>
        <w:t>法定</w:t>
      </w:r>
      <w:r>
        <w:rPr>
          <w:rFonts w:hint="eastAsia" w:ascii="微软雅黑" w:hAnsi="微软雅黑" w:cs="微软雅黑"/>
          <w:sz w:val="20"/>
          <w:szCs w:val="20"/>
          <w:lang w:eastAsia="zh-TW"/>
        </w:rPr>
        <w:t>的媒体上发布中标公告，并向中标人发出《中标通知书》</w:t>
      </w:r>
      <w:r>
        <w:rPr>
          <w:rFonts w:hint="eastAsia" w:ascii="微软雅黑" w:hAnsi="微软雅黑" w:cs="微软雅黑"/>
          <w:sz w:val="20"/>
          <w:szCs w:val="20"/>
        </w:rPr>
        <w:t>，向采购人发出《招标结果通知书》，</w:t>
      </w:r>
      <w:r>
        <w:rPr>
          <w:rFonts w:hint="eastAsia" w:ascii="微软雅黑" w:hAnsi="微软雅黑" w:cs="微软雅黑"/>
          <w:sz w:val="20"/>
          <w:szCs w:val="20"/>
          <w:lang w:eastAsia="zh-TW"/>
        </w:rPr>
        <w:t>《中标通知书》对中标人和采购人具有同等法律效力。</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《中标通知书》将作为授予合同资格的合法依据，是合同的一个组成部分。</w:t>
      </w:r>
    </w:p>
    <w:p>
      <w:pPr>
        <w:spacing w:beforeLines="100" w:afterLines="100" w:line="360" w:lineRule="auto"/>
        <w:jc w:val="center"/>
        <w:outlineLvl w:val="0"/>
        <w:rPr>
          <w:rFonts w:ascii="宋体" w:hAnsi="宋体" w:cs="楷体_GB2312"/>
          <w:b/>
          <w:sz w:val="28"/>
          <w:szCs w:val="28"/>
          <w:lang w:eastAsia="zh-TW"/>
        </w:rPr>
      </w:pPr>
      <w:bookmarkStart w:id="1331" w:name="_Toc453956656"/>
      <w:bookmarkStart w:id="1332" w:name="_Toc453957416"/>
      <w:r>
        <w:rPr>
          <w:rFonts w:hint="eastAsia" w:ascii="宋体" w:hAnsi="宋体" w:cs="楷体_GB2312"/>
          <w:b/>
          <w:sz w:val="28"/>
          <w:szCs w:val="28"/>
          <w:lang w:eastAsia="zh-TW"/>
        </w:rPr>
        <w:t>六、授予合同</w:t>
      </w:r>
      <w:bookmarkEnd w:id="1331"/>
      <w:bookmarkEnd w:id="1332"/>
    </w:p>
    <w:p>
      <w:pPr>
        <w:widowControl w:val="0"/>
        <w:numPr>
          <w:ilvl w:val="1"/>
          <w:numId w:val="16"/>
        </w:numPr>
        <w:autoSpaceDE w:val="0"/>
        <w:autoSpaceDN w:val="0"/>
        <w:spacing w:after="0" w:line="360" w:lineRule="auto"/>
        <w:jc w:val="both"/>
        <w:rPr>
          <w:rFonts w:ascii="微软雅黑" w:hAnsi="微软雅黑" w:cs="微软雅黑"/>
          <w:sz w:val="20"/>
          <w:szCs w:val="20"/>
        </w:rPr>
      </w:pPr>
      <w:bookmarkStart w:id="1333" w:name="_Toc293506705"/>
      <w:bookmarkEnd w:id="1333"/>
      <w:bookmarkStart w:id="1334" w:name="_Toc294000412"/>
      <w:bookmarkEnd w:id="1334"/>
      <w:bookmarkStart w:id="1335" w:name="_Toc293507847"/>
      <w:bookmarkEnd w:id="1335"/>
      <w:bookmarkStart w:id="1336" w:name="_Toc293507742"/>
      <w:bookmarkEnd w:id="1336"/>
      <w:bookmarkStart w:id="1337" w:name="_Toc293506704"/>
      <w:bookmarkEnd w:id="1337"/>
      <w:bookmarkStart w:id="1338" w:name="_Toc293506764"/>
      <w:bookmarkEnd w:id="1338"/>
      <w:bookmarkStart w:id="1339" w:name="_Toc293507848"/>
      <w:bookmarkEnd w:id="1339"/>
      <w:bookmarkStart w:id="1340" w:name="_Toc294000411"/>
      <w:bookmarkEnd w:id="1340"/>
      <w:bookmarkStart w:id="1341" w:name="_Toc293507649"/>
      <w:bookmarkEnd w:id="1341"/>
      <w:bookmarkStart w:id="1342" w:name="_Toc293507741"/>
      <w:bookmarkEnd w:id="1342"/>
      <w:bookmarkStart w:id="1343" w:name="_Toc293507648"/>
      <w:bookmarkEnd w:id="1343"/>
      <w:bookmarkStart w:id="1344" w:name="_Toc293506765"/>
      <w:bookmarkEnd w:id="1344"/>
      <w:bookmarkStart w:id="1345" w:name="_Toc453956657"/>
      <w:bookmarkStart w:id="1346" w:name="_Toc453957417"/>
      <w:r>
        <w:rPr>
          <w:rFonts w:hint="eastAsia" w:ascii="微软雅黑" w:hAnsi="微软雅黑" w:cs="微软雅黑"/>
          <w:b/>
          <w:bCs/>
          <w:sz w:val="20"/>
          <w:szCs w:val="20"/>
        </w:rPr>
        <w:t>合同的订立</w:t>
      </w:r>
      <w:bookmarkEnd w:id="1345"/>
      <w:bookmarkEnd w:id="1346"/>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除非投标资料表另有规定，采购方与供应方将于中标通知书发出之日起30个日历天内，按照评审文件的约定签订合同。所签订的合同不得对招标文件和中标人投标文件作实质性修改。</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招标采购单位不得向中标人提出任何不合理的要求，作为签订合同的条件，不得与中标人私下订立背离合同实质性内容的协议。 </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签订合同后</w:t>
      </w:r>
      <w:r>
        <w:rPr>
          <w:rFonts w:hint="eastAsia" w:ascii="微软雅黑" w:hAnsi="微软雅黑" w:cs="微软雅黑"/>
          <w:sz w:val="20"/>
          <w:szCs w:val="20"/>
        </w:rPr>
        <w:t>七</w:t>
      </w:r>
      <w:r>
        <w:rPr>
          <w:rFonts w:hint="eastAsia" w:ascii="微软雅黑" w:hAnsi="微软雅黑" w:cs="微软雅黑"/>
          <w:sz w:val="20"/>
          <w:szCs w:val="20"/>
          <w:lang w:eastAsia="zh-TW"/>
        </w:rPr>
        <w:t>个工作日内，采购人应将采购合同副本报同级</w:t>
      </w:r>
      <w:r>
        <w:rPr>
          <w:rFonts w:hint="eastAsia" w:ascii="微软雅黑" w:hAnsi="微软雅黑" w:cs="微软雅黑"/>
          <w:sz w:val="20"/>
          <w:szCs w:val="20"/>
        </w:rPr>
        <w:t>或上级主管</w:t>
      </w:r>
      <w:r>
        <w:rPr>
          <w:rFonts w:hint="eastAsia" w:ascii="微软雅黑" w:hAnsi="微软雅黑" w:cs="微软雅黑"/>
          <w:sz w:val="20"/>
          <w:szCs w:val="20"/>
          <w:lang w:eastAsia="zh-TW"/>
        </w:rPr>
        <w:t>部门备案。</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47" w:name="_Toc453957418"/>
      <w:bookmarkStart w:id="1348" w:name="_Toc453956658"/>
      <w:r>
        <w:rPr>
          <w:rFonts w:hint="eastAsia" w:ascii="微软雅黑" w:hAnsi="微软雅黑" w:cs="微软雅黑"/>
          <w:b/>
          <w:bCs/>
          <w:sz w:val="20"/>
          <w:szCs w:val="20"/>
        </w:rPr>
        <w:t>合同的履行</w:t>
      </w:r>
      <w:bookmarkEnd w:id="1347"/>
      <w:bookmarkEnd w:id="1348"/>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采购合同订立后，合同各方不得擅自变更、中止或者终止合同。采购合同需要变更的，采购人应将有关合同变更内容，以书面形式报同级</w:t>
      </w:r>
      <w:r>
        <w:rPr>
          <w:rFonts w:hint="eastAsia" w:ascii="微软雅黑" w:hAnsi="微软雅黑" w:cs="微软雅黑"/>
          <w:sz w:val="20"/>
          <w:szCs w:val="20"/>
        </w:rPr>
        <w:t>或上级主管部门</w:t>
      </w:r>
      <w:r>
        <w:rPr>
          <w:rFonts w:hint="eastAsia" w:ascii="微软雅黑" w:hAnsi="微软雅黑" w:cs="微软雅黑"/>
          <w:sz w:val="20"/>
          <w:szCs w:val="20"/>
          <w:lang w:eastAsia="zh-TW"/>
        </w:rPr>
        <w:t>备案；因特殊情况需要中止或终止合同的，采购人应将中止或终止合同的理由以及相应措施，以书面形式报同级</w:t>
      </w:r>
      <w:r>
        <w:rPr>
          <w:rFonts w:hint="eastAsia" w:ascii="微软雅黑" w:hAnsi="微软雅黑" w:cs="微软雅黑"/>
          <w:sz w:val="20"/>
          <w:szCs w:val="20"/>
        </w:rPr>
        <w:t>或上级主管部门部门</w:t>
      </w:r>
      <w:r>
        <w:rPr>
          <w:rFonts w:hint="eastAsia" w:ascii="微软雅黑" w:hAnsi="微软雅黑" w:cs="微软雅黑"/>
          <w:sz w:val="20"/>
          <w:szCs w:val="20"/>
          <w:lang w:eastAsia="zh-TW"/>
        </w:rPr>
        <w:t>备案。</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采购合同履行中，采购人需追加与合同标的相同的货物的，在不改变合同其他条款的前提下，可以与投标人签订补充合同，但所补充合同的采购金额不得超过原合同采购金额的百分之十。签订补充合同的必须按规定备案。</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49" w:name="_Toc453957419"/>
      <w:bookmarkStart w:id="1350" w:name="_Toc453956659"/>
      <w:r>
        <w:rPr>
          <w:rFonts w:hint="eastAsia" w:ascii="微软雅黑" w:hAnsi="微软雅黑" w:cs="微软雅黑"/>
          <w:b/>
          <w:bCs/>
          <w:sz w:val="20"/>
          <w:szCs w:val="20"/>
        </w:rPr>
        <w:t>履约担保</w:t>
      </w:r>
      <w:bookmarkEnd w:id="1349"/>
      <w:bookmarkEnd w:id="1350"/>
      <w:r>
        <w:rPr>
          <w:rFonts w:hint="eastAsia" w:ascii="微软雅黑" w:hAnsi="微软雅黑" w:cs="微软雅黑"/>
          <w:b/>
          <w:bCs/>
          <w:sz w:val="20"/>
          <w:szCs w:val="20"/>
        </w:rPr>
        <w:t>（履约保证金等）</w:t>
      </w:r>
    </w:p>
    <w:p>
      <w:pPr>
        <w:spacing w:line="360" w:lineRule="auto"/>
        <w:ind w:firstLine="400" w:firstLineChars="200"/>
        <w:rPr>
          <w:rFonts w:ascii="微软雅黑" w:hAnsi="微软雅黑" w:cs="微软雅黑"/>
          <w:sz w:val="20"/>
          <w:szCs w:val="20"/>
        </w:rPr>
      </w:pPr>
      <w:r>
        <w:rPr>
          <w:rFonts w:hint="eastAsia" w:ascii="微软雅黑" w:hAnsi="微软雅黑" w:cs="微软雅黑"/>
          <w:sz w:val="20"/>
          <w:szCs w:val="20"/>
        </w:rPr>
        <w:t>详见用户需求书、合同条款</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51" w:name="_Toc453957420"/>
      <w:bookmarkStart w:id="1352" w:name="_Toc453956660"/>
      <w:r>
        <w:rPr>
          <w:rFonts w:hint="eastAsia" w:ascii="微软雅黑" w:hAnsi="微软雅黑" w:cs="微软雅黑"/>
          <w:b/>
          <w:bCs/>
          <w:sz w:val="20"/>
          <w:szCs w:val="20"/>
        </w:rPr>
        <w:t>招标代理服务费</w:t>
      </w:r>
      <w:bookmarkEnd w:id="1351"/>
      <w:bookmarkEnd w:id="1352"/>
    </w:p>
    <w:p>
      <w:pPr>
        <w:spacing w:line="360" w:lineRule="auto"/>
        <w:ind w:firstLine="400" w:firstLineChars="200"/>
        <w:rPr>
          <w:rFonts w:ascii="微软雅黑" w:hAnsi="微软雅黑" w:cs="微软雅黑"/>
          <w:sz w:val="20"/>
          <w:szCs w:val="20"/>
        </w:rPr>
      </w:pPr>
      <w:r>
        <w:rPr>
          <w:rFonts w:hint="eastAsia" w:ascii="微软雅黑" w:hAnsi="微软雅黑" w:cs="微软雅黑"/>
          <w:sz w:val="20"/>
          <w:szCs w:val="20"/>
        </w:rPr>
        <w:t>本项目中标单位无需缴纳招标代理服务费。</w:t>
      </w:r>
    </w:p>
    <w:p>
      <w:pPr>
        <w:spacing w:line="360" w:lineRule="auto"/>
        <w:jc w:val="center"/>
        <w:rPr>
          <w:rFonts w:ascii="宋体" w:hAnsi="宋体" w:eastAsia="宋体" w:cs="宋体"/>
          <w:b/>
          <w:sz w:val="56"/>
          <w:szCs w:val="56"/>
        </w:rPr>
      </w:pPr>
      <w:r>
        <w:rPr>
          <w:rFonts w:hAnsi="宋体" w:cs="宋体"/>
          <w:sz w:val="24"/>
          <w:szCs w:val="24"/>
        </w:rPr>
        <w:br w:type="page"/>
      </w:r>
      <w:bookmarkStart w:id="1353" w:name="_Toc453956661"/>
      <w:bookmarkStart w:id="1354" w:name="_Toc453957421"/>
      <w:r>
        <w:rPr>
          <w:rFonts w:hint="eastAsia" w:ascii="黑体" w:hAnsi="黑体" w:eastAsia="黑体" w:cs="黑体"/>
          <w:sz w:val="32"/>
          <w:szCs w:val="32"/>
        </w:rPr>
        <w:t>第七章 合同专用条款</w:t>
      </w:r>
      <w:bookmarkEnd w:id="1353"/>
      <w:bookmarkEnd w:id="1354"/>
    </w:p>
    <w:p>
      <w:pPr>
        <w:widowControl w:val="0"/>
        <w:spacing w:line="360" w:lineRule="auto"/>
        <w:jc w:val="center"/>
        <w:rPr>
          <w:rFonts w:hint="eastAsia" w:ascii="微软雅黑" w:hAnsi="微软雅黑" w:eastAsia="微软雅黑" w:cs="微软雅黑"/>
          <w:b/>
          <w:spacing w:val="200"/>
          <w:sz w:val="28"/>
          <w:szCs w:val="28"/>
        </w:rPr>
      </w:pPr>
      <w:r>
        <w:rPr>
          <w:rFonts w:hint="eastAsia" w:ascii="微软雅黑" w:hAnsi="微软雅黑" w:eastAsia="微软雅黑" w:cs="微软雅黑"/>
          <w:b/>
          <w:spacing w:val="200"/>
          <w:sz w:val="28"/>
          <w:szCs w:val="28"/>
        </w:rPr>
        <w:t>合同书</w:t>
      </w:r>
    </w:p>
    <w:p>
      <w:pPr>
        <w:widowControl w:val="0"/>
        <w:spacing w:line="360" w:lineRule="auto"/>
        <w:jc w:val="center"/>
        <w:rPr>
          <w:rFonts w:hint="eastAsia" w:ascii="微软雅黑" w:hAnsi="微软雅黑" w:eastAsia="微软雅黑" w:cs="微软雅黑"/>
          <w:b/>
          <w:sz w:val="28"/>
          <w:szCs w:val="28"/>
        </w:rPr>
      </w:pPr>
    </w:p>
    <w:p>
      <w:pPr>
        <w:widowControl w:val="0"/>
        <w:spacing w:line="360" w:lineRule="auto"/>
        <w:ind w:left="440" w:leftChars="200"/>
        <w:rPr>
          <w:rFonts w:hint="eastAsia" w:ascii="微软雅黑" w:hAnsi="微软雅黑" w:eastAsia="微软雅黑" w:cs="微软雅黑"/>
          <w:b/>
          <w:color w:val="0070C0"/>
          <w:sz w:val="28"/>
          <w:szCs w:val="28"/>
        </w:rPr>
      </w:pPr>
      <w:r>
        <w:rPr>
          <w:rFonts w:hint="eastAsia" w:ascii="微软雅黑" w:hAnsi="微软雅黑" w:eastAsia="微软雅黑" w:cs="微软雅黑"/>
          <w:b/>
          <w:sz w:val="28"/>
          <w:szCs w:val="28"/>
        </w:rPr>
        <w:t>项目名称：</w:t>
      </w:r>
    </w:p>
    <w:p>
      <w:pPr>
        <w:widowControl w:val="0"/>
        <w:spacing w:line="480" w:lineRule="auto"/>
        <w:ind w:left="1680"/>
        <w:rPr>
          <w:rFonts w:hint="eastAsia" w:ascii="微软雅黑" w:hAnsi="微软雅黑" w:eastAsia="微软雅黑" w:cs="微软雅黑"/>
          <w:b/>
          <w:sz w:val="28"/>
          <w:szCs w:val="28"/>
        </w:rPr>
      </w:pPr>
    </w:p>
    <w:p>
      <w:pPr>
        <w:widowControl w:val="0"/>
        <w:spacing w:line="480" w:lineRule="auto"/>
        <w:ind w:left="1680"/>
        <w:rPr>
          <w:rFonts w:hint="eastAsia" w:ascii="微软雅黑" w:hAnsi="微软雅黑" w:eastAsia="微软雅黑" w:cs="微软雅黑"/>
          <w:b/>
          <w:sz w:val="28"/>
          <w:szCs w:val="28"/>
          <w:lang w:eastAsia="zh-CN"/>
        </w:rPr>
      </w:pPr>
      <w:r>
        <w:rPr>
          <w:rFonts w:hint="eastAsia" w:ascii="微软雅黑" w:hAnsi="微软雅黑" w:eastAsia="微软雅黑" w:cs="微软雅黑"/>
          <w:b/>
          <w:sz w:val="28"/>
          <w:szCs w:val="28"/>
        </w:rPr>
        <w:t>甲方：</w:t>
      </w:r>
      <w:r>
        <w:rPr>
          <w:rFonts w:hint="eastAsia" w:ascii="微软雅黑" w:hAnsi="微软雅黑" w:cs="微软雅黑"/>
          <w:b/>
          <w:sz w:val="28"/>
          <w:szCs w:val="28"/>
          <w:lang w:eastAsia="zh-CN"/>
        </w:rPr>
        <w:t>广州市增城自来水安装工程有限公司</w:t>
      </w:r>
    </w:p>
    <w:p>
      <w:pPr>
        <w:widowControl w:val="0"/>
        <w:spacing w:line="480" w:lineRule="auto"/>
        <w:ind w:left="1680"/>
        <w:rPr>
          <w:rFonts w:hint="eastAsia" w:ascii="微软雅黑" w:hAnsi="微软雅黑" w:eastAsia="微软雅黑" w:cs="微软雅黑"/>
          <w:b/>
          <w:sz w:val="28"/>
          <w:szCs w:val="28"/>
          <w:highlight w:val="lightGray"/>
        </w:rPr>
      </w:pPr>
      <w:r>
        <w:rPr>
          <w:rFonts w:hint="eastAsia" w:ascii="微软雅黑" w:hAnsi="微软雅黑" w:eastAsia="微软雅黑" w:cs="微软雅黑"/>
          <w:b/>
          <w:sz w:val="28"/>
          <w:szCs w:val="28"/>
          <w:highlight w:val="lightGray"/>
        </w:rPr>
        <w:t>乙方：</w:t>
      </w:r>
    </w:p>
    <w:p>
      <w:pPr>
        <w:widowControl w:val="0"/>
        <w:spacing w:line="480" w:lineRule="auto"/>
        <w:ind w:left="1680"/>
        <w:rPr>
          <w:rFonts w:hint="eastAsia" w:ascii="微软雅黑" w:hAnsi="微软雅黑" w:eastAsia="微软雅黑" w:cs="微软雅黑"/>
          <w:b/>
          <w:sz w:val="28"/>
          <w:szCs w:val="28"/>
        </w:rPr>
      </w:pPr>
    </w:p>
    <w:p>
      <w:pPr>
        <w:widowControl w:val="0"/>
        <w:spacing w:line="480" w:lineRule="auto"/>
        <w:ind w:left="168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合同编号：</w:t>
      </w:r>
    </w:p>
    <w:p>
      <w:pPr>
        <w:widowControl w:val="0"/>
        <w:spacing w:line="480" w:lineRule="auto"/>
        <w:ind w:left="168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签约地点：</w:t>
      </w:r>
      <w:r>
        <w:rPr>
          <w:rFonts w:hint="eastAsia" w:ascii="微软雅黑" w:hAnsi="微软雅黑" w:eastAsia="微软雅黑" w:cs="微软雅黑"/>
          <w:b/>
          <w:sz w:val="28"/>
          <w:szCs w:val="28"/>
          <w:u w:val="single"/>
        </w:rPr>
        <w:t>广州市</w:t>
      </w:r>
      <w:r>
        <w:rPr>
          <w:rFonts w:hint="eastAsia" w:ascii="微软雅黑" w:hAnsi="微软雅黑" w:cs="微软雅黑"/>
          <w:b/>
          <w:sz w:val="28"/>
          <w:szCs w:val="28"/>
          <w:u w:val="single"/>
          <w:lang w:eastAsia="zh-CN"/>
        </w:rPr>
        <w:t>增城</w:t>
      </w:r>
      <w:r>
        <w:rPr>
          <w:rFonts w:hint="eastAsia" w:ascii="微软雅黑" w:hAnsi="微软雅黑" w:eastAsia="微软雅黑" w:cs="微软雅黑"/>
          <w:b/>
          <w:sz w:val="28"/>
          <w:szCs w:val="28"/>
          <w:u w:val="single"/>
        </w:rPr>
        <w:t>区</w:t>
      </w:r>
    </w:p>
    <w:p>
      <w:pPr>
        <w:widowControl w:val="0"/>
        <w:spacing w:line="480" w:lineRule="auto"/>
        <w:ind w:left="168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签订日期：       年    月    日</w:t>
      </w:r>
    </w:p>
    <w:p>
      <w:pPr>
        <w:widowControl w:val="0"/>
        <w:jc w:val="center"/>
        <w:rPr>
          <w:rFonts w:hint="eastAsia" w:ascii="微软雅黑" w:hAnsi="微软雅黑" w:eastAsia="微软雅黑" w:cs="微软雅黑"/>
          <w:sz w:val="21"/>
          <w:szCs w:val="21"/>
        </w:rPr>
      </w:pPr>
    </w:p>
    <w:p>
      <w:pPr>
        <w:widowControl w:val="0"/>
        <w:tabs>
          <w:tab w:val="left" w:pos="840"/>
        </w:tabs>
        <w:spacing w:line="360" w:lineRule="auto"/>
        <w:rPr>
          <w:rFonts w:hint="eastAsia" w:ascii="微软雅黑" w:hAnsi="微软雅黑" w:eastAsia="微软雅黑" w:cs="微软雅黑"/>
          <w:sz w:val="21"/>
          <w:szCs w:val="21"/>
        </w:rPr>
        <w:sectPr>
          <w:headerReference r:id="rId7" w:type="default"/>
          <w:footerReference r:id="rId8" w:type="default"/>
          <w:pgSz w:w="11907" w:h="16840"/>
          <w:pgMar w:top="1361" w:right="1757" w:bottom="1361" w:left="1757" w:header="794" w:footer="794" w:gutter="0"/>
          <w:cols w:space="720" w:num="1"/>
          <w:docGrid w:linePitch="285" w:charSpace="0"/>
        </w:sectPr>
      </w:pPr>
    </w:p>
    <w:p>
      <w:pPr>
        <w:widowControl w:val="0"/>
        <w:tabs>
          <w:tab w:val="left" w:pos="840"/>
        </w:tabs>
        <w:spacing w:line="312" w:lineRule="auto"/>
        <w:ind w:firstLine="456"/>
        <w:rPr>
          <w:rFonts w:hint="eastAsia" w:ascii="微软雅黑" w:hAnsi="微软雅黑" w:eastAsia="微软雅黑" w:cs="微软雅黑"/>
          <w:kern w:val="28"/>
          <w:sz w:val="21"/>
          <w:szCs w:val="21"/>
          <w:lang w:eastAsia="zh-CN"/>
        </w:rPr>
      </w:pPr>
      <w:r>
        <w:rPr>
          <w:rFonts w:hint="eastAsia" w:ascii="微软雅黑" w:hAnsi="微软雅黑" w:eastAsia="微软雅黑" w:cs="微软雅黑"/>
          <w:kern w:val="28"/>
          <w:sz w:val="21"/>
          <w:szCs w:val="21"/>
        </w:rPr>
        <w:t>甲方：广州市</w:t>
      </w:r>
      <w:r>
        <w:rPr>
          <w:rFonts w:hint="eastAsia" w:ascii="微软雅黑" w:hAnsi="微软雅黑" w:cs="微软雅黑"/>
          <w:kern w:val="28"/>
          <w:sz w:val="21"/>
          <w:szCs w:val="21"/>
          <w:lang w:eastAsia="zh-CN"/>
        </w:rPr>
        <w:t>增城自来水安装工程有限公司</w:t>
      </w:r>
    </w:p>
    <w:p>
      <w:pPr>
        <w:widowControl w:val="0"/>
        <w:tabs>
          <w:tab w:val="left" w:pos="840"/>
        </w:tabs>
        <w:spacing w:line="312" w:lineRule="auto"/>
        <w:ind w:firstLine="456"/>
        <w:rPr>
          <w:rFonts w:hint="eastAsia" w:ascii="微软雅黑" w:hAnsi="微软雅黑" w:eastAsia="微软雅黑" w:cs="微软雅黑"/>
          <w:kern w:val="28"/>
          <w:sz w:val="21"/>
          <w:szCs w:val="21"/>
        </w:rPr>
      </w:pPr>
      <w:r>
        <w:rPr>
          <w:rFonts w:hint="eastAsia" w:ascii="微软雅黑" w:hAnsi="微软雅黑" w:eastAsia="微软雅黑" w:cs="微软雅黑"/>
          <w:kern w:val="28"/>
          <w:sz w:val="21"/>
          <w:szCs w:val="21"/>
          <w:highlight w:val="lightGray"/>
        </w:rPr>
        <w:t>乙方：</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根据《中华人民共和国民法典》、《中华人民共和国招标投标法》及</w:t>
      </w:r>
      <w:r>
        <w:rPr>
          <w:rFonts w:hint="default" w:ascii="微软雅黑" w:hAnsi="微软雅黑" w:cs="微软雅黑"/>
          <w:color w:val="FF0000"/>
          <w:sz w:val="21"/>
          <w:szCs w:val="21"/>
          <w:u w:val="single"/>
        </w:rPr>
        <w:t>广州市增城自来水安装工程有限公司2021~2022年度远传水表采购项目</w:t>
      </w:r>
      <w:r>
        <w:rPr>
          <w:rFonts w:hint="eastAsia" w:ascii="微软雅黑" w:hAnsi="微软雅黑" w:eastAsia="微软雅黑" w:cs="微软雅黑"/>
          <w:sz w:val="21"/>
          <w:szCs w:val="21"/>
        </w:rPr>
        <w:t>的招标结果和招标文件的要求，甲、乙双方经协商一致，为明确双方责任和权利，特签订本合同，以兹共同遵守。</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一、供货范围</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1、采购货物类型：按照《合同附件1》内列示的类型采购，不在列示之内的不属本项目采购范围；</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2、货物价格及参数：价格明细表详见《合同附件1》，关键技术参数详细参阅招标文件。</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3、采购数量：甲方根据实际需求确定每批（次）订货清单及数量，订货清单须有甲方授权代表签字为有效。乙方须按订货清单供货。（实际采购量按甲方需求确定，不受报价表中数量限制）。</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4、货物的质量、技术标准：</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4.1货物的质量满足国家或相关行业最新的强制性质量标准；并具有国家认可机构出具的与每批货物相对应有效期限内的有效质量检验合格报告，无强制性标准的应以样品或双方约定的标准为准（包括图纸、样品等），如相关标准之间存在冲突，按较严的标准执行。图纸及样品必须经双方签认并妥善封存。</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4.2生产厂家：</w:t>
      </w:r>
    </w:p>
    <w:p>
      <w:pPr>
        <w:widowControl w:val="0"/>
        <w:spacing w:line="312" w:lineRule="auto"/>
        <w:ind w:left="482" w:hanging="420" w:hanging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二、供货期：</w:t>
      </w:r>
      <w:r>
        <w:rPr>
          <w:rFonts w:hint="eastAsia" w:ascii="微软雅黑" w:hAnsi="微软雅黑" w:cs="微软雅黑"/>
          <w:color w:val="FF0000"/>
          <w:sz w:val="21"/>
          <w:szCs w:val="21"/>
          <w:lang w:val="en-US" w:eastAsia="zh-CN"/>
        </w:rPr>
        <w:t>12</w:t>
      </w:r>
      <w:r>
        <w:rPr>
          <w:rFonts w:hint="eastAsia" w:ascii="微软雅黑" w:hAnsi="微软雅黑" w:eastAsia="微软雅黑" w:cs="微软雅黑"/>
          <w:color w:val="FF0000"/>
          <w:sz w:val="21"/>
          <w:szCs w:val="21"/>
        </w:rPr>
        <w:t>个月</w:t>
      </w:r>
      <w:r>
        <w:rPr>
          <w:rFonts w:hint="eastAsia" w:ascii="微软雅黑" w:hAnsi="微软雅黑" w:eastAsia="微软雅黑" w:cs="微软雅黑"/>
          <w:sz w:val="21"/>
          <w:szCs w:val="21"/>
        </w:rPr>
        <w:t>，即    年   月   日至     年   月   日。供货期届满或累计货物结算总额达到合同总价后（先到为准），本合同自然终止。</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三、合同价款</w:t>
      </w:r>
    </w:p>
    <w:p>
      <w:pPr>
        <w:widowControl w:val="0"/>
        <w:spacing w:line="312" w:lineRule="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rPr>
        <w:t>1、合同总价：</w:t>
      </w:r>
      <w:r>
        <w:rPr>
          <w:rFonts w:hint="eastAsia" w:ascii="微软雅黑" w:hAnsi="微软雅黑" w:eastAsia="微软雅黑" w:cs="微软雅黑"/>
          <w:sz w:val="21"/>
          <w:szCs w:val="21"/>
          <w:highlight w:val="lightGray"/>
        </w:rPr>
        <w:t xml:space="preserve">       元（大写：人民币  ），其中含  %增值税，不含税合同总价为       元。</w:t>
      </w:r>
      <w:r>
        <w:rPr>
          <w:rFonts w:hint="eastAsia" w:ascii="微软雅黑" w:hAnsi="微软雅黑" w:eastAsia="微软雅黑" w:cs="微软雅黑"/>
          <w:sz w:val="21"/>
          <w:szCs w:val="21"/>
        </w:rPr>
        <w:t>本合同结算总额不得超过合同含税总价。</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本合同项下货物含税单价已包含材料费、人工制造费、检验费、包装费、运输费（含运输损耗）、装卸、质保金、交货前仓储费、保险费、利润、税金、售后服务费、质保期保障、不可预见费等货物送到交货地点并经验收合格的全部费用，除按货物单价及数量向乙方计付货款外，甲方无需再向乙方支付任何其他费用。</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3、计价方法：按验收合格的数量乘以相应货物结算单价据实结算。</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4、结算价格：</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4.1按照《价格明细表》（合同附件1）内列示单价进行结算。</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4.2在合同履行期间，如遇国家的税收政策调整，则不含税单价不变，价税合计相应调整，以开具发票的时间为准。</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4.3本合同履行期间，除国家税收政策调整而导致结算单价作出相应调整外，结算单价不再因其他任何因素变化而作出调整。</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5、付款方式：不设预付款，每月按实结算。甲乙双方在每月</w:t>
      </w:r>
      <w:r>
        <w:rPr>
          <w:rFonts w:hint="eastAsia" w:ascii="微软雅黑" w:hAnsi="微软雅黑" w:cs="微软雅黑"/>
          <w:color w:val="FF0000"/>
          <w:sz w:val="21"/>
          <w:szCs w:val="21"/>
          <w:lang w:val="en-US" w:eastAsia="zh-CN"/>
        </w:rPr>
        <w:t>1-10</w:t>
      </w:r>
      <w:r>
        <w:rPr>
          <w:rFonts w:hint="eastAsia" w:ascii="微软雅黑" w:hAnsi="微软雅黑" w:eastAsia="微软雅黑" w:cs="微软雅黑"/>
          <w:color w:val="FF0000"/>
          <w:sz w:val="21"/>
          <w:szCs w:val="21"/>
        </w:rPr>
        <w:t xml:space="preserve"> </w:t>
      </w:r>
      <w:r>
        <w:rPr>
          <w:rFonts w:hint="eastAsia" w:ascii="微软雅黑" w:hAnsi="微软雅黑" w:eastAsia="微软雅黑" w:cs="微软雅黑"/>
          <w:sz w:val="21"/>
          <w:szCs w:val="21"/>
        </w:rPr>
        <w:t>日对上个月的送货量进行清点核实，合同结算以实际验收合格的送货量结算。凭经甲方签字确认的送货清单及乙方开具的增值税专用发票办理结算手续，甲方收到有关结算资料后</w:t>
      </w:r>
      <w:r>
        <w:rPr>
          <w:rFonts w:hint="eastAsia" w:ascii="微软雅黑" w:hAnsi="微软雅黑" w:cs="微软雅黑"/>
          <w:color w:val="FF0000"/>
          <w:sz w:val="21"/>
          <w:szCs w:val="21"/>
          <w:lang w:val="en-US" w:eastAsia="zh-CN"/>
        </w:rPr>
        <w:t>4</w:t>
      </w:r>
      <w:r>
        <w:rPr>
          <w:rFonts w:hint="eastAsia" w:ascii="微软雅黑" w:hAnsi="微软雅黑" w:eastAsia="微软雅黑" w:cs="微软雅黑"/>
          <w:color w:val="FF0000"/>
          <w:sz w:val="21"/>
          <w:szCs w:val="21"/>
        </w:rPr>
        <w:t>0</w:t>
      </w:r>
      <w:r>
        <w:rPr>
          <w:rFonts w:hint="eastAsia" w:ascii="微软雅黑" w:hAnsi="微软雅黑" w:eastAsia="微软雅黑" w:cs="微软雅黑"/>
          <w:sz w:val="21"/>
          <w:szCs w:val="21"/>
        </w:rPr>
        <w:t>个工作日内以银行转帐方式支付上月应付货款全额至乙方指定的以下账户：</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开户行：</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帐户名：</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帐号：</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迟延提供发票及请款资料的，付款时间相应顺延，直至乙方补齐所有请款资料才予以付款，且不视为甲方违约。乙方提供的收款账户名称、发票开票单位名称必须与乙方单位名称一致，否则甲方有权不予支付货款，且不视为甲方违约。</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四、履约保证金</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1、履约保证金的缴交</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1.1合同签订之日起10个工作日内，乙方应向甲方缴交履约保证金（¥20000.00元，大写：人民币贰万元整）至甲方以下指定银行账户：</w:t>
      </w:r>
    </w:p>
    <w:p>
      <w:pPr>
        <w:widowControl w:val="0"/>
        <w:spacing w:line="312" w:lineRule="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户名：</w:t>
      </w:r>
      <w:r>
        <w:rPr>
          <w:rFonts w:hint="eastAsia" w:ascii="微软雅黑" w:hAnsi="微软雅黑" w:eastAsia="微软雅黑" w:cs="微软雅黑"/>
          <w:kern w:val="28"/>
          <w:sz w:val="21"/>
          <w:szCs w:val="21"/>
        </w:rPr>
        <w:t>广州市</w:t>
      </w:r>
      <w:r>
        <w:rPr>
          <w:rFonts w:hint="eastAsia" w:ascii="微软雅黑" w:hAnsi="微软雅黑" w:cs="微软雅黑"/>
          <w:kern w:val="28"/>
          <w:sz w:val="21"/>
          <w:szCs w:val="21"/>
          <w:lang w:eastAsia="zh-CN"/>
        </w:rPr>
        <w:t>增城自来水安装工程有限公司</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开户行：</w:t>
      </w:r>
    </w:p>
    <w:p>
      <w:pPr>
        <w:widowControl w:val="0"/>
        <w:spacing w:line="312" w:lineRule="auto"/>
        <w:rPr>
          <w:rFonts w:hint="eastAsia" w:ascii="微软雅黑" w:hAnsi="微软雅黑" w:eastAsia="微软雅黑" w:cs="微软雅黑"/>
          <w:sz w:val="21"/>
          <w:szCs w:val="21"/>
          <w:highlight w:val="lightGray"/>
        </w:rPr>
      </w:pPr>
      <w:r>
        <w:rPr>
          <w:rFonts w:hint="eastAsia" w:ascii="微软雅黑" w:hAnsi="微软雅黑" w:eastAsia="微软雅黑" w:cs="微软雅黑"/>
          <w:sz w:val="21"/>
          <w:szCs w:val="21"/>
          <w:highlight w:val="lightGray"/>
        </w:rPr>
        <w:t>账号：</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1.2合同签订之日起10个工作日后，未经甲方书面同意，乙方未按上款约定缴交履约保证金的，乙方须依法承担相应法律责任，并赔偿甲方因此造成的一切损失，甲方有权解除本合同。</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1.3履约保证金用于保证本合同的顺利履行，如乙方出现违约情形需向甲方支付违约金或赔偿金的，必须在10个工作日内以银行转账形式向甲方交付；逾期不交付的，甲方有权直接从履约保证金扣除相应的违约金或赔偿金。当发生违约情形而导致履约保证金被扣除或因其他原因导致履约保证金余额少于20000.00元的，乙方应在收到甲方通知之日起10个工作日内补足，补足后的履约保证金金额应相当于20000.00元，乙方未按时限要求补足的，甲方有权扣除剩余的全部履约保证金并有权解除合同。</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2、履约保证金的退还</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2.1合同终止一年后退还履约保证金，乙方须向甲方提出退还履约保证金的书面申请并提交完整的请款资料，经甲方审批，在乙方没有违约情形或甲方在履约保证金中扣除相应违约金后，甲方于</w:t>
      </w: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0个工作日内一次性无息退还。</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2.2因不可抗力致使本合同解除的，自合同解除之日起</w:t>
      </w: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0个工作日内，经乙方申请，甲方须无息退回全额履约保证金。</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五、货物的包装标准</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按国家相关标准或主管部门的规定执行，无相关标准或规定的，采用足以保护货物不受损的包装方式。乙方需确保包装质量，在甲方收货后的保管、装卸、拆包装过程中，如因乙方包装质量缺陷而导致的货物损坏，由乙方负全责。</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六、交货</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交货方法及地点：乙方负责将货物送至甲方指定的具体地点并完成卸货，若乙方未按照甲方指定的地点卸货，发生的二次搬运费用由乙方承担，因此造成逾期交付货物的，乙方须按本合同第十三条第2款约定承担违约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2、交货时间：实际采购数量根据甲方工程需要分批向乙方下单，乙方按合同约定条款供货。甲方下单后，乙方应于</w:t>
      </w:r>
      <w:r>
        <w:rPr>
          <w:rFonts w:hint="eastAsia" w:ascii="微软雅黑" w:hAnsi="微软雅黑" w:cs="微软雅黑"/>
          <w:color w:val="FF0000"/>
          <w:sz w:val="21"/>
          <w:szCs w:val="21"/>
          <w:lang w:val="en-US" w:eastAsia="zh-CN"/>
        </w:rPr>
        <w:t>30</w:t>
      </w:r>
      <w:r>
        <w:rPr>
          <w:rFonts w:hint="eastAsia" w:ascii="微软雅黑" w:hAnsi="微软雅黑" w:eastAsia="微软雅黑" w:cs="微软雅黑"/>
          <w:sz w:val="21"/>
          <w:szCs w:val="21"/>
        </w:rPr>
        <w:t>个日历天内完成该批全部供货，乙方逾期交货的，乙方须按本合同第十三条第2款约定承担违约责任。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下单方式：甲方在本合同约定的供货期限内以纸质或电子形式向乙方发出订货清单（包括但不限于货物的规格型号、数量、送货地址、送货时间、联系人、联系电话等），乙方应自收到甲方订货清单1小时内以纸质或电子形式予以确认，并按订货清单的送货时间按时交货（乙方应于送货前12小时内向甲方发出发货通知，以便甲方作好收货准备）。</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七、运输</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1、乙方负责办理货物的运输及按本合同约定或甲方书面通知确定的送货时间将货物运至甲方指定地点，所涉各项运输费、装车费、卸车费等均由乙方承担。</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2、乙方在货物装卸、运输过程中应严格遵守各项法律法规及相关的安全生产制度，由此引起的路桥加固、损毁后修复、行政处罚、人员伤亡、财产损失等与甲方无关，由乙方负责处理并承担法律及经济责任。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乙方应对车辆和驾驶人员购买法定保险和强制保险，做到运输车辆、驾驶员相对固定，无特殊情况，不得变更。驾驶人员严禁超速、超载、酒后驾驶、疲劳驾驶、违章操作等违法行为，运输时遵守国家相关法律法规及甲方的安全生产条款。白天行车时，悬挂标志旗；夜间行车和停车休息时装设标志灯。卸货时做好安全防护，遵守安全生产条款，卸货完成后马上离开，不得在厂区或工地内停留。</w:t>
      </w:r>
    </w:p>
    <w:p>
      <w:pPr>
        <w:widowControl w:val="0"/>
        <w:adjustRightInd/>
        <w:snapToGrid/>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4、运输过程中不得随意停车，需要较长时间停车的，需选择适合的停车区域（不得靠近甲方厂房、居民区等地方威胁公共安全），并在车辆四周设立明显的警示标牌（如警戒带、</w:t>
      </w:r>
      <w:r>
        <w:rPr>
          <w:rFonts w:hint="eastAsia" w:ascii="微软雅黑" w:hAnsi="微软雅黑" w:eastAsia="微软雅黑" w:cs="微软雅黑"/>
          <w:color w:val="000000" w:themeColor="text1"/>
          <w:sz w:val="21"/>
          <w:szCs w:val="21"/>
        </w:rPr>
        <w:t>护栏、</w:t>
      </w:r>
      <w:r>
        <w:rPr>
          <w:rFonts w:hint="eastAsia" w:ascii="微软雅黑" w:hAnsi="微软雅黑" w:eastAsia="微软雅黑" w:cs="微软雅黑"/>
          <w:sz w:val="21"/>
          <w:szCs w:val="21"/>
        </w:rPr>
        <w:t>标识灯等），并采取相应的安全防范措施，还应向甲方报告相应情况。</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运输车辆依法改装时增加的费用由乙方自行承担。乙方在送货过程中因公安、交警、城管等执法部门规定白天不准行车或晚上城市主干道不准行车带来的不便由乙方自行协调，乙方不得要求追加任何费用，亦不得据此延误交货期。</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八、验收</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货物到现场后甲方对产品的外观及数量进行验收。货到现场时，甲乙双方授权代表共同对货物的外观、数量进行初验，甲方初验合格后在送货清单上签字确认。乙方所送货物未达到本合同和订货清单要求的，甲方有权拒绝接收。如乙方授权代表未配合甲方进行货物初验的，视为乙方同意甲方对货物的初验意见及处理意见。</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2、验收时乙方须随货物提交的附件包括：国家认可机构检验的质量合格报告、合格证书、保修书、安装说明书等。</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货物性能、质量的鉴定：乙方提供之货物（包括配件）的产品质量必须符合国家和行业有关规范和规定。货物的性能质量以交货地国家认可机构或部门出具的检验报告为准，检验费用由乙方承担。甲方收货后，有权对产品进行第三方抽样检验（如物理性能、材质检验），如检验不及格，检验费用由乙方负担，乙方须在接到甲方书面异议后1天内负责处理，否则，即视为乙方同意甲方提出的异议和处理意见。</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乙方保证其提供的货物是完整无损的、未曾作任何用途使用的全新产品。产品应符合产品说明书所述的产品规格及质量标准。甲方接受货物后，在拆除包装后、使用前发现破损或损耗的，或运输到甲方指定地点后在使用前发现有损坏的，甲方有权于24小时内通知乙方进行确认，经确认后属乙方原因（包括运输）的，由乙方在3天内无偿更换。如乙方在接到甲方通知后24小时内未能书面确认的，视为乙方认可甲方提出的货物质量异议并同意无偿更换，货物更换前的保管费用由乙方承担。非乙方产品质量或运输原因造成的破损由甲方负责。</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5、甲方对货物的验收、认可，不免除乙方对货物质量缺陷应承担的责任。</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sz w:val="21"/>
          <w:szCs w:val="21"/>
        </w:rPr>
        <w:t>6、甲方有权对货物进行生产期间及发货前的监造及质量检查，甲方有权组织人员（不超过6人）到制造厂检查制造工艺、原材料质量、物理性能、产品质量和生产进度，并参加产品出厂试验（但不作为验收）等工作。乙方应为甲方进行上述检查提供便利条件，由此发生的费用由乙方承担。</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九、质量保证</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1、乙方货物的质量保</w:t>
      </w:r>
      <w:r>
        <w:rPr>
          <w:rFonts w:hint="eastAsia" w:ascii="微软雅黑" w:hAnsi="微软雅黑" w:eastAsia="微软雅黑" w:cs="微软雅黑"/>
          <w:sz w:val="21"/>
          <w:szCs w:val="21"/>
          <w:highlight w:val="none"/>
        </w:rPr>
        <w:t>证期为</w:t>
      </w:r>
      <w:r>
        <w:rPr>
          <w:rFonts w:hint="eastAsia" w:ascii="微软雅黑" w:hAnsi="微软雅黑" w:cs="微软雅黑"/>
          <w:color w:val="auto"/>
          <w:sz w:val="21"/>
          <w:szCs w:val="21"/>
          <w:highlight w:val="none"/>
          <w:lang w:eastAsia="zh-CN"/>
        </w:rPr>
        <w:t>六</w:t>
      </w:r>
      <w:r>
        <w:rPr>
          <w:rFonts w:hint="eastAsia" w:ascii="微软雅黑" w:hAnsi="微软雅黑" w:eastAsia="微软雅黑" w:cs="微软雅黑"/>
          <w:sz w:val="21"/>
          <w:szCs w:val="21"/>
          <w:highlight w:val="none"/>
        </w:rPr>
        <w:t>年，均</w:t>
      </w:r>
      <w:r>
        <w:rPr>
          <w:rFonts w:hint="eastAsia" w:ascii="微软雅黑" w:hAnsi="微软雅黑" w:eastAsia="微软雅黑" w:cs="微软雅黑"/>
          <w:sz w:val="21"/>
          <w:szCs w:val="21"/>
        </w:rPr>
        <w:t>自甲方接收当批货物并验收合格之日起计。质保期内，乙方提供的所有服务免费（甲方人为故意损坏引起的情形除外）。</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2、如乙方所承诺的质量保证期，低于本合同签订时国家强制性法律法规或相关行业中所定的最低质量保证期限，则乙方的质保责任按照国家强制性法律法规或相关行业中所规定的最低质量保证期限执行。</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在质量保证期内，凡属乙方货物质量缺陷的，乙方必须进行更换且承担一切费用（包括但不限于所需的更换人工及材料等费用）；如属使用不当造成的问题，乙方仍应及时负责修复或更换，费用由责任方承担。</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质量保证期内，乙方接到甲方书面通知后，须在3天内提供更换货物，否则甲方有权委托第三方予以解决，由此产生的一切费用由乙方承担,甲方有权直接从应付未付货款或履约保证金中相应扣除。货款或履约保证金不足以抵扣维修或更换费用的，甲方有权向乙方对差额部分进行追索。甲方委托第三方进行维修的，有权只提供第三方出具的正式发票复印件给乙方，维修并不免除乙方对其货物所应承担的质量保证责任。如发生重大损坏，在设备更换或维修正常工作后相应延长质保期。</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5、对质量缺陷有争议的，甲、乙双方均可委托权威部门（中心）进行鉴定，鉴定费用由责任方承担，若属于乙方质量责任，乙方须对因质量缺陷给甲方或第三人造成的损失进行赔偿。</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6、因合同解除而导致乙方中途停止供货的，对合同解除前所供的货物，乙方仍应承担质量保证责任。</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十、所有权和风险转移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1、甲乙双方验收确认货物合格并交付甲方时起，货物所有权转移至甲方。</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2、货物的毁损灭失风险：在甲乙双方验收确认货物合格并交付甲方前，由乙方承担；验收确认货物合格并交付甲方后，由甲方承担。</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3、货物损坏、灭失风险转移给甲方后，并不能免除乙方按本合同约定所应承担的产品质量责任以及保修、维护的义务。</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4、所有权和风险的转移，不影响因乙方不按本合同约定履行义务时，甲方要求其承担违约责任的权利。</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十一、禁止转让、分包、贴牌生产</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乙方不得将其在合同中的任何义务全部或部分转让或分包给第三人。乙方必须是所供货物的最终制造厂家（即所供货物必须在乙方的生产制造车间装配、检验出厂），不得提供贴牌产品，否则甲方有权解除本合同，并按本合同约定追究乙方的违约责任。</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十二、知识产权</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确认对所提供之货物具有完全的所有权及不存在侵害第三方任何权利的情况。如因甲方购买乙方货物，造成对任何专利权、商标权、著作权、名称权或其它受保护之权利的侵犯，则所引起的一切索赔和诉讼由乙方承担责任并负责支付一切损害赔偿费、诉讼费和其它费用，如甲方因此须向第三方支付赔偿费用的，则甲方有权在支付费用后向乙方追偿。</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十三、甲乙双方权利义务</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甲方有权对货物进行抽样检验（如物理性能、材质检验），发现货物质量不合格的，乙方可送有资质的第三方检验机构复检一次，检验费用由乙方负担，如复检仍不合格的，甲方有权拒付货款及解除合同，同时乙方需向甲方支付相当于本合同总价20%的违约金，若违约金不足以赔偿甲方损失的，乙方须按甲方损失进行赔偿。</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乙方逾期交货的，每逾期一天，应按该批（次）货物总金额的3‰向甲方支付违约金，并承担甲方因此所受的损失费用，逾期交货部分影响整批（次）货物使用的，则乙方须按整批（次）货物货款20%支付违约金。乙方逾期交货达</w:t>
      </w:r>
      <w:r>
        <w:rPr>
          <w:rFonts w:hint="eastAsia" w:ascii="微软雅黑" w:hAnsi="微软雅黑" w:cs="微软雅黑"/>
          <w:color w:val="FF0000"/>
          <w:sz w:val="21"/>
          <w:szCs w:val="21"/>
          <w:lang w:val="en-US" w:eastAsia="zh-CN"/>
        </w:rPr>
        <w:t>30</w:t>
      </w:r>
      <w:r>
        <w:rPr>
          <w:rFonts w:hint="eastAsia" w:ascii="微软雅黑" w:hAnsi="微软雅黑" w:eastAsia="微软雅黑" w:cs="微软雅黑"/>
          <w:sz w:val="21"/>
          <w:szCs w:val="21"/>
        </w:rPr>
        <w:t>个日历天以上（含</w:t>
      </w:r>
      <w:r>
        <w:rPr>
          <w:rFonts w:hint="eastAsia" w:ascii="微软雅黑" w:hAnsi="微软雅黑" w:cs="微软雅黑"/>
          <w:color w:val="FF0000"/>
          <w:sz w:val="21"/>
          <w:szCs w:val="21"/>
          <w:lang w:val="en-US" w:eastAsia="zh-CN"/>
        </w:rPr>
        <w:t>30</w:t>
      </w:r>
      <w:r>
        <w:rPr>
          <w:rFonts w:hint="eastAsia" w:ascii="微软雅黑" w:hAnsi="微软雅黑" w:eastAsia="微软雅黑" w:cs="微软雅黑"/>
          <w:sz w:val="21"/>
          <w:szCs w:val="21"/>
        </w:rPr>
        <w:t>个日历天）的，甲方有权单方解除合同，并要求乙方向甲方支付合同总价10%作为违约金。若上述违约金不足以赔偿甲方损失的，甲方有权继续向乙方追偿。</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3、乙方如有违反本合同第九条、第十一条行为的，甲方有权单方解除本合同，同时，乙方按本合同总价的20%向甲方支付违约金。若因此给甲方造成损失的，乙方应承担赔偿责任。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4、本合同签订后，乙方无法定或约定理由提出解除合同，或以自己的行为表明解除合同的，乙方应向甲方支付合同总价20%的违约金，并赔偿甲方损失。</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5、乙方提交的发票必须真实、合法、有效。若乙方提交虚假发票的，甲方有权拒付货款及解除合同，同时乙方需向甲方支付相当于本合同总价20%的违约金，甲方有权通过法律途径追究乙方相关责任。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乙方供应的货物质量不符合本合同约定标准的（包括但不限于货物瑕疵、货物质量不合格或未达标、货物无法正常使用等问题），乙方应当立即进行更换，因此造成迟延交付的，乙方须按本合同第十三条第2款约定承担违约责任。乙方更换货物后仍不符合本合同约定的，甲方有权退货，单方面解除合同并要求乙方返还该部分货物甲方已付款项，同时乙方应向甲方支付合同总价的20%的违约金，若给甲方造成损失的，乙方应承担赔偿责任。</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货物在使用过程中发生属于乙方供应货物质量责任事故（如货物析出物质污染水质，出水水质不符合《生活饮用水卫生标准》（GB5749-2006）的要求等），由乙方承担因此发生的全部更换、修复等费用，并赔偿由此给甲方或第三方受到的全部经济损失，同时乙方应向甲方支付本合同总价20%的违约金。如因此造成甲方须向第三方支付赔偿费用的，甲方有权在向第三方支付款项后向乙方追偿。</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8、因乙方原因导致解除合同的，甲方有权不接受乙方参与甲方下一年度的采购、招标活动，乙方对此不持任何异议。</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合同履行期间，乙方应严格遵守各项法律法规及甲方有关安全管理方面的制度和规定，加强安全教育，做好安全防护措施，做到安全管理“三问七不准”。乙方未能遵守法律法规或安全生产规定而导致的财产损失、人员伤亡或其它相关责任，由乙方承担，并赔偿甲方因此遭受的经济损失；甲方有权终止合同，且甲方有权要求乙方支付合同总价20%的违约金。</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甲方应按合同约定期限及时支付货款。甲方未按本合同约定的期限付款的，乙方可向甲方发出书面的催款通知，甲方在收到催款通知后30个工作日内未付款的，自收到催款通知之日起每日向乙方支付当期应付未付款项的3‰作为违约金。该违约金以当期应付未付款项的5%为上限。</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十四、售后服务</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所提供的货物如发生故障须抢修，必须在接到甲方通知后2小时内到现场进行处理，直至抢修完成。在接到甲方其它需求通知时，需做到2小时内答复，4小时内到现场进行处理，直至达到甲方需求为止。所提供的货物因质量问题导致甲方损失（不限于水量损失）及被第三方追究责任的，乙方须按实际损失金额支付赔偿。如乙方未能于限时内答复或到达现场的，则甲方有权另行委托第三方进行抢修，所产生的费用及因此造成甲方的损失由乙方承担，如上述情况出现三次的，则甲方有权单方解除合同，并要求乙方按合同总价的10%支付违约金。</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十五、不可抗力</w:t>
      </w:r>
    </w:p>
    <w:p>
      <w:pPr>
        <w:widowControl w:val="0"/>
        <w:spacing w:line="312"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widowControl w:val="0"/>
        <w:spacing w:line="312" w:lineRule="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十六、其它约定</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1、若甲方人员有索贿或其他不公行为，乙方有权举报。</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按本合同约定应该偿付的违约金、赔偿金和各种经济损失，乙方应当在明确责任后10个工作日内付清，否则按逾期付款处理。乙方依本合同应支付的上述款项，甲方有权在货款或履约保证金中相应抵扣。货款或履约保证金不足以抵扣或者没有货款抵扣的，乙方应在10个工作日内向甲方付清上述款项不足部分。</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3、甲方委派         为甲方授权代表，负责甲方合同履行的工作。</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4、乙方委派         为乙方授权代表，负责乙方合同履行的工作。</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5、如授权代表有变动时，甲乙双方均须以书面形式通知对方。</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6、甲方的通讯地址为：</w:t>
      </w:r>
    </w:p>
    <w:p>
      <w:pPr>
        <w:widowControl w:val="0"/>
        <w:spacing w:line="312" w:lineRule="auto"/>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邮政编码为：</w:t>
      </w:r>
    </w:p>
    <w:p>
      <w:pPr>
        <w:widowControl w:val="0"/>
        <w:spacing w:line="312" w:lineRule="auto"/>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乙方的通讯地址为：</w:t>
      </w:r>
    </w:p>
    <w:p>
      <w:pPr>
        <w:widowControl w:val="0"/>
        <w:spacing w:line="312" w:lineRule="auto"/>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邮政编码为：</w:t>
      </w:r>
    </w:p>
    <w:p>
      <w:pPr>
        <w:widowControl w:val="0"/>
        <w:spacing w:line="312" w:lineRule="auto"/>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甲乙双方应按上述地址向对方送达有关信函文件。</w:t>
      </w:r>
      <w:r>
        <w:rPr>
          <w:rFonts w:hint="eastAsia" w:ascii="微软雅黑" w:hAnsi="微软雅黑" w:eastAsia="微软雅黑" w:cs="微软雅黑"/>
          <w:color w:val="000000"/>
          <w:sz w:val="21"/>
          <w:szCs w:val="21"/>
          <w:shd w:val="clear" w:color="auto" w:fill="FFFFFF"/>
        </w:rPr>
        <w:t>任何一方变更上述地址均须书面通知对方，否则仍以上述地址为通信地址，因一方通信地址变更、错误导致另一方的信函文件无法或及时送达的，由此造成的一切责任和后果均由该方承担。</w:t>
      </w:r>
    </w:p>
    <w:p>
      <w:pPr>
        <w:widowControl w:val="0"/>
        <w:numPr>
          <w:ilvl w:val="0"/>
          <w:numId w:val="18"/>
        </w:numPr>
        <w:spacing w:line="312" w:lineRule="auto"/>
        <w:rPr>
          <w:rFonts w:hint="eastAsia" w:ascii="微软雅黑" w:hAnsi="微软雅黑" w:eastAsia="微软雅黑" w:cs="微软雅黑"/>
          <w:color w:val="000000"/>
          <w:sz w:val="21"/>
          <w:szCs w:val="21"/>
          <w:shd w:val="clear" w:color="auto" w:fill="FFFFFF"/>
        </w:rPr>
      </w:pPr>
      <w:r>
        <w:rPr>
          <w:rFonts w:hint="eastAsia" w:ascii="微软雅黑" w:hAnsi="微软雅黑" w:eastAsia="微软雅黑" w:cs="微软雅黑"/>
          <w:color w:val="000000"/>
          <w:sz w:val="21"/>
          <w:szCs w:val="21"/>
          <w:shd w:val="clear" w:color="auto" w:fill="FFFFFF"/>
        </w:rPr>
        <w:t>本合同未尽事宜，甲、乙双方协商一致后可签订补充协议，补充协议与本合同具有同等法律效力。</w:t>
      </w:r>
    </w:p>
    <w:p>
      <w:pPr>
        <w:widowControl w:val="0"/>
        <w:numPr>
          <w:ilvl w:val="0"/>
          <w:numId w:val="18"/>
        </w:numPr>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履行期间，如双方发生争议，应尽最大的努力友好地进行协商解决。若协商不能解决，则任何一方均可向甲方所在地人民法院提起诉讼，违约方应负担由此产生的包括但不限于诉讼费、律师费、交通食宿等一切费用。</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9、本合同一式七份，甲方执五份，乙方执两份，均具有同等法律效力，自双方法定代表人或授权代表均签名、盖章之日起生效。</w:t>
      </w:r>
    </w:p>
    <w:p>
      <w:pPr>
        <w:widowControl w:val="0"/>
        <w:spacing w:line="312"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10、合同附件（合同附件是本合同不可分割部分，与本合同具有同等法律效力）：</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附件1-价格明细表；</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附件2-技术要求；</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附件3-中标通知书；</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附件4-廉政协议书。</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                       乙方：</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法定代表人/授权代表：        法定代表人/授权代表：</w:t>
      </w:r>
    </w:p>
    <w:p>
      <w:pPr>
        <w:outlineLvl w:val="9"/>
        <w:rPr>
          <w:rFonts w:hint="default"/>
          <w:lang w:val="en-US" w:eastAsia="zh-CN"/>
        </w:rPr>
      </w:pPr>
      <w:r>
        <w:rPr>
          <w:rFonts w:hint="eastAsia" w:ascii="微软雅黑" w:hAnsi="微软雅黑" w:eastAsia="微软雅黑" w:cs="微软雅黑"/>
          <w:b w:val="0"/>
          <w:bCs w:val="0"/>
          <w:sz w:val="21"/>
          <w:szCs w:val="21"/>
          <w:lang w:eastAsia="zh-CN"/>
        </w:rPr>
        <w:t>经办人：</w:t>
      </w:r>
      <w:r>
        <w:rPr>
          <w:rFonts w:hint="eastAsia" w:ascii="微软雅黑" w:hAnsi="微软雅黑" w:eastAsia="微软雅黑" w:cs="微软雅黑"/>
          <w:b w:val="0"/>
          <w:bCs w:val="0"/>
          <w:sz w:val="21"/>
          <w:szCs w:val="21"/>
          <w:lang w:val="en-US" w:eastAsia="zh-CN"/>
        </w:rPr>
        <w:t xml:space="preserve">                       经办人：</w:t>
      </w:r>
    </w:p>
    <w:p>
      <w:pPr>
        <w:widowContro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签订日期：                   签订日期：</w:t>
      </w:r>
    </w:p>
    <w:p/>
    <w:p>
      <w:pPr>
        <w:spacing w:line="220" w:lineRule="atLeast"/>
      </w:pPr>
    </w:p>
    <w:p>
      <w:pPr>
        <w:spacing w:line="220" w:lineRule="atLeast"/>
      </w:pPr>
    </w:p>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61</w:t>
    </w:r>
    <w:r>
      <w:rPr>
        <w:b/>
        <w:sz w:val="24"/>
        <w:szCs w:val="24"/>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pPr>
      <w:pStyle w:val="13"/>
      <w:tabs>
        <w:tab w:val="left" w:pos="5715"/>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04582"/>
    </w:sdtPr>
    <w:sdtContent>
      <w:sdt>
        <w:sdtPr>
          <w:id w:val="2"/>
        </w:sdtPr>
        <w:sdtContent>
          <w:p>
            <w:pPr>
              <w:pStyle w:val="13"/>
              <w:jc w:val="center"/>
              <w:rPr>
                <w:rStyle w:val="21"/>
                <w:rFonts w:ascii="宋体" w:hAnsi="宋体"/>
              </w:rP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60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60</w:t>
    </w:r>
    <w:r>
      <w:rPr>
        <w:b/>
        <w:bCs/>
        <w:sz w:val="24"/>
        <w:szCs w:val="24"/>
      </w:rPr>
      <w:fldChar w:fldCharType="end"/>
    </w:r>
  </w:p>
  <w:p>
    <w:pPr>
      <w:pStyle w:val="13"/>
      <w:tabs>
        <w:tab w:val="left" w:pos="0"/>
        <w:tab w:val="left" w:pos="8100"/>
        <w:tab w:val="clear" w:pos="4153"/>
      </w:tabs>
      <w:ind w:right="360"/>
      <w:jc w:val="center"/>
      <w:rPr>
        <w:rStyle w:val="21"/>
        <w:rFonts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9F386"/>
    <w:multiLevelType w:val="singleLevel"/>
    <w:tmpl w:val="8129F386"/>
    <w:lvl w:ilvl="0" w:tentative="0">
      <w:start w:val="1"/>
      <w:numFmt w:val="decimal"/>
      <w:lvlText w:val="%1."/>
      <w:lvlJc w:val="left"/>
      <w:pPr>
        <w:ind w:left="425" w:hanging="425"/>
      </w:pPr>
      <w:rPr>
        <w:rFonts w:hint="default"/>
      </w:rPr>
    </w:lvl>
  </w:abstractNum>
  <w:abstractNum w:abstractNumId="1">
    <w:nsid w:val="CE6CBE2C"/>
    <w:multiLevelType w:val="singleLevel"/>
    <w:tmpl w:val="CE6CBE2C"/>
    <w:lvl w:ilvl="0" w:tentative="0">
      <w:start w:val="1"/>
      <w:numFmt w:val="decimal"/>
      <w:suff w:val="nothing"/>
      <w:lvlText w:val="%1、"/>
      <w:lvlJc w:val="left"/>
    </w:lvl>
  </w:abstractNum>
  <w:abstractNum w:abstractNumId="2">
    <w:nsid w:val="D43A3F40"/>
    <w:multiLevelType w:val="singleLevel"/>
    <w:tmpl w:val="D43A3F40"/>
    <w:lvl w:ilvl="0" w:tentative="0">
      <w:start w:val="7"/>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eastAsia" w:ascii="宋体" w:hAnsi="宋体" w:eastAsia="宋体" w:cs="Times New Roman"/>
        <w:b w:val="0"/>
        <w:strike w:val="0"/>
        <w:dstrike w:val="0"/>
        <w:sz w:val="21"/>
        <w:szCs w:val="21"/>
        <w:u w:val="none"/>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1"/>
    <w:multiLevelType w:val="multilevel"/>
    <w:tmpl w:val="0000001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格式%1"/>
      <w:lvlJc w:val="left"/>
      <w:pPr>
        <w:tabs>
          <w:tab w:val="left" w:pos="425"/>
        </w:tabs>
        <w:ind w:left="425" w:hanging="425"/>
      </w:pPr>
      <w:rPr>
        <w:rFonts w:hint="eastAsia" w:ascii="黑体" w:hAnsi="Times New Roman" w:eastAsia="黑体"/>
        <w:b w:val="0"/>
        <w:color w:val="auto"/>
        <w:sz w:val="28"/>
        <w:szCs w:val="28"/>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8">
    <w:nsid w:val="00000015"/>
    <w:multiLevelType w:val="multilevel"/>
    <w:tmpl w:val="00000015"/>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6"/>
    <w:multiLevelType w:val="multilevel"/>
    <w:tmpl w:val="00000016"/>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7"/>
    <w:multiLevelType w:val="multilevel"/>
    <w:tmpl w:val="0000001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eastAsia" w:ascii="宋体" w:hAnsi="宋体" w:eastAsia="宋体" w:cs="Times New Roman"/>
        <w:b w:val="0"/>
        <w:strike w:val="0"/>
        <w:dstrike w:val="0"/>
        <w:u w:val="none"/>
      </w:rPr>
    </w:lvl>
    <w:lvl w:ilvl="2" w:tentative="0">
      <w:start w:val="1"/>
      <w:numFmt w:val="decimal"/>
      <w:lvlText w:val="%1.%2.%3"/>
      <w:lvlJc w:val="left"/>
      <w:pPr>
        <w:tabs>
          <w:tab w:val="left" w:pos="851"/>
        </w:tabs>
        <w:ind w:left="851" w:hanging="851"/>
      </w:pPr>
      <w:rPr>
        <w:rFonts w:hint="default" w:ascii="Times New Roman" w:hAnsi="Times New Roman" w:eastAsia="宋体" w:cs="Times New Roman"/>
        <w:sz w:val="24"/>
        <w:szCs w:val="24"/>
      </w:rPr>
    </w:lvl>
    <w:lvl w:ilvl="3" w:tentative="0">
      <w:start w:val="1"/>
      <w:numFmt w:val="decimal"/>
      <w:lvlText w:val="%1.%2.%3.%4"/>
      <w:lvlJc w:val="left"/>
      <w:pPr>
        <w:tabs>
          <w:tab w:val="left" w:pos="851"/>
        </w:tabs>
        <w:ind w:left="851" w:hanging="851"/>
      </w:pPr>
      <w:rPr>
        <w:strike w:val="0"/>
        <w:dstrike w:val="0"/>
        <w:u w:val="none"/>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19"/>
    <w:multiLevelType w:val="multilevel"/>
    <w:tmpl w:val="00000019"/>
    <w:lvl w:ilvl="0" w:tentative="0">
      <w:start w:val="1"/>
      <w:numFmt w:val="decimal"/>
      <w:lvlText w:val="%1"/>
      <w:lvlJc w:val="center"/>
      <w:pPr>
        <w:tabs>
          <w:tab w:val="left" w:pos="142"/>
        </w:tabs>
        <w:ind w:left="-38"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B"/>
    <w:multiLevelType w:val="multilevel"/>
    <w:tmpl w:val="0000001B"/>
    <w:lvl w:ilvl="0" w:tentative="0">
      <w:start w:val="1"/>
      <w:numFmt w:val="decimal"/>
      <w:lvlText w:val="%1."/>
      <w:lvlJc w:val="left"/>
      <w:pPr>
        <w:tabs>
          <w:tab w:val="left" w:pos="425"/>
        </w:tabs>
        <w:ind w:left="425" w:hanging="425"/>
      </w:pPr>
      <w:rPr>
        <w:rFonts w:hint="eastAsia" w:ascii="宋体" w:hAnsi="宋体" w:eastAsia="宋体"/>
        <w:b/>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微软雅黑" w:hAnsi="微软雅黑" w:eastAsia="微软雅黑"/>
        <w:b w:val="0"/>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1E211F95"/>
    <w:multiLevelType w:val="multilevel"/>
    <w:tmpl w:val="1E211F95"/>
    <w:lvl w:ilvl="0" w:tentative="0">
      <w:start w:val="9"/>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561D9F"/>
    <w:multiLevelType w:val="multilevel"/>
    <w:tmpl w:val="4D561D9F"/>
    <w:lvl w:ilvl="0" w:tentative="0">
      <w:start w:val="1"/>
      <w:numFmt w:val="decimal"/>
      <w:lvlText w:val="%1."/>
      <w:lvlJc w:val="left"/>
      <w:pPr>
        <w:ind w:left="544" w:hanging="420"/>
      </w:pPr>
    </w:lvl>
    <w:lvl w:ilvl="1" w:tentative="0">
      <w:start w:val="1"/>
      <w:numFmt w:val="lowerLetter"/>
      <w:lvlText w:val="%2)"/>
      <w:lvlJc w:val="left"/>
      <w:pPr>
        <w:ind w:left="901" w:hanging="420"/>
      </w:p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abstractNum w:abstractNumId="15">
    <w:nsid w:val="52039A52"/>
    <w:multiLevelType w:val="singleLevel"/>
    <w:tmpl w:val="52039A52"/>
    <w:lvl w:ilvl="0" w:tentative="0">
      <w:start w:val="2"/>
      <w:numFmt w:val="decimal"/>
      <w:suff w:val="nothing"/>
      <w:lvlText w:val="%1、"/>
      <w:lvlJc w:val="left"/>
    </w:lvl>
  </w:abstractNum>
  <w:abstractNum w:abstractNumId="16">
    <w:nsid w:val="6E6F60EA"/>
    <w:multiLevelType w:val="multilevel"/>
    <w:tmpl w:val="6E6F60E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D47645A"/>
    <w:multiLevelType w:val="multilevel"/>
    <w:tmpl w:val="7D47645A"/>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num w:numId="1">
    <w:abstractNumId w:val="12"/>
  </w:num>
  <w:num w:numId="2">
    <w:abstractNumId w:val="13"/>
  </w:num>
  <w:num w:numId="3">
    <w:abstractNumId w:val="14"/>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18FA"/>
    <w:rsid w:val="00014171"/>
    <w:rsid w:val="00247BF1"/>
    <w:rsid w:val="002D2201"/>
    <w:rsid w:val="003E6735"/>
    <w:rsid w:val="004275AA"/>
    <w:rsid w:val="006518FA"/>
    <w:rsid w:val="00657EEE"/>
    <w:rsid w:val="006B0FCD"/>
    <w:rsid w:val="006E4594"/>
    <w:rsid w:val="007757BA"/>
    <w:rsid w:val="007935AA"/>
    <w:rsid w:val="008719D5"/>
    <w:rsid w:val="00BE439C"/>
    <w:rsid w:val="00D02CED"/>
    <w:rsid w:val="00DA62BA"/>
    <w:rsid w:val="01060A85"/>
    <w:rsid w:val="01261F39"/>
    <w:rsid w:val="012A5BFB"/>
    <w:rsid w:val="0180744B"/>
    <w:rsid w:val="018D6C0C"/>
    <w:rsid w:val="01AE7897"/>
    <w:rsid w:val="01BA570E"/>
    <w:rsid w:val="01C51D6A"/>
    <w:rsid w:val="01D0362A"/>
    <w:rsid w:val="021D5D8B"/>
    <w:rsid w:val="02361ECF"/>
    <w:rsid w:val="02454D2A"/>
    <w:rsid w:val="025607F9"/>
    <w:rsid w:val="027D68D9"/>
    <w:rsid w:val="02A25B5C"/>
    <w:rsid w:val="02DA3F43"/>
    <w:rsid w:val="03051D38"/>
    <w:rsid w:val="030D3748"/>
    <w:rsid w:val="031510C7"/>
    <w:rsid w:val="0318597A"/>
    <w:rsid w:val="03646B6E"/>
    <w:rsid w:val="03895BA7"/>
    <w:rsid w:val="03981463"/>
    <w:rsid w:val="03D3424E"/>
    <w:rsid w:val="03DB25D1"/>
    <w:rsid w:val="03FF4CF4"/>
    <w:rsid w:val="040B3D05"/>
    <w:rsid w:val="044421B1"/>
    <w:rsid w:val="044A1CBA"/>
    <w:rsid w:val="044F7DD1"/>
    <w:rsid w:val="044F7F30"/>
    <w:rsid w:val="046A34B5"/>
    <w:rsid w:val="04A85AF5"/>
    <w:rsid w:val="052820F4"/>
    <w:rsid w:val="053523BD"/>
    <w:rsid w:val="057778EA"/>
    <w:rsid w:val="059B2853"/>
    <w:rsid w:val="05B962BE"/>
    <w:rsid w:val="05BF31E8"/>
    <w:rsid w:val="05C46E70"/>
    <w:rsid w:val="06061CA8"/>
    <w:rsid w:val="060B6F2A"/>
    <w:rsid w:val="0622766C"/>
    <w:rsid w:val="062F4491"/>
    <w:rsid w:val="06344CC8"/>
    <w:rsid w:val="067A5038"/>
    <w:rsid w:val="0688529F"/>
    <w:rsid w:val="06AA2E66"/>
    <w:rsid w:val="06B07044"/>
    <w:rsid w:val="06D40886"/>
    <w:rsid w:val="06F02F02"/>
    <w:rsid w:val="06F54D15"/>
    <w:rsid w:val="06FD1D6E"/>
    <w:rsid w:val="07136752"/>
    <w:rsid w:val="071B42FC"/>
    <w:rsid w:val="073A3C51"/>
    <w:rsid w:val="07475A2C"/>
    <w:rsid w:val="076E6B7C"/>
    <w:rsid w:val="07701CD8"/>
    <w:rsid w:val="07806A47"/>
    <w:rsid w:val="0793549C"/>
    <w:rsid w:val="079438B9"/>
    <w:rsid w:val="07993AB9"/>
    <w:rsid w:val="07B43FDD"/>
    <w:rsid w:val="07C913CE"/>
    <w:rsid w:val="07CA4C11"/>
    <w:rsid w:val="07E15D99"/>
    <w:rsid w:val="07FF76EA"/>
    <w:rsid w:val="08247A4F"/>
    <w:rsid w:val="08414E8F"/>
    <w:rsid w:val="084F0676"/>
    <w:rsid w:val="086356F5"/>
    <w:rsid w:val="08902974"/>
    <w:rsid w:val="08953092"/>
    <w:rsid w:val="089A2E3A"/>
    <w:rsid w:val="08A064EF"/>
    <w:rsid w:val="08C04791"/>
    <w:rsid w:val="08E93C50"/>
    <w:rsid w:val="0951519C"/>
    <w:rsid w:val="095C421F"/>
    <w:rsid w:val="096B1DE7"/>
    <w:rsid w:val="099477E6"/>
    <w:rsid w:val="09A86A10"/>
    <w:rsid w:val="09B3572D"/>
    <w:rsid w:val="0A0A45AC"/>
    <w:rsid w:val="0A2476C6"/>
    <w:rsid w:val="0A313E6E"/>
    <w:rsid w:val="0A49089D"/>
    <w:rsid w:val="0A4C0433"/>
    <w:rsid w:val="0A591773"/>
    <w:rsid w:val="0A6C4BDE"/>
    <w:rsid w:val="0AAB5117"/>
    <w:rsid w:val="0AAF2335"/>
    <w:rsid w:val="0AC325B6"/>
    <w:rsid w:val="0AE83FD6"/>
    <w:rsid w:val="0AEB7FE3"/>
    <w:rsid w:val="0AED34F7"/>
    <w:rsid w:val="0B0C376C"/>
    <w:rsid w:val="0B0C5628"/>
    <w:rsid w:val="0B113316"/>
    <w:rsid w:val="0B5037B9"/>
    <w:rsid w:val="0B805E12"/>
    <w:rsid w:val="0B845125"/>
    <w:rsid w:val="0B910C1E"/>
    <w:rsid w:val="0B983556"/>
    <w:rsid w:val="0BF55C55"/>
    <w:rsid w:val="0BFF82DF"/>
    <w:rsid w:val="0C135FE5"/>
    <w:rsid w:val="0C194F4C"/>
    <w:rsid w:val="0C312EE1"/>
    <w:rsid w:val="0C3A49B0"/>
    <w:rsid w:val="0C4E6A56"/>
    <w:rsid w:val="0C5B5B3F"/>
    <w:rsid w:val="0C7A69FC"/>
    <w:rsid w:val="0C9264E0"/>
    <w:rsid w:val="0CA2756E"/>
    <w:rsid w:val="0CB16468"/>
    <w:rsid w:val="0CCB6F0D"/>
    <w:rsid w:val="0CCF149C"/>
    <w:rsid w:val="0CDB5F22"/>
    <w:rsid w:val="0D1677CE"/>
    <w:rsid w:val="0D197B03"/>
    <w:rsid w:val="0D2F2AAC"/>
    <w:rsid w:val="0D55281E"/>
    <w:rsid w:val="0D613B4F"/>
    <w:rsid w:val="0D670CF5"/>
    <w:rsid w:val="0D6D608E"/>
    <w:rsid w:val="0D811D93"/>
    <w:rsid w:val="0D8A6832"/>
    <w:rsid w:val="0DA22524"/>
    <w:rsid w:val="0DAC3BEA"/>
    <w:rsid w:val="0DCA55D3"/>
    <w:rsid w:val="0DDB3935"/>
    <w:rsid w:val="0DE05FB4"/>
    <w:rsid w:val="0DE66C88"/>
    <w:rsid w:val="0DF42E5C"/>
    <w:rsid w:val="0E080460"/>
    <w:rsid w:val="0E17467D"/>
    <w:rsid w:val="0E205D58"/>
    <w:rsid w:val="0E2745D6"/>
    <w:rsid w:val="0E5033FD"/>
    <w:rsid w:val="0E5610B4"/>
    <w:rsid w:val="0E84410E"/>
    <w:rsid w:val="0E887FF3"/>
    <w:rsid w:val="0E9D7BD8"/>
    <w:rsid w:val="0E9E33F1"/>
    <w:rsid w:val="0EB6027C"/>
    <w:rsid w:val="0ECE7601"/>
    <w:rsid w:val="0EFF1D9D"/>
    <w:rsid w:val="0F0161ED"/>
    <w:rsid w:val="0F240750"/>
    <w:rsid w:val="0FA3209B"/>
    <w:rsid w:val="0FC55B04"/>
    <w:rsid w:val="0FCE145A"/>
    <w:rsid w:val="0FD031F4"/>
    <w:rsid w:val="0FF9495F"/>
    <w:rsid w:val="1008100E"/>
    <w:rsid w:val="102019FD"/>
    <w:rsid w:val="102E70E2"/>
    <w:rsid w:val="103D3FA3"/>
    <w:rsid w:val="104B3A8B"/>
    <w:rsid w:val="105E5935"/>
    <w:rsid w:val="107F0B74"/>
    <w:rsid w:val="10837CE0"/>
    <w:rsid w:val="10A529C2"/>
    <w:rsid w:val="10C66C22"/>
    <w:rsid w:val="10ED7AAD"/>
    <w:rsid w:val="112B38B8"/>
    <w:rsid w:val="114C7CEF"/>
    <w:rsid w:val="114D5ADB"/>
    <w:rsid w:val="11541E7F"/>
    <w:rsid w:val="11670DA4"/>
    <w:rsid w:val="116A3808"/>
    <w:rsid w:val="1185728B"/>
    <w:rsid w:val="11944FB1"/>
    <w:rsid w:val="11AA63C2"/>
    <w:rsid w:val="11B03DBA"/>
    <w:rsid w:val="11B0690A"/>
    <w:rsid w:val="11DB22C7"/>
    <w:rsid w:val="11E77FA6"/>
    <w:rsid w:val="11E94F10"/>
    <w:rsid w:val="11F94840"/>
    <w:rsid w:val="121A25BF"/>
    <w:rsid w:val="125040F1"/>
    <w:rsid w:val="1272663E"/>
    <w:rsid w:val="127627C3"/>
    <w:rsid w:val="12CB4C4C"/>
    <w:rsid w:val="12D9560D"/>
    <w:rsid w:val="132E3E28"/>
    <w:rsid w:val="133C0A73"/>
    <w:rsid w:val="13485D31"/>
    <w:rsid w:val="134E5D8D"/>
    <w:rsid w:val="13530E65"/>
    <w:rsid w:val="136C14D7"/>
    <w:rsid w:val="137F5523"/>
    <w:rsid w:val="139A7EA4"/>
    <w:rsid w:val="139C608C"/>
    <w:rsid w:val="139E6E76"/>
    <w:rsid w:val="13BB7E19"/>
    <w:rsid w:val="13D029CA"/>
    <w:rsid w:val="13F8700B"/>
    <w:rsid w:val="13FF38B7"/>
    <w:rsid w:val="140422AC"/>
    <w:rsid w:val="140C4C9F"/>
    <w:rsid w:val="141619E5"/>
    <w:rsid w:val="1420331C"/>
    <w:rsid w:val="145C3D0C"/>
    <w:rsid w:val="145E1DD2"/>
    <w:rsid w:val="147B0278"/>
    <w:rsid w:val="14856BA6"/>
    <w:rsid w:val="149C7759"/>
    <w:rsid w:val="14C27DE6"/>
    <w:rsid w:val="14C40E51"/>
    <w:rsid w:val="14C755C0"/>
    <w:rsid w:val="14D6588F"/>
    <w:rsid w:val="14E2022F"/>
    <w:rsid w:val="15040FAE"/>
    <w:rsid w:val="151317F1"/>
    <w:rsid w:val="152342F6"/>
    <w:rsid w:val="15445405"/>
    <w:rsid w:val="15461A8E"/>
    <w:rsid w:val="155C43FB"/>
    <w:rsid w:val="15713EF8"/>
    <w:rsid w:val="15D30C20"/>
    <w:rsid w:val="15F91B9F"/>
    <w:rsid w:val="1606005E"/>
    <w:rsid w:val="160A6784"/>
    <w:rsid w:val="16147768"/>
    <w:rsid w:val="1629614E"/>
    <w:rsid w:val="163E170C"/>
    <w:rsid w:val="169672E9"/>
    <w:rsid w:val="16C92853"/>
    <w:rsid w:val="16C9594B"/>
    <w:rsid w:val="16E07659"/>
    <w:rsid w:val="16EC2DB7"/>
    <w:rsid w:val="1706042D"/>
    <w:rsid w:val="1709117D"/>
    <w:rsid w:val="172301D1"/>
    <w:rsid w:val="1756C2B5"/>
    <w:rsid w:val="17724A75"/>
    <w:rsid w:val="17C967D6"/>
    <w:rsid w:val="17F30E08"/>
    <w:rsid w:val="180172C1"/>
    <w:rsid w:val="182A072F"/>
    <w:rsid w:val="186A5585"/>
    <w:rsid w:val="187813CD"/>
    <w:rsid w:val="18877F5A"/>
    <w:rsid w:val="18A647EF"/>
    <w:rsid w:val="18B73791"/>
    <w:rsid w:val="18BD46C7"/>
    <w:rsid w:val="18F039D1"/>
    <w:rsid w:val="19067CFC"/>
    <w:rsid w:val="194A571A"/>
    <w:rsid w:val="19506F5D"/>
    <w:rsid w:val="19570ADE"/>
    <w:rsid w:val="19600D71"/>
    <w:rsid w:val="19A37DD2"/>
    <w:rsid w:val="19B93871"/>
    <w:rsid w:val="19D02744"/>
    <w:rsid w:val="19D246C5"/>
    <w:rsid w:val="19DC5AB5"/>
    <w:rsid w:val="19EC6B27"/>
    <w:rsid w:val="19F86F19"/>
    <w:rsid w:val="1A095D9A"/>
    <w:rsid w:val="1A130954"/>
    <w:rsid w:val="1A2A46C0"/>
    <w:rsid w:val="1A2B0AE0"/>
    <w:rsid w:val="1A3E3A33"/>
    <w:rsid w:val="1A3E65FA"/>
    <w:rsid w:val="1A510AA3"/>
    <w:rsid w:val="1A5959BC"/>
    <w:rsid w:val="1A5F44F3"/>
    <w:rsid w:val="1A7A06CF"/>
    <w:rsid w:val="1AC01F03"/>
    <w:rsid w:val="1B6C3790"/>
    <w:rsid w:val="1B8872E0"/>
    <w:rsid w:val="1B9E7DFE"/>
    <w:rsid w:val="1BB54700"/>
    <w:rsid w:val="1BD36BD4"/>
    <w:rsid w:val="1BEB0ECD"/>
    <w:rsid w:val="1BF20E54"/>
    <w:rsid w:val="1BFB1974"/>
    <w:rsid w:val="1C055B55"/>
    <w:rsid w:val="1C310C52"/>
    <w:rsid w:val="1C504590"/>
    <w:rsid w:val="1C7E4AEA"/>
    <w:rsid w:val="1C8A37CA"/>
    <w:rsid w:val="1CA13B54"/>
    <w:rsid w:val="1CB34152"/>
    <w:rsid w:val="1CD2146F"/>
    <w:rsid w:val="1D111C7F"/>
    <w:rsid w:val="1D333515"/>
    <w:rsid w:val="1D766E70"/>
    <w:rsid w:val="1DAE76DC"/>
    <w:rsid w:val="1DD75FAC"/>
    <w:rsid w:val="1DE15AA7"/>
    <w:rsid w:val="1E2F71D7"/>
    <w:rsid w:val="1E3E13D0"/>
    <w:rsid w:val="1E42352B"/>
    <w:rsid w:val="1E495A51"/>
    <w:rsid w:val="1E5C0AE3"/>
    <w:rsid w:val="1E612FC2"/>
    <w:rsid w:val="1E6532AA"/>
    <w:rsid w:val="1EA94D6D"/>
    <w:rsid w:val="1ED457EF"/>
    <w:rsid w:val="1EF36268"/>
    <w:rsid w:val="1F040A8E"/>
    <w:rsid w:val="1F4720B7"/>
    <w:rsid w:val="1F5E5C59"/>
    <w:rsid w:val="1FAD6DC4"/>
    <w:rsid w:val="1FCF3A70"/>
    <w:rsid w:val="200A7E04"/>
    <w:rsid w:val="2025169D"/>
    <w:rsid w:val="202C0C08"/>
    <w:rsid w:val="204135BC"/>
    <w:rsid w:val="207D7558"/>
    <w:rsid w:val="209520CB"/>
    <w:rsid w:val="20A27B36"/>
    <w:rsid w:val="20AD5B70"/>
    <w:rsid w:val="20BB1694"/>
    <w:rsid w:val="20D91D93"/>
    <w:rsid w:val="21073017"/>
    <w:rsid w:val="211F0F01"/>
    <w:rsid w:val="2123017B"/>
    <w:rsid w:val="21241B5B"/>
    <w:rsid w:val="215564E4"/>
    <w:rsid w:val="21A27E60"/>
    <w:rsid w:val="21CE4338"/>
    <w:rsid w:val="223F6D85"/>
    <w:rsid w:val="22A8274A"/>
    <w:rsid w:val="22F417A6"/>
    <w:rsid w:val="23102B92"/>
    <w:rsid w:val="232B2E57"/>
    <w:rsid w:val="23425EB5"/>
    <w:rsid w:val="234E00BA"/>
    <w:rsid w:val="235505E3"/>
    <w:rsid w:val="2367084E"/>
    <w:rsid w:val="2368520A"/>
    <w:rsid w:val="236E4A76"/>
    <w:rsid w:val="2371743D"/>
    <w:rsid w:val="2375578A"/>
    <w:rsid w:val="23800789"/>
    <w:rsid w:val="238E1A00"/>
    <w:rsid w:val="23AB442E"/>
    <w:rsid w:val="23B56E69"/>
    <w:rsid w:val="23F0677D"/>
    <w:rsid w:val="23FB5311"/>
    <w:rsid w:val="241271F7"/>
    <w:rsid w:val="2430340C"/>
    <w:rsid w:val="243E5052"/>
    <w:rsid w:val="24776FC1"/>
    <w:rsid w:val="24910773"/>
    <w:rsid w:val="24B272EE"/>
    <w:rsid w:val="24B31F1F"/>
    <w:rsid w:val="24B5009C"/>
    <w:rsid w:val="24EF60D9"/>
    <w:rsid w:val="25225541"/>
    <w:rsid w:val="2553631C"/>
    <w:rsid w:val="255D3C28"/>
    <w:rsid w:val="259E5DDA"/>
    <w:rsid w:val="25A877FC"/>
    <w:rsid w:val="25C9280B"/>
    <w:rsid w:val="25D4302D"/>
    <w:rsid w:val="25D44F36"/>
    <w:rsid w:val="25EA21FA"/>
    <w:rsid w:val="2626759D"/>
    <w:rsid w:val="26330E35"/>
    <w:rsid w:val="26621D9D"/>
    <w:rsid w:val="266C39FC"/>
    <w:rsid w:val="266D77AA"/>
    <w:rsid w:val="269D5C89"/>
    <w:rsid w:val="26B0374F"/>
    <w:rsid w:val="26C9641B"/>
    <w:rsid w:val="270B375D"/>
    <w:rsid w:val="270D73DA"/>
    <w:rsid w:val="272B0931"/>
    <w:rsid w:val="27412DE4"/>
    <w:rsid w:val="27516B06"/>
    <w:rsid w:val="276A1754"/>
    <w:rsid w:val="278A2616"/>
    <w:rsid w:val="279334A4"/>
    <w:rsid w:val="27943133"/>
    <w:rsid w:val="279A2F67"/>
    <w:rsid w:val="27C06E11"/>
    <w:rsid w:val="27D57FC8"/>
    <w:rsid w:val="27DD64A4"/>
    <w:rsid w:val="280C5F5D"/>
    <w:rsid w:val="281648EB"/>
    <w:rsid w:val="28593F9B"/>
    <w:rsid w:val="285E6060"/>
    <w:rsid w:val="286379FA"/>
    <w:rsid w:val="287B71A3"/>
    <w:rsid w:val="28BC50E1"/>
    <w:rsid w:val="29303F64"/>
    <w:rsid w:val="294473DE"/>
    <w:rsid w:val="295432B9"/>
    <w:rsid w:val="296E74D8"/>
    <w:rsid w:val="29DD6E2A"/>
    <w:rsid w:val="29E1044E"/>
    <w:rsid w:val="29ED0C7B"/>
    <w:rsid w:val="29FF7BC8"/>
    <w:rsid w:val="2A050D16"/>
    <w:rsid w:val="2A100FD4"/>
    <w:rsid w:val="2A4F199E"/>
    <w:rsid w:val="2A7F4D2A"/>
    <w:rsid w:val="2A91112E"/>
    <w:rsid w:val="2AB01538"/>
    <w:rsid w:val="2ACE04C1"/>
    <w:rsid w:val="2ACF028A"/>
    <w:rsid w:val="2AE7698D"/>
    <w:rsid w:val="2AEA42A9"/>
    <w:rsid w:val="2AFE19DE"/>
    <w:rsid w:val="2B02165D"/>
    <w:rsid w:val="2B0774FA"/>
    <w:rsid w:val="2B1537AE"/>
    <w:rsid w:val="2B241E9A"/>
    <w:rsid w:val="2B3A5637"/>
    <w:rsid w:val="2B663205"/>
    <w:rsid w:val="2B80698D"/>
    <w:rsid w:val="2BB72957"/>
    <w:rsid w:val="2BC2776D"/>
    <w:rsid w:val="2BCB16B7"/>
    <w:rsid w:val="2BDB5433"/>
    <w:rsid w:val="2BF54B22"/>
    <w:rsid w:val="2C215A6A"/>
    <w:rsid w:val="2C3130A9"/>
    <w:rsid w:val="2C4206D4"/>
    <w:rsid w:val="2C4475D1"/>
    <w:rsid w:val="2C493F9D"/>
    <w:rsid w:val="2C541FD3"/>
    <w:rsid w:val="2C73427C"/>
    <w:rsid w:val="2C757668"/>
    <w:rsid w:val="2C8D30DD"/>
    <w:rsid w:val="2C99210B"/>
    <w:rsid w:val="2CAD6553"/>
    <w:rsid w:val="2CD26E7E"/>
    <w:rsid w:val="2D054310"/>
    <w:rsid w:val="2D0F5F44"/>
    <w:rsid w:val="2D141FA7"/>
    <w:rsid w:val="2D3E422D"/>
    <w:rsid w:val="2D4B0E60"/>
    <w:rsid w:val="2D670985"/>
    <w:rsid w:val="2D7A6A21"/>
    <w:rsid w:val="2D8D5797"/>
    <w:rsid w:val="2D9208DA"/>
    <w:rsid w:val="2D930766"/>
    <w:rsid w:val="2DD32611"/>
    <w:rsid w:val="2DD67326"/>
    <w:rsid w:val="2E14164B"/>
    <w:rsid w:val="2E1A2FEC"/>
    <w:rsid w:val="2E1A6BD9"/>
    <w:rsid w:val="2E2632A2"/>
    <w:rsid w:val="2E2B766A"/>
    <w:rsid w:val="2E4A1389"/>
    <w:rsid w:val="2E5865FC"/>
    <w:rsid w:val="2E690F4C"/>
    <w:rsid w:val="2E7E4860"/>
    <w:rsid w:val="2E8A1084"/>
    <w:rsid w:val="2E8B7F24"/>
    <w:rsid w:val="2E8C4FC4"/>
    <w:rsid w:val="2E9E5F59"/>
    <w:rsid w:val="2EBA4685"/>
    <w:rsid w:val="2EDF2E74"/>
    <w:rsid w:val="2EE24BCA"/>
    <w:rsid w:val="2EFE771B"/>
    <w:rsid w:val="2F0E056E"/>
    <w:rsid w:val="2F262808"/>
    <w:rsid w:val="2F397859"/>
    <w:rsid w:val="2F4B3175"/>
    <w:rsid w:val="2F513E06"/>
    <w:rsid w:val="2F6176BD"/>
    <w:rsid w:val="2F6258D3"/>
    <w:rsid w:val="2F672CF1"/>
    <w:rsid w:val="2F6C456A"/>
    <w:rsid w:val="2F771DB6"/>
    <w:rsid w:val="2F830365"/>
    <w:rsid w:val="2F8D3811"/>
    <w:rsid w:val="2FE20405"/>
    <w:rsid w:val="2FF00960"/>
    <w:rsid w:val="30034E15"/>
    <w:rsid w:val="301F79AB"/>
    <w:rsid w:val="30237D87"/>
    <w:rsid w:val="305D4304"/>
    <w:rsid w:val="307641EC"/>
    <w:rsid w:val="307A169C"/>
    <w:rsid w:val="30AC415C"/>
    <w:rsid w:val="30B15F99"/>
    <w:rsid w:val="30B210A7"/>
    <w:rsid w:val="30BA2D0F"/>
    <w:rsid w:val="30BC5DD0"/>
    <w:rsid w:val="30C616A8"/>
    <w:rsid w:val="314B4E1F"/>
    <w:rsid w:val="31865919"/>
    <w:rsid w:val="31C3C927"/>
    <w:rsid w:val="31C8791E"/>
    <w:rsid w:val="31F6037D"/>
    <w:rsid w:val="324A547F"/>
    <w:rsid w:val="324D5E60"/>
    <w:rsid w:val="328469A0"/>
    <w:rsid w:val="329252E4"/>
    <w:rsid w:val="32B12484"/>
    <w:rsid w:val="32CC6C8B"/>
    <w:rsid w:val="32FC3E3B"/>
    <w:rsid w:val="33034B96"/>
    <w:rsid w:val="33057929"/>
    <w:rsid w:val="330625C9"/>
    <w:rsid w:val="330941DE"/>
    <w:rsid w:val="33110EF9"/>
    <w:rsid w:val="331F61C9"/>
    <w:rsid w:val="333F2E53"/>
    <w:rsid w:val="33561CFB"/>
    <w:rsid w:val="33635C26"/>
    <w:rsid w:val="336E7B8E"/>
    <w:rsid w:val="33700663"/>
    <w:rsid w:val="33B07528"/>
    <w:rsid w:val="33B54B33"/>
    <w:rsid w:val="33B64FE1"/>
    <w:rsid w:val="33EE14D6"/>
    <w:rsid w:val="342A7AC6"/>
    <w:rsid w:val="34387A03"/>
    <w:rsid w:val="345839A7"/>
    <w:rsid w:val="346A38D9"/>
    <w:rsid w:val="34731007"/>
    <w:rsid w:val="3490085C"/>
    <w:rsid w:val="34B24500"/>
    <w:rsid w:val="34DF573B"/>
    <w:rsid w:val="34E117FF"/>
    <w:rsid w:val="350900A2"/>
    <w:rsid w:val="352C0C3B"/>
    <w:rsid w:val="352F1284"/>
    <w:rsid w:val="353D362A"/>
    <w:rsid w:val="355A55BA"/>
    <w:rsid w:val="35731E24"/>
    <w:rsid w:val="35756F79"/>
    <w:rsid w:val="358C19AD"/>
    <w:rsid w:val="35D41D83"/>
    <w:rsid w:val="35E11920"/>
    <w:rsid w:val="35F3614F"/>
    <w:rsid w:val="35FB49EC"/>
    <w:rsid w:val="360443C6"/>
    <w:rsid w:val="36290EBD"/>
    <w:rsid w:val="36423BE9"/>
    <w:rsid w:val="364B771C"/>
    <w:rsid w:val="36550D32"/>
    <w:rsid w:val="36581EF8"/>
    <w:rsid w:val="365E2423"/>
    <w:rsid w:val="366006DB"/>
    <w:rsid w:val="36776172"/>
    <w:rsid w:val="36B07122"/>
    <w:rsid w:val="36B83093"/>
    <w:rsid w:val="36D86B19"/>
    <w:rsid w:val="36DC799F"/>
    <w:rsid w:val="36DF4EEF"/>
    <w:rsid w:val="36E47E46"/>
    <w:rsid w:val="36F82CC5"/>
    <w:rsid w:val="37074132"/>
    <w:rsid w:val="371439CD"/>
    <w:rsid w:val="371A135B"/>
    <w:rsid w:val="372440F4"/>
    <w:rsid w:val="3743416C"/>
    <w:rsid w:val="374F574B"/>
    <w:rsid w:val="37A77074"/>
    <w:rsid w:val="37D0655D"/>
    <w:rsid w:val="37D86843"/>
    <w:rsid w:val="381328FA"/>
    <w:rsid w:val="38615F6A"/>
    <w:rsid w:val="386173DB"/>
    <w:rsid w:val="386C5AA4"/>
    <w:rsid w:val="38813D4A"/>
    <w:rsid w:val="38A855AD"/>
    <w:rsid w:val="38CB5A39"/>
    <w:rsid w:val="38F569EE"/>
    <w:rsid w:val="39122D3D"/>
    <w:rsid w:val="39185C67"/>
    <w:rsid w:val="394019C1"/>
    <w:rsid w:val="396D2992"/>
    <w:rsid w:val="39813589"/>
    <w:rsid w:val="39936B41"/>
    <w:rsid w:val="39BE2E2E"/>
    <w:rsid w:val="39E2547E"/>
    <w:rsid w:val="39F70A11"/>
    <w:rsid w:val="39FF7257"/>
    <w:rsid w:val="3A3A4CB1"/>
    <w:rsid w:val="3A3C311F"/>
    <w:rsid w:val="3A4B62B4"/>
    <w:rsid w:val="3A5C408B"/>
    <w:rsid w:val="3A5D17EB"/>
    <w:rsid w:val="3A70134E"/>
    <w:rsid w:val="3A831ED2"/>
    <w:rsid w:val="3AC7077C"/>
    <w:rsid w:val="3ACA2AD7"/>
    <w:rsid w:val="3AE7503C"/>
    <w:rsid w:val="3AEE7ECF"/>
    <w:rsid w:val="3AFD6D51"/>
    <w:rsid w:val="3B215750"/>
    <w:rsid w:val="3B4D2ADB"/>
    <w:rsid w:val="3B560DCE"/>
    <w:rsid w:val="3B6A112A"/>
    <w:rsid w:val="3B704653"/>
    <w:rsid w:val="3B964584"/>
    <w:rsid w:val="3B9B3D50"/>
    <w:rsid w:val="3BAB522C"/>
    <w:rsid w:val="3BB7457A"/>
    <w:rsid w:val="3BBE3B4E"/>
    <w:rsid w:val="3BD15D1D"/>
    <w:rsid w:val="3BD318AD"/>
    <w:rsid w:val="3BD558C3"/>
    <w:rsid w:val="3C0E3015"/>
    <w:rsid w:val="3C0E7700"/>
    <w:rsid w:val="3C1C1C98"/>
    <w:rsid w:val="3C3609D9"/>
    <w:rsid w:val="3C360B40"/>
    <w:rsid w:val="3C384E0A"/>
    <w:rsid w:val="3C407C2D"/>
    <w:rsid w:val="3C527044"/>
    <w:rsid w:val="3C795031"/>
    <w:rsid w:val="3C7A126C"/>
    <w:rsid w:val="3CFF3290"/>
    <w:rsid w:val="3D15673D"/>
    <w:rsid w:val="3D286301"/>
    <w:rsid w:val="3D4C4E43"/>
    <w:rsid w:val="3D5755E8"/>
    <w:rsid w:val="3D897B09"/>
    <w:rsid w:val="3D8F4935"/>
    <w:rsid w:val="3D9E66F7"/>
    <w:rsid w:val="3DD26F41"/>
    <w:rsid w:val="3DF01B9E"/>
    <w:rsid w:val="3DF30334"/>
    <w:rsid w:val="3E144CD9"/>
    <w:rsid w:val="3E23145E"/>
    <w:rsid w:val="3E4025DB"/>
    <w:rsid w:val="3E51644A"/>
    <w:rsid w:val="3E52329F"/>
    <w:rsid w:val="3E761A60"/>
    <w:rsid w:val="3E7B5874"/>
    <w:rsid w:val="3E905381"/>
    <w:rsid w:val="3E9F61BA"/>
    <w:rsid w:val="3EA5497A"/>
    <w:rsid w:val="3EAB557F"/>
    <w:rsid w:val="3EAF7C09"/>
    <w:rsid w:val="3EB94828"/>
    <w:rsid w:val="3EDFFB09"/>
    <w:rsid w:val="3EF6151F"/>
    <w:rsid w:val="3F17438B"/>
    <w:rsid w:val="3F212158"/>
    <w:rsid w:val="3F2C62B3"/>
    <w:rsid w:val="3F2C6B7A"/>
    <w:rsid w:val="3F322617"/>
    <w:rsid w:val="3F4920F9"/>
    <w:rsid w:val="3F73310B"/>
    <w:rsid w:val="3F7612B2"/>
    <w:rsid w:val="3F7FE6D6"/>
    <w:rsid w:val="3FAF1FE0"/>
    <w:rsid w:val="3FB853FF"/>
    <w:rsid w:val="3FD41FE4"/>
    <w:rsid w:val="40074F15"/>
    <w:rsid w:val="401F0DFA"/>
    <w:rsid w:val="406D3733"/>
    <w:rsid w:val="406F674E"/>
    <w:rsid w:val="40775B1D"/>
    <w:rsid w:val="40780071"/>
    <w:rsid w:val="40823F40"/>
    <w:rsid w:val="40827A66"/>
    <w:rsid w:val="40856B0E"/>
    <w:rsid w:val="40991ECE"/>
    <w:rsid w:val="40A3624E"/>
    <w:rsid w:val="40DF490D"/>
    <w:rsid w:val="4117110D"/>
    <w:rsid w:val="414540D7"/>
    <w:rsid w:val="417822C8"/>
    <w:rsid w:val="417920DF"/>
    <w:rsid w:val="41A731B5"/>
    <w:rsid w:val="41AA6DE3"/>
    <w:rsid w:val="41CD365E"/>
    <w:rsid w:val="41EA05A6"/>
    <w:rsid w:val="4209624F"/>
    <w:rsid w:val="42144B86"/>
    <w:rsid w:val="421C5B41"/>
    <w:rsid w:val="42200207"/>
    <w:rsid w:val="423F542B"/>
    <w:rsid w:val="425416C9"/>
    <w:rsid w:val="42555ED9"/>
    <w:rsid w:val="425E6670"/>
    <w:rsid w:val="428833DD"/>
    <w:rsid w:val="42897D62"/>
    <w:rsid w:val="429268EB"/>
    <w:rsid w:val="42A57894"/>
    <w:rsid w:val="42A8481E"/>
    <w:rsid w:val="42B42B19"/>
    <w:rsid w:val="42C42E01"/>
    <w:rsid w:val="42D46F54"/>
    <w:rsid w:val="42ED6225"/>
    <w:rsid w:val="42EF38C5"/>
    <w:rsid w:val="42FA7F95"/>
    <w:rsid w:val="43326E8D"/>
    <w:rsid w:val="434A722D"/>
    <w:rsid w:val="435F3EB3"/>
    <w:rsid w:val="43727315"/>
    <w:rsid w:val="437E69D0"/>
    <w:rsid w:val="43944A8B"/>
    <w:rsid w:val="43972CD9"/>
    <w:rsid w:val="439F4DB6"/>
    <w:rsid w:val="43B14B63"/>
    <w:rsid w:val="43BD5F87"/>
    <w:rsid w:val="43D6717F"/>
    <w:rsid w:val="43DB152B"/>
    <w:rsid w:val="43DB1E2B"/>
    <w:rsid w:val="442C7F42"/>
    <w:rsid w:val="4449742B"/>
    <w:rsid w:val="44983C14"/>
    <w:rsid w:val="44CE562D"/>
    <w:rsid w:val="44F3275C"/>
    <w:rsid w:val="44F40EF0"/>
    <w:rsid w:val="452E1BB7"/>
    <w:rsid w:val="45383E96"/>
    <w:rsid w:val="454027E7"/>
    <w:rsid w:val="454C359A"/>
    <w:rsid w:val="455A2583"/>
    <w:rsid w:val="455F7302"/>
    <w:rsid w:val="45B64A89"/>
    <w:rsid w:val="45BA0AA2"/>
    <w:rsid w:val="45DA7C6B"/>
    <w:rsid w:val="460609B6"/>
    <w:rsid w:val="46094764"/>
    <w:rsid w:val="462B69C7"/>
    <w:rsid w:val="46405D60"/>
    <w:rsid w:val="4648114D"/>
    <w:rsid w:val="46526171"/>
    <w:rsid w:val="46851F58"/>
    <w:rsid w:val="46940574"/>
    <w:rsid w:val="46BD632B"/>
    <w:rsid w:val="46F311A7"/>
    <w:rsid w:val="46F75374"/>
    <w:rsid w:val="47102975"/>
    <w:rsid w:val="47236B1E"/>
    <w:rsid w:val="4735312E"/>
    <w:rsid w:val="473C4F2C"/>
    <w:rsid w:val="47446FCB"/>
    <w:rsid w:val="475830A9"/>
    <w:rsid w:val="475E7857"/>
    <w:rsid w:val="476C782F"/>
    <w:rsid w:val="477438E8"/>
    <w:rsid w:val="47905F01"/>
    <w:rsid w:val="47D73847"/>
    <w:rsid w:val="48374401"/>
    <w:rsid w:val="48512443"/>
    <w:rsid w:val="486A458F"/>
    <w:rsid w:val="486B4898"/>
    <w:rsid w:val="488722CF"/>
    <w:rsid w:val="488D2989"/>
    <w:rsid w:val="489071FA"/>
    <w:rsid w:val="48A42636"/>
    <w:rsid w:val="48DF65B6"/>
    <w:rsid w:val="48FC794B"/>
    <w:rsid w:val="49046BBC"/>
    <w:rsid w:val="4952527D"/>
    <w:rsid w:val="49C61D20"/>
    <w:rsid w:val="49C80302"/>
    <w:rsid w:val="49E06EF3"/>
    <w:rsid w:val="4A056D79"/>
    <w:rsid w:val="4A0C79A2"/>
    <w:rsid w:val="4A46657E"/>
    <w:rsid w:val="4A49159A"/>
    <w:rsid w:val="4A5B69D1"/>
    <w:rsid w:val="4A6F53C0"/>
    <w:rsid w:val="4A994E1D"/>
    <w:rsid w:val="4A9A4D6E"/>
    <w:rsid w:val="4AC61E5E"/>
    <w:rsid w:val="4ADD1C84"/>
    <w:rsid w:val="4AE35E13"/>
    <w:rsid w:val="4AF82EB3"/>
    <w:rsid w:val="4B346E3A"/>
    <w:rsid w:val="4B36610A"/>
    <w:rsid w:val="4B79141A"/>
    <w:rsid w:val="4BC30E98"/>
    <w:rsid w:val="4BD70F87"/>
    <w:rsid w:val="4BDD21AD"/>
    <w:rsid w:val="4BDF510A"/>
    <w:rsid w:val="4BE573C2"/>
    <w:rsid w:val="4C241B63"/>
    <w:rsid w:val="4C2D460F"/>
    <w:rsid w:val="4C5F609D"/>
    <w:rsid w:val="4CA877BC"/>
    <w:rsid w:val="4CB91994"/>
    <w:rsid w:val="4CDE308C"/>
    <w:rsid w:val="4CDE49DA"/>
    <w:rsid w:val="4D1B28C8"/>
    <w:rsid w:val="4D421A3E"/>
    <w:rsid w:val="4D49773D"/>
    <w:rsid w:val="4D617B1E"/>
    <w:rsid w:val="4D7340AE"/>
    <w:rsid w:val="4D777115"/>
    <w:rsid w:val="4D7D3684"/>
    <w:rsid w:val="4D962A8C"/>
    <w:rsid w:val="4DCE7F95"/>
    <w:rsid w:val="4DE53C9D"/>
    <w:rsid w:val="4E381338"/>
    <w:rsid w:val="4E600D30"/>
    <w:rsid w:val="4E663EA6"/>
    <w:rsid w:val="4E6D2116"/>
    <w:rsid w:val="4E827538"/>
    <w:rsid w:val="4E863705"/>
    <w:rsid w:val="4E99421B"/>
    <w:rsid w:val="4EBE082B"/>
    <w:rsid w:val="4EE45AB9"/>
    <w:rsid w:val="4F110201"/>
    <w:rsid w:val="4F193437"/>
    <w:rsid w:val="4F2F615B"/>
    <w:rsid w:val="4F385ABB"/>
    <w:rsid w:val="4F505E1B"/>
    <w:rsid w:val="4F692F77"/>
    <w:rsid w:val="4F6B3AD8"/>
    <w:rsid w:val="4FA03972"/>
    <w:rsid w:val="4FA66672"/>
    <w:rsid w:val="4FD9097A"/>
    <w:rsid w:val="4FDD5981"/>
    <w:rsid w:val="4FE4083A"/>
    <w:rsid w:val="500A7596"/>
    <w:rsid w:val="50180D7C"/>
    <w:rsid w:val="503654CB"/>
    <w:rsid w:val="503B0E83"/>
    <w:rsid w:val="506D6112"/>
    <w:rsid w:val="506E2D62"/>
    <w:rsid w:val="50776C88"/>
    <w:rsid w:val="50980509"/>
    <w:rsid w:val="509D127B"/>
    <w:rsid w:val="50A036F6"/>
    <w:rsid w:val="50A07364"/>
    <w:rsid w:val="50A904F9"/>
    <w:rsid w:val="50AC11B4"/>
    <w:rsid w:val="50B3751F"/>
    <w:rsid w:val="50BE3ECA"/>
    <w:rsid w:val="50BF09B1"/>
    <w:rsid w:val="50E14D41"/>
    <w:rsid w:val="50F4635B"/>
    <w:rsid w:val="51064AFB"/>
    <w:rsid w:val="518E1519"/>
    <w:rsid w:val="51905663"/>
    <w:rsid w:val="51964647"/>
    <w:rsid w:val="51A65B6F"/>
    <w:rsid w:val="51AB2E95"/>
    <w:rsid w:val="51D83A4B"/>
    <w:rsid w:val="51DA7CAA"/>
    <w:rsid w:val="51F848FF"/>
    <w:rsid w:val="5206616D"/>
    <w:rsid w:val="520F0CEB"/>
    <w:rsid w:val="52113FCB"/>
    <w:rsid w:val="52283771"/>
    <w:rsid w:val="522B1606"/>
    <w:rsid w:val="523C3F73"/>
    <w:rsid w:val="52507309"/>
    <w:rsid w:val="528F65ED"/>
    <w:rsid w:val="529730F7"/>
    <w:rsid w:val="52A20E93"/>
    <w:rsid w:val="52AA1E18"/>
    <w:rsid w:val="52BC092D"/>
    <w:rsid w:val="52D2617A"/>
    <w:rsid w:val="52DE07C5"/>
    <w:rsid w:val="530F4C15"/>
    <w:rsid w:val="53124191"/>
    <w:rsid w:val="533C6366"/>
    <w:rsid w:val="534121FA"/>
    <w:rsid w:val="53466B7D"/>
    <w:rsid w:val="535A34FE"/>
    <w:rsid w:val="536E6C6D"/>
    <w:rsid w:val="537F460C"/>
    <w:rsid w:val="53824FDB"/>
    <w:rsid w:val="53845D71"/>
    <w:rsid w:val="539844DE"/>
    <w:rsid w:val="53A36A48"/>
    <w:rsid w:val="53C3401F"/>
    <w:rsid w:val="53D72AAE"/>
    <w:rsid w:val="53EE5F5C"/>
    <w:rsid w:val="53F74936"/>
    <w:rsid w:val="540A0DF7"/>
    <w:rsid w:val="543B11E4"/>
    <w:rsid w:val="5451401F"/>
    <w:rsid w:val="546C0379"/>
    <w:rsid w:val="54873637"/>
    <w:rsid w:val="548F45D8"/>
    <w:rsid w:val="54915F21"/>
    <w:rsid w:val="54A50DA8"/>
    <w:rsid w:val="54B25A56"/>
    <w:rsid w:val="54B82135"/>
    <w:rsid w:val="54CA504E"/>
    <w:rsid w:val="54E255BF"/>
    <w:rsid w:val="54EA63AA"/>
    <w:rsid w:val="551C67BF"/>
    <w:rsid w:val="552567A6"/>
    <w:rsid w:val="554E0074"/>
    <w:rsid w:val="55613B82"/>
    <w:rsid w:val="557B72AA"/>
    <w:rsid w:val="558B37C5"/>
    <w:rsid w:val="55A5427B"/>
    <w:rsid w:val="55F15177"/>
    <w:rsid w:val="55FF2769"/>
    <w:rsid w:val="560508A7"/>
    <w:rsid w:val="563370F7"/>
    <w:rsid w:val="564F1FE5"/>
    <w:rsid w:val="56846D00"/>
    <w:rsid w:val="56CB5A54"/>
    <w:rsid w:val="56DC434E"/>
    <w:rsid w:val="56E855AB"/>
    <w:rsid w:val="56FC2A13"/>
    <w:rsid w:val="573C20CC"/>
    <w:rsid w:val="57507AB0"/>
    <w:rsid w:val="578B2775"/>
    <w:rsid w:val="57992F4E"/>
    <w:rsid w:val="57BB74EB"/>
    <w:rsid w:val="57BC63F6"/>
    <w:rsid w:val="57D61C42"/>
    <w:rsid w:val="57E91EDE"/>
    <w:rsid w:val="58006A06"/>
    <w:rsid w:val="58453472"/>
    <w:rsid w:val="58465D0A"/>
    <w:rsid w:val="58495B0B"/>
    <w:rsid w:val="588720B3"/>
    <w:rsid w:val="58CA3E0C"/>
    <w:rsid w:val="58DB1BE2"/>
    <w:rsid w:val="58E90CE8"/>
    <w:rsid w:val="58FD29B5"/>
    <w:rsid w:val="59345335"/>
    <w:rsid w:val="593D7FA7"/>
    <w:rsid w:val="5941540E"/>
    <w:rsid w:val="59734A64"/>
    <w:rsid w:val="59814D09"/>
    <w:rsid w:val="59845CF5"/>
    <w:rsid w:val="59A83A72"/>
    <w:rsid w:val="59BB55C4"/>
    <w:rsid w:val="59CB0BD4"/>
    <w:rsid w:val="59D22900"/>
    <w:rsid w:val="59D678E2"/>
    <w:rsid w:val="59EC407F"/>
    <w:rsid w:val="59EE31A0"/>
    <w:rsid w:val="5A17402C"/>
    <w:rsid w:val="5A1F7EB7"/>
    <w:rsid w:val="5A646F4E"/>
    <w:rsid w:val="5A6A2C76"/>
    <w:rsid w:val="5A791CCE"/>
    <w:rsid w:val="5A8F08DD"/>
    <w:rsid w:val="5A9A5886"/>
    <w:rsid w:val="5ACD361E"/>
    <w:rsid w:val="5AE33FE8"/>
    <w:rsid w:val="5AEA72D6"/>
    <w:rsid w:val="5AFB0777"/>
    <w:rsid w:val="5AFB2DD2"/>
    <w:rsid w:val="5B1D7AC3"/>
    <w:rsid w:val="5B275AE2"/>
    <w:rsid w:val="5B4348F1"/>
    <w:rsid w:val="5B447896"/>
    <w:rsid w:val="5B4C5E30"/>
    <w:rsid w:val="5B673164"/>
    <w:rsid w:val="5B770D7F"/>
    <w:rsid w:val="5B94253F"/>
    <w:rsid w:val="5BCA5290"/>
    <w:rsid w:val="5BEB6FF4"/>
    <w:rsid w:val="5C0E7C35"/>
    <w:rsid w:val="5C10758E"/>
    <w:rsid w:val="5C313C36"/>
    <w:rsid w:val="5C4438F8"/>
    <w:rsid w:val="5C491E11"/>
    <w:rsid w:val="5C5D60AE"/>
    <w:rsid w:val="5C6B5CED"/>
    <w:rsid w:val="5C930FC9"/>
    <w:rsid w:val="5CD46195"/>
    <w:rsid w:val="5CDD7435"/>
    <w:rsid w:val="5D1B3E94"/>
    <w:rsid w:val="5D3451DF"/>
    <w:rsid w:val="5D5E27FF"/>
    <w:rsid w:val="5D6F57D3"/>
    <w:rsid w:val="5D702A3A"/>
    <w:rsid w:val="5D884965"/>
    <w:rsid w:val="5DB76659"/>
    <w:rsid w:val="5DBF430A"/>
    <w:rsid w:val="5DC25A24"/>
    <w:rsid w:val="5DDA779F"/>
    <w:rsid w:val="5DF86EFD"/>
    <w:rsid w:val="5DF87C1C"/>
    <w:rsid w:val="5E43042E"/>
    <w:rsid w:val="5E522DF1"/>
    <w:rsid w:val="5E5922BC"/>
    <w:rsid w:val="5E5B3DCD"/>
    <w:rsid w:val="5E754E1A"/>
    <w:rsid w:val="5E821E5B"/>
    <w:rsid w:val="5E8952BB"/>
    <w:rsid w:val="5E8B4CCC"/>
    <w:rsid w:val="5EAF77BF"/>
    <w:rsid w:val="5EBA3D27"/>
    <w:rsid w:val="5EFF131D"/>
    <w:rsid w:val="5F26132C"/>
    <w:rsid w:val="5F3F6604"/>
    <w:rsid w:val="5F4DA354"/>
    <w:rsid w:val="5F6062FD"/>
    <w:rsid w:val="5F7F2C2D"/>
    <w:rsid w:val="5FBB5903"/>
    <w:rsid w:val="5FC042E3"/>
    <w:rsid w:val="5FDEAF74"/>
    <w:rsid w:val="60114021"/>
    <w:rsid w:val="60503D92"/>
    <w:rsid w:val="60675D84"/>
    <w:rsid w:val="60880618"/>
    <w:rsid w:val="609B09FA"/>
    <w:rsid w:val="60BE5E6B"/>
    <w:rsid w:val="611B3205"/>
    <w:rsid w:val="611E7EF6"/>
    <w:rsid w:val="61623F23"/>
    <w:rsid w:val="61647A13"/>
    <w:rsid w:val="617201FA"/>
    <w:rsid w:val="61914A36"/>
    <w:rsid w:val="61925E96"/>
    <w:rsid w:val="61A57698"/>
    <w:rsid w:val="61A77C2E"/>
    <w:rsid w:val="61A86597"/>
    <w:rsid w:val="61D375F3"/>
    <w:rsid w:val="61EC0B12"/>
    <w:rsid w:val="61FB5E0B"/>
    <w:rsid w:val="61FB74A4"/>
    <w:rsid w:val="61FE78B6"/>
    <w:rsid w:val="62071648"/>
    <w:rsid w:val="620F60C4"/>
    <w:rsid w:val="621417AB"/>
    <w:rsid w:val="621A304A"/>
    <w:rsid w:val="62576B98"/>
    <w:rsid w:val="62747F61"/>
    <w:rsid w:val="62B74259"/>
    <w:rsid w:val="62D36B52"/>
    <w:rsid w:val="62E8430A"/>
    <w:rsid w:val="630E2799"/>
    <w:rsid w:val="634A5942"/>
    <w:rsid w:val="636962A9"/>
    <w:rsid w:val="63803035"/>
    <w:rsid w:val="63C345D0"/>
    <w:rsid w:val="63C51B64"/>
    <w:rsid w:val="63F1169B"/>
    <w:rsid w:val="63F83506"/>
    <w:rsid w:val="63FD3606"/>
    <w:rsid w:val="6419709D"/>
    <w:rsid w:val="642637DC"/>
    <w:rsid w:val="643A2CF5"/>
    <w:rsid w:val="64472703"/>
    <w:rsid w:val="645B64FF"/>
    <w:rsid w:val="646B4D93"/>
    <w:rsid w:val="64A40C74"/>
    <w:rsid w:val="64B012BE"/>
    <w:rsid w:val="64D63DAF"/>
    <w:rsid w:val="64F40A82"/>
    <w:rsid w:val="64FF5565"/>
    <w:rsid w:val="65080C78"/>
    <w:rsid w:val="65100DFA"/>
    <w:rsid w:val="6532729B"/>
    <w:rsid w:val="65374C35"/>
    <w:rsid w:val="6545188B"/>
    <w:rsid w:val="65642D9F"/>
    <w:rsid w:val="656D65EE"/>
    <w:rsid w:val="65732DD4"/>
    <w:rsid w:val="65774DAC"/>
    <w:rsid w:val="65984D16"/>
    <w:rsid w:val="65C54AF4"/>
    <w:rsid w:val="66054412"/>
    <w:rsid w:val="660A6C1B"/>
    <w:rsid w:val="662772EA"/>
    <w:rsid w:val="6646291D"/>
    <w:rsid w:val="66606C4A"/>
    <w:rsid w:val="66A258DF"/>
    <w:rsid w:val="66C02E13"/>
    <w:rsid w:val="66E5505F"/>
    <w:rsid w:val="67081424"/>
    <w:rsid w:val="671B2CE7"/>
    <w:rsid w:val="671C174B"/>
    <w:rsid w:val="673962BC"/>
    <w:rsid w:val="67627BF2"/>
    <w:rsid w:val="67733347"/>
    <w:rsid w:val="678D5EE9"/>
    <w:rsid w:val="67C21288"/>
    <w:rsid w:val="67C5328C"/>
    <w:rsid w:val="67E76FA4"/>
    <w:rsid w:val="687138C1"/>
    <w:rsid w:val="68A463F9"/>
    <w:rsid w:val="68A66D69"/>
    <w:rsid w:val="68F597A6"/>
    <w:rsid w:val="68F6735A"/>
    <w:rsid w:val="6921428C"/>
    <w:rsid w:val="695D5849"/>
    <w:rsid w:val="69672A18"/>
    <w:rsid w:val="69715EC4"/>
    <w:rsid w:val="69931B2F"/>
    <w:rsid w:val="69B81BC6"/>
    <w:rsid w:val="69E0408C"/>
    <w:rsid w:val="69E452C4"/>
    <w:rsid w:val="69E612F1"/>
    <w:rsid w:val="69F43D9E"/>
    <w:rsid w:val="6A03440F"/>
    <w:rsid w:val="6A221387"/>
    <w:rsid w:val="6A536081"/>
    <w:rsid w:val="6A580757"/>
    <w:rsid w:val="6A5911A0"/>
    <w:rsid w:val="6A7947EF"/>
    <w:rsid w:val="6A82010D"/>
    <w:rsid w:val="6AAB67B4"/>
    <w:rsid w:val="6AC550F9"/>
    <w:rsid w:val="6AD26013"/>
    <w:rsid w:val="6AEB1FF6"/>
    <w:rsid w:val="6AFEF9AA"/>
    <w:rsid w:val="6B147FED"/>
    <w:rsid w:val="6B1A4E30"/>
    <w:rsid w:val="6B58444E"/>
    <w:rsid w:val="6B6A1A57"/>
    <w:rsid w:val="6B7E3515"/>
    <w:rsid w:val="6B937E0F"/>
    <w:rsid w:val="6BCE6F87"/>
    <w:rsid w:val="6BCFA839"/>
    <w:rsid w:val="6BD36970"/>
    <w:rsid w:val="6BE81024"/>
    <w:rsid w:val="6C1C1DC3"/>
    <w:rsid w:val="6C303D3B"/>
    <w:rsid w:val="6C4055F5"/>
    <w:rsid w:val="6C474488"/>
    <w:rsid w:val="6C502768"/>
    <w:rsid w:val="6C6E7A83"/>
    <w:rsid w:val="6C82002B"/>
    <w:rsid w:val="6C8A2C6F"/>
    <w:rsid w:val="6C9A2D81"/>
    <w:rsid w:val="6CA5552B"/>
    <w:rsid w:val="6CC5130E"/>
    <w:rsid w:val="6CDA6A0D"/>
    <w:rsid w:val="6CE71270"/>
    <w:rsid w:val="6CEC090F"/>
    <w:rsid w:val="6D0D0A04"/>
    <w:rsid w:val="6D3E6D51"/>
    <w:rsid w:val="6D502CAB"/>
    <w:rsid w:val="6D7A4739"/>
    <w:rsid w:val="6D8B1456"/>
    <w:rsid w:val="6D8B2BE1"/>
    <w:rsid w:val="6DB73513"/>
    <w:rsid w:val="6DEE2F2C"/>
    <w:rsid w:val="6DF55115"/>
    <w:rsid w:val="6DFFC1B5"/>
    <w:rsid w:val="6E1775A9"/>
    <w:rsid w:val="6E1A4C36"/>
    <w:rsid w:val="6E3408FF"/>
    <w:rsid w:val="6E3C5AB0"/>
    <w:rsid w:val="6E3F2418"/>
    <w:rsid w:val="6E4C0E92"/>
    <w:rsid w:val="6E597268"/>
    <w:rsid w:val="6E653BCC"/>
    <w:rsid w:val="6E9163EB"/>
    <w:rsid w:val="6E9F641D"/>
    <w:rsid w:val="6EBF147E"/>
    <w:rsid w:val="6ECD51FB"/>
    <w:rsid w:val="6ED368D2"/>
    <w:rsid w:val="6ED55398"/>
    <w:rsid w:val="6ED62E11"/>
    <w:rsid w:val="6EE612C6"/>
    <w:rsid w:val="6EFF4249"/>
    <w:rsid w:val="6F141D9B"/>
    <w:rsid w:val="6F3063EA"/>
    <w:rsid w:val="6F3E4383"/>
    <w:rsid w:val="6F446869"/>
    <w:rsid w:val="6F632A9D"/>
    <w:rsid w:val="6F943760"/>
    <w:rsid w:val="6FEE0C53"/>
    <w:rsid w:val="70135B59"/>
    <w:rsid w:val="701A466E"/>
    <w:rsid w:val="7029582A"/>
    <w:rsid w:val="702B774C"/>
    <w:rsid w:val="703113DF"/>
    <w:rsid w:val="703E7DA2"/>
    <w:rsid w:val="708A429A"/>
    <w:rsid w:val="70B355E3"/>
    <w:rsid w:val="70C333E7"/>
    <w:rsid w:val="70CB61FB"/>
    <w:rsid w:val="70CD4917"/>
    <w:rsid w:val="70D03069"/>
    <w:rsid w:val="70DC2429"/>
    <w:rsid w:val="70E043CC"/>
    <w:rsid w:val="70F44EDE"/>
    <w:rsid w:val="712A29E4"/>
    <w:rsid w:val="714F2214"/>
    <w:rsid w:val="71534445"/>
    <w:rsid w:val="71A10721"/>
    <w:rsid w:val="71E120EC"/>
    <w:rsid w:val="71EC0A2A"/>
    <w:rsid w:val="721138C0"/>
    <w:rsid w:val="72313B17"/>
    <w:rsid w:val="723C4A59"/>
    <w:rsid w:val="72617727"/>
    <w:rsid w:val="727B6D64"/>
    <w:rsid w:val="72C120FC"/>
    <w:rsid w:val="72CF5F28"/>
    <w:rsid w:val="72D910F7"/>
    <w:rsid w:val="72DB58CD"/>
    <w:rsid w:val="72E616CF"/>
    <w:rsid w:val="72E807FE"/>
    <w:rsid w:val="72FB2DA1"/>
    <w:rsid w:val="730F693B"/>
    <w:rsid w:val="73183996"/>
    <w:rsid w:val="73240363"/>
    <w:rsid w:val="734C7720"/>
    <w:rsid w:val="736926B1"/>
    <w:rsid w:val="736E7AAC"/>
    <w:rsid w:val="73731A53"/>
    <w:rsid w:val="73806704"/>
    <w:rsid w:val="73F34778"/>
    <w:rsid w:val="73F759B4"/>
    <w:rsid w:val="74004C6E"/>
    <w:rsid w:val="74043A9F"/>
    <w:rsid w:val="741D62E5"/>
    <w:rsid w:val="743D68F9"/>
    <w:rsid w:val="745A349A"/>
    <w:rsid w:val="747B18B0"/>
    <w:rsid w:val="747B22D8"/>
    <w:rsid w:val="74826CD0"/>
    <w:rsid w:val="74951AC6"/>
    <w:rsid w:val="74B73EED"/>
    <w:rsid w:val="74BF799D"/>
    <w:rsid w:val="74E206BD"/>
    <w:rsid w:val="74FA050D"/>
    <w:rsid w:val="74FBD003"/>
    <w:rsid w:val="750B4CEF"/>
    <w:rsid w:val="755657F1"/>
    <w:rsid w:val="755B5D38"/>
    <w:rsid w:val="756900E5"/>
    <w:rsid w:val="757B64D4"/>
    <w:rsid w:val="7591687F"/>
    <w:rsid w:val="75AD6741"/>
    <w:rsid w:val="75C610F1"/>
    <w:rsid w:val="75FD35BD"/>
    <w:rsid w:val="76202A8D"/>
    <w:rsid w:val="763839D7"/>
    <w:rsid w:val="763E23DE"/>
    <w:rsid w:val="764971CA"/>
    <w:rsid w:val="76566753"/>
    <w:rsid w:val="76622FF4"/>
    <w:rsid w:val="766C23DA"/>
    <w:rsid w:val="76796F50"/>
    <w:rsid w:val="769A5CE7"/>
    <w:rsid w:val="769A61A0"/>
    <w:rsid w:val="76B1224B"/>
    <w:rsid w:val="76D535BA"/>
    <w:rsid w:val="76D75A0D"/>
    <w:rsid w:val="77101E72"/>
    <w:rsid w:val="77121CE2"/>
    <w:rsid w:val="77162C3E"/>
    <w:rsid w:val="773A19D0"/>
    <w:rsid w:val="777628B0"/>
    <w:rsid w:val="777F5D8D"/>
    <w:rsid w:val="77BE4288"/>
    <w:rsid w:val="77C519C0"/>
    <w:rsid w:val="77CD013D"/>
    <w:rsid w:val="77D92084"/>
    <w:rsid w:val="77DC6403"/>
    <w:rsid w:val="785767AB"/>
    <w:rsid w:val="786F07E9"/>
    <w:rsid w:val="78716653"/>
    <w:rsid w:val="78884054"/>
    <w:rsid w:val="788C1946"/>
    <w:rsid w:val="78932A63"/>
    <w:rsid w:val="78E72E54"/>
    <w:rsid w:val="78FB08F3"/>
    <w:rsid w:val="78FD5772"/>
    <w:rsid w:val="79001633"/>
    <w:rsid w:val="79250639"/>
    <w:rsid w:val="793108B5"/>
    <w:rsid w:val="794F3281"/>
    <w:rsid w:val="79797743"/>
    <w:rsid w:val="798A166E"/>
    <w:rsid w:val="79B10ED4"/>
    <w:rsid w:val="79BB3F88"/>
    <w:rsid w:val="7A2E2740"/>
    <w:rsid w:val="7A3369A7"/>
    <w:rsid w:val="7A4B0250"/>
    <w:rsid w:val="7A862A08"/>
    <w:rsid w:val="7AB224C0"/>
    <w:rsid w:val="7ADA581D"/>
    <w:rsid w:val="7AF57138"/>
    <w:rsid w:val="7B194922"/>
    <w:rsid w:val="7B652D6E"/>
    <w:rsid w:val="7B662FD4"/>
    <w:rsid w:val="7BCE72F4"/>
    <w:rsid w:val="7C1324AB"/>
    <w:rsid w:val="7C525B64"/>
    <w:rsid w:val="7C594BF8"/>
    <w:rsid w:val="7C61455C"/>
    <w:rsid w:val="7C9D3DDF"/>
    <w:rsid w:val="7CBA31F4"/>
    <w:rsid w:val="7CE742C8"/>
    <w:rsid w:val="7D1C6B1F"/>
    <w:rsid w:val="7D510F55"/>
    <w:rsid w:val="7D950123"/>
    <w:rsid w:val="7DBA4256"/>
    <w:rsid w:val="7DCD499F"/>
    <w:rsid w:val="7DCE6D2F"/>
    <w:rsid w:val="7DE02191"/>
    <w:rsid w:val="7DF45772"/>
    <w:rsid w:val="7DFA2B03"/>
    <w:rsid w:val="7E396EC8"/>
    <w:rsid w:val="7E3DD0F3"/>
    <w:rsid w:val="7E520F27"/>
    <w:rsid w:val="7E5E0835"/>
    <w:rsid w:val="7E731EDB"/>
    <w:rsid w:val="7EE3553E"/>
    <w:rsid w:val="7EF91C26"/>
    <w:rsid w:val="7F111A7B"/>
    <w:rsid w:val="7F2A0B9D"/>
    <w:rsid w:val="7F3116B7"/>
    <w:rsid w:val="7F4B2FAC"/>
    <w:rsid w:val="7F503642"/>
    <w:rsid w:val="7F5F20C2"/>
    <w:rsid w:val="7F6D5E65"/>
    <w:rsid w:val="7F775094"/>
    <w:rsid w:val="7F8F6417"/>
    <w:rsid w:val="7F9136BB"/>
    <w:rsid w:val="7FAB4323"/>
    <w:rsid w:val="7FD26109"/>
    <w:rsid w:val="8FDF04B7"/>
    <w:rsid w:val="9ADF79D9"/>
    <w:rsid w:val="9E7B341A"/>
    <w:rsid w:val="BC368CAD"/>
    <w:rsid w:val="BF975AC2"/>
    <w:rsid w:val="D87FE7B7"/>
    <w:rsid w:val="D9FEA76C"/>
    <w:rsid w:val="DFFD3F93"/>
    <w:rsid w:val="EF27C638"/>
    <w:rsid w:val="F56F988F"/>
    <w:rsid w:val="F79E542A"/>
    <w:rsid w:val="FA7BF881"/>
    <w:rsid w:val="FEFBA67A"/>
    <w:rsid w:val="FF6EF9AC"/>
    <w:rsid w:val="FFE49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5"/>
    <w:qFormat/>
    <w:uiPriority w:val="99"/>
    <w:pPr>
      <w:keepNext/>
      <w:adjustRightInd/>
      <w:snapToGrid/>
      <w:spacing w:after="0"/>
      <w:outlineLvl w:val="0"/>
    </w:pPr>
    <w:rPr>
      <w:rFonts w:ascii="Times New Roman" w:hAnsi="Times New Roman" w:eastAsia="宋体"/>
      <w:b/>
      <w:bCs/>
      <w:sz w:val="24"/>
      <w:szCs w:val="24"/>
    </w:rPr>
  </w:style>
  <w:style w:type="paragraph" w:styleId="5">
    <w:name w:val="heading 2"/>
    <w:basedOn w:val="1"/>
    <w:next w:val="1"/>
    <w:qFormat/>
    <w:uiPriority w:val="99"/>
    <w:pPr>
      <w:keepNext/>
      <w:keepLines/>
      <w:widowControl w:val="0"/>
      <w:adjustRightInd/>
      <w:snapToGrid/>
      <w:spacing w:before="260" w:after="260" w:line="415" w:lineRule="auto"/>
      <w:jc w:val="both"/>
      <w:outlineLvl w:val="1"/>
    </w:pPr>
    <w:rPr>
      <w:rFonts w:ascii="Arial" w:hAnsi="Arial" w:eastAsia="黑体"/>
      <w:b/>
      <w:bCs/>
      <w:sz w:val="32"/>
      <w:szCs w:val="32"/>
    </w:rPr>
  </w:style>
  <w:style w:type="paragraph" w:styleId="6">
    <w:name w:val="heading 3"/>
    <w:basedOn w:val="1"/>
    <w:next w:val="1"/>
    <w:qFormat/>
    <w:uiPriority w:val="0"/>
    <w:pPr>
      <w:widowControl w:val="0"/>
      <w:tabs>
        <w:tab w:val="left" w:pos="851"/>
      </w:tabs>
      <w:autoSpaceDE w:val="0"/>
      <w:autoSpaceDN w:val="0"/>
      <w:spacing w:line="360" w:lineRule="auto"/>
      <w:jc w:val="both"/>
      <w:outlineLvl w:val="2"/>
    </w:pPr>
    <w:rPr>
      <w:rFonts w:ascii="宋体"/>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napToGrid w:val="0"/>
      <w:spacing w:after="0" w:line="360" w:lineRule="auto"/>
      <w:ind w:firstLine="425"/>
    </w:pPr>
    <w:rPr>
      <w:kern w:val="0"/>
      <w:sz w:val="20"/>
      <w:szCs w:val="20"/>
    </w:rPr>
  </w:style>
  <w:style w:type="paragraph" w:styleId="3">
    <w:name w:val="Body Text"/>
    <w:basedOn w:val="1"/>
    <w:unhideWhenUsed/>
    <w:qFormat/>
    <w:uiPriority w:val="0"/>
    <w:pPr>
      <w:widowControl w:val="0"/>
      <w:adjustRightInd/>
      <w:snapToGrid/>
      <w:spacing w:after="120"/>
      <w:jc w:val="both"/>
    </w:pPr>
    <w:rPr>
      <w:rFonts w:ascii="Times New Roman" w:hAnsi="Times New Roman" w:eastAsia="宋体"/>
      <w:kern w:val="2"/>
      <w:sz w:val="21"/>
      <w:szCs w:val="24"/>
    </w:rPr>
  </w:style>
  <w:style w:type="paragraph" w:styleId="7">
    <w:name w:val="Normal Indent"/>
    <w:basedOn w:val="1"/>
    <w:qFormat/>
    <w:uiPriority w:val="0"/>
    <w:pPr>
      <w:ind w:firstLine="420"/>
    </w:pPr>
  </w:style>
  <w:style w:type="paragraph" w:styleId="8">
    <w:name w:val="annotation text"/>
    <w:basedOn w:val="1"/>
    <w:qFormat/>
    <w:uiPriority w:val="0"/>
  </w:style>
  <w:style w:type="paragraph" w:styleId="9">
    <w:name w:val="Body Text Indent"/>
    <w:basedOn w:val="1"/>
    <w:unhideWhenUsed/>
    <w:qFormat/>
    <w:uiPriority w:val="99"/>
    <w:pPr>
      <w:widowControl w:val="0"/>
      <w:adjustRightInd/>
      <w:snapToGrid/>
      <w:spacing w:after="0" w:line="560" w:lineRule="exact"/>
      <w:ind w:left="300"/>
      <w:jc w:val="both"/>
    </w:pPr>
    <w:rPr>
      <w:rFonts w:ascii="Times New Roman" w:hAnsi="Times New Roman" w:eastAsia="宋体"/>
      <w:kern w:val="2"/>
      <w:sz w:val="24"/>
      <w:szCs w:val="24"/>
    </w:rPr>
  </w:style>
  <w:style w:type="paragraph" w:styleId="10">
    <w:name w:val="toc 3"/>
    <w:basedOn w:val="1"/>
    <w:next w:val="1"/>
    <w:qFormat/>
    <w:uiPriority w:val="0"/>
    <w:pPr>
      <w:spacing w:line="360" w:lineRule="auto"/>
    </w:pPr>
    <w:rPr>
      <w:rFonts w:eastAsia="宋体"/>
    </w:rPr>
  </w:style>
  <w:style w:type="paragraph" w:styleId="11">
    <w:name w:val="Plain Text"/>
    <w:basedOn w:val="1"/>
    <w:unhideWhenUsed/>
    <w:qFormat/>
    <w:uiPriority w:val="99"/>
    <w:pPr>
      <w:widowControl w:val="0"/>
      <w:adjustRightInd/>
      <w:snapToGrid/>
      <w:spacing w:after="0"/>
      <w:jc w:val="both"/>
    </w:pPr>
    <w:rPr>
      <w:rFonts w:ascii="宋体" w:hAnsi="Courier New" w:eastAsia="宋体"/>
      <w:kern w:val="2"/>
      <w:sz w:val="21"/>
      <w:szCs w:val="21"/>
    </w:rPr>
  </w:style>
  <w:style w:type="paragraph" w:styleId="12">
    <w:name w:val="Balloon Text"/>
    <w:basedOn w:val="1"/>
    <w:link w:val="31"/>
    <w:qFormat/>
    <w:uiPriority w:val="0"/>
    <w:pPr>
      <w:spacing w:after="0"/>
    </w:pPr>
    <w:rPr>
      <w:sz w:val="18"/>
      <w:szCs w:val="18"/>
    </w:rPr>
  </w:style>
  <w:style w:type="paragraph" w:styleId="13">
    <w:name w:val="footer"/>
    <w:basedOn w:val="1"/>
    <w:unhideWhenUsed/>
    <w:qFormat/>
    <w:uiPriority w:val="99"/>
    <w:pPr>
      <w:tabs>
        <w:tab w:val="center" w:pos="4153"/>
        <w:tab w:val="right" w:pos="8306"/>
      </w:tabs>
    </w:pPr>
    <w:rPr>
      <w:sz w:val="18"/>
      <w:szCs w:val="18"/>
    </w:rPr>
  </w:style>
  <w:style w:type="paragraph" w:styleId="14">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0"/>
    <w:pPr>
      <w:widowControl w:val="0"/>
      <w:tabs>
        <w:tab w:val="right" w:leader="dot" w:pos="9060"/>
      </w:tabs>
      <w:adjustRightInd/>
      <w:snapToGrid/>
      <w:spacing w:after="0" w:line="360" w:lineRule="auto"/>
      <w:ind w:left="426" w:leftChars="213"/>
      <w:jc w:val="both"/>
    </w:pPr>
    <w:rPr>
      <w:rFonts w:ascii="Times New Roman" w:hAnsi="Times New Roman" w:eastAsia="宋体"/>
      <w:kern w:val="2"/>
      <w:sz w:val="21"/>
      <w:szCs w:val="20"/>
    </w:rPr>
  </w:style>
  <w:style w:type="paragraph" w:styleId="16">
    <w:name w:val="Body Text Indent 3"/>
    <w:basedOn w:val="1"/>
    <w:qFormat/>
    <w:uiPriority w:val="0"/>
    <w:pPr>
      <w:tabs>
        <w:tab w:val="left" w:pos="1620"/>
      </w:tabs>
      <w:spacing w:line="360" w:lineRule="auto"/>
      <w:ind w:left="1616" w:firstLine="420" w:firstLineChars="200"/>
    </w:pPr>
  </w:style>
  <w:style w:type="paragraph" w:styleId="17">
    <w:name w:val="Body Text First Indent 2"/>
    <w:basedOn w:val="9"/>
    <w:qFormat/>
    <w:uiPriority w:val="0"/>
    <w:pPr>
      <w:adjustRightInd w:val="0"/>
      <w:ind w:left="200" w:leftChars="200" w:firstLine="200" w:firstLineChars="200"/>
      <w:jc w:val="left"/>
    </w:pPr>
    <w:rPr>
      <w:snapToGrid w:val="0"/>
      <w:szCs w:val="20"/>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unhideWhenUsed/>
    <w:qFormat/>
    <w:uiPriority w:val="0"/>
  </w:style>
  <w:style w:type="character" w:styleId="22">
    <w:name w:val="Hyperlink"/>
    <w:unhideWhenUsed/>
    <w:qFormat/>
    <w:uiPriority w:val="99"/>
    <w:rPr>
      <w:color w:val="0000FF"/>
      <w:u w:val="single"/>
    </w:rPr>
  </w:style>
  <w:style w:type="paragraph" w:customStyle="1" w:styleId="23">
    <w:name w:val="List Paragraph"/>
    <w:basedOn w:val="1"/>
    <w:qFormat/>
    <w:uiPriority w:val="34"/>
    <w:pPr>
      <w:adjustRightInd/>
      <w:snapToGrid/>
      <w:spacing w:after="0"/>
      <w:ind w:firstLine="420" w:firstLineChars="200"/>
    </w:pPr>
    <w:rPr>
      <w:rFonts w:ascii="Calibri" w:hAnsi="Calibri" w:eastAsia="宋体"/>
      <w:lang w:eastAsia="en-US" w:bidi="en-US"/>
    </w:rPr>
  </w:style>
  <w:style w:type="paragraph" w:customStyle="1" w:styleId="24">
    <w:name w:val="List Paragraph1"/>
    <w:basedOn w:val="1"/>
    <w:qFormat/>
    <w:uiPriority w:val="99"/>
    <w:pPr>
      <w:ind w:firstLine="420" w:firstLineChars="200"/>
    </w:pPr>
    <w:rPr>
      <w:rFonts w:ascii="Times New Roman" w:hAnsi="Times New Roman" w:eastAsia="宋体"/>
      <w:szCs w:val="21"/>
    </w:rPr>
  </w:style>
  <w:style w:type="paragraph" w:customStyle="1" w:styleId="25">
    <w:name w:val="列表段落1"/>
    <w:basedOn w:val="1"/>
    <w:qFormat/>
    <w:uiPriority w:val="0"/>
    <w:pPr>
      <w:spacing w:before="100" w:beforeAutospacing="1"/>
      <w:ind w:firstLine="420" w:firstLineChars="200"/>
    </w:pPr>
    <w:rPr>
      <w:rFonts w:ascii="Calibri" w:hAnsi="Calibri"/>
    </w:rPr>
  </w:style>
  <w:style w:type="paragraph" w:customStyle="1" w:styleId="2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p141"/>
    <w:qFormat/>
    <w:uiPriority w:val="99"/>
    <w:rPr>
      <w:sz w:val="21"/>
      <w:szCs w:val="21"/>
    </w:rPr>
  </w:style>
  <w:style w:type="paragraph" w:customStyle="1" w:styleId="28">
    <w:name w:val="列出段落1"/>
    <w:basedOn w:val="1"/>
    <w:qFormat/>
    <w:uiPriority w:val="34"/>
    <w:pPr>
      <w:ind w:firstLine="420" w:firstLineChars="200"/>
    </w:pPr>
  </w:style>
  <w:style w:type="paragraph" w:customStyle="1" w:styleId="29">
    <w:name w:val="p0"/>
    <w:basedOn w:val="1"/>
    <w:qFormat/>
    <w:uiPriority w:val="0"/>
    <w:rPr>
      <w:rFonts w:ascii="Times New Roman" w:hAnsi="Times New Roman" w:eastAsia="宋体"/>
      <w:szCs w:val="21"/>
    </w:rPr>
  </w:style>
  <w:style w:type="paragraph" w:customStyle="1" w:styleId="30">
    <w:name w:val="表格文字"/>
    <w:basedOn w:val="1"/>
    <w:qFormat/>
    <w:uiPriority w:val="0"/>
    <w:pPr>
      <w:spacing w:line="420" w:lineRule="atLeast"/>
      <w:textAlignment w:val="baseline"/>
    </w:pPr>
    <w:rPr>
      <w:rFonts w:ascii="Times New Roman" w:hAnsi="Times New Roman" w:eastAsia="宋体"/>
      <w:szCs w:val="20"/>
    </w:rPr>
  </w:style>
  <w:style w:type="character" w:customStyle="1" w:styleId="31">
    <w:name w:val="批注框文本 Char"/>
    <w:basedOn w:val="20"/>
    <w:link w:val="12"/>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4695</Words>
  <Characters>26768</Characters>
  <Lines>223</Lines>
  <Paragraphs>62</Paragraphs>
  <TotalTime>133</TotalTime>
  <ScaleCrop>false</ScaleCrop>
  <LinksUpToDate>false</LinksUpToDate>
  <CharactersWithSpaces>31401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2021-09-01T01:46:00Z</dcterms:created>
  <dc:creator>Administrator</dc:creator>
  <cp:lastModifiedBy>Vacancy</cp:lastModifiedBy>
  <cp:lastPrinted>2021-11-27T01:31:00Z</cp:lastPrinted>
  <dcterms:modified xsi:type="dcterms:W3CDTF">2021-12-13T01:43:06Z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374949A4822D4D7E999665985FF010D4</vt:lpwstr>
  </property>
</Properties>
</file>