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公 开 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spacing w:line="360" w:lineRule="auto"/>
        <w:rPr>
          <w:rFonts w:hint="eastAsia" w:ascii="宋体" w:hAnsi="宋体" w:eastAsia="宋体" w:cs="Times New Roman"/>
          <w:kern w:val="0"/>
          <w:sz w:val="24"/>
          <w:szCs w:val="24"/>
          <w:lang w:eastAsia="zh-CN"/>
        </w:rPr>
      </w:pPr>
      <w:r>
        <w:rPr>
          <w:rFonts w:hint="eastAsia" w:ascii="宋体" w:hAnsi="宋体" w:eastAsia="宋体" w:cs="Times New Roman"/>
          <w:kern w:val="0"/>
          <w:sz w:val="36"/>
          <w:szCs w:val="36"/>
        </w:rPr>
        <w:t>项目名称：</w:t>
      </w:r>
      <w:r>
        <w:rPr>
          <w:rFonts w:hint="eastAsia" w:ascii="宋体" w:hAnsi="宋体" w:eastAsia="宋体" w:cs="宋体"/>
          <w:b/>
          <w:bCs/>
          <w:color w:val="000000" w:themeColor="text1"/>
          <w:sz w:val="36"/>
          <w:szCs w:val="36"/>
          <w:lang w:eastAsia="zh-CN"/>
          <w14:textFill>
            <w14:solidFill>
              <w14:schemeClr w14:val="tx1"/>
            </w14:solidFill>
          </w14:textFill>
        </w:rPr>
        <w:t>医疗质量监管与安全预警管理平台实施及数据生产服务项目</w:t>
      </w:r>
    </w:p>
    <w:p>
      <w:pPr>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cs="宋体"/>
          <w:kern w:val="0"/>
          <w:sz w:val="36"/>
          <w:szCs w:val="36"/>
        </w:rPr>
        <w:t>GZBC19FG11005</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w:t>
      </w:r>
      <w:r>
        <w:rPr>
          <w:rFonts w:ascii="宋体" w:hAnsi="宋体" w:eastAsia="宋体" w:cs="Times New Roman"/>
          <w:kern w:val="0"/>
          <w:sz w:val="36"/>
          <w:szCs w:val="36"/>
          <w:u w:val="single"/>
        </w:rPr>
        <w:t>（</w:t>
      </w:r>
      <w:r>
        <w:rPr>
          <w:rFonts w:hint="eastAsia" w:ascii="宋体" w:hAnsi="宋体" w:cs="宋体"/>
          <w:kern w:val="0"/>
          <w:sz w:val="36"/>
          <w:szCs w:val="36"/>
        </w:rPr>
        <w:t>中国人民解放军陆军第七十四集团军医院</w:t>
      </w:r>
      <w:r>
        <w:rPr>
          <w:rFonts w:ascii="宋体" w:hAnsi="宋体" w:eastAsia="宋体" w:cs="Times New Roman"/>
          <w:kern w:val="0"/>
          <w:sz w:val="36"/>
          <w:szCs w:val="36"/>
          <w:u w:val="single"/>
        </w:rPr>
        <w:t>）</w:t>
      </w:r>
      <w:r>
        <w:rPr>
          <w:rFonts w:hint="eastAsia" w:ascii="宋体" w:hAnsi="宋体" w:eastAsia="宋体" w:cs="Times New Roman"/>
          <w:kern w:val="0"/>
          <w:sz w:val="36"/>
          <w:szCs w:val="36"/>
        </w:rPr>
        <w:t>（盖章）</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w:t>
      </w:r>
      <w:r>
        <w:rPr>
          <w:rFonts w:hint="eastAsia" w:ascii="宋体" w:hAnsi="宋体" w:cs="宋体"/>
          <w:kern w:val="0"/>
          <w:sz w:val="36"/>
          <w:szCs w:val="36"/>
        </w:rPr>
        <w:t>一九</w:t>
      </w:r>
      <w:r>
        <w:rPr>
          <w:rFonts w:ascii="宋体" w:hAnsi="宋体" w:eastAsia="宋体" w:cs="Times New Roman"/>
          <w:kern w:val="0"/>
          <w:sz w:val="36"/>
          <w:szCs w:val="36"/>
        </w:rPr>
        <w:t>年</w:t>
      </w:r>
      <w:r>
        <w:rPr>
          <w:rFonts w:hint="eastAsia" w:ascii="宋体" w:hAnsi="宋体" w:cs="宋体"/>
          <w:kern w:val="0"/>
          <w:sz w:val="36"/>
          <w:szCs w:val="36"/>
        </w:rPr>
        <w:t>十一</w:t>
      </w:r>
      <w:r>
        <w:rPr>
          <w:rFonts w:ascii="宋体" w:hAnsi="宋体" w:eastAsia="宋体" w:cs="Times New Roman"/>
          <w:kern w:val="0"/>
          <w:sz w:val="36"/>
          <w:szCs w:val="36"/>
        </w:rPr>
        <w:t>月</w:t>
      </w:r>
    </w:p>
    <w:p>
      <w:pPr>
        <w:spacing w:line="56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特别提示：</w:t>
      </w:r>
      <w:r>
        <w:rPr>
          <w:rFonts w:hint="eastAsia" w:ascii="Times New Roman" w:hAnsi="Times New Roman" w:eastAsia="方正小标宋简体" w:cs="Times New Roman"/>
          <w:bCs/>
          <w:kern w:val="0"/>
          <w:sz w:val="44"/>
          <w:szCs w:val="44"/>
        </w:rPr>
        <w:t>投标</w:t>
      </w:r>
      <w:r>
        <w:rPr>
          <w:rFonts w:ascii="Times New Roman" w:hAnsi="Times New Roman" w:eastAsia="方正小标宋简体" w:cs="Times New Roman"/>
          <w:bCs/>
          <w:kern w:val="0"/>
          <w:sz w:val="44"/>
          <w:szCs w:val="44"/>
        </w:rPr>
        <w:t>注意事项</w:t>
      </w:r>
    </w:p>
    <w:p>
      <w:pPr>
        <w:widowControl/>
        <w:ind w:firstLine="622" w:firstLineChars="200"/>
        <w:textAlignment w:val="baseline"/>
        <w:rPr>
          <w:rFonts w:ascii="Times New Roman" w:hAnsi="Times New Roman" w:eastAsia="黑体" w:cs="Times New Roman"/>
          <w:kern w:val="0"/>
          <w:sz w:val="32"/>
          <w:szCs w:val="32"/>
          <w:u w:color="000000"/>
        </w:rPr>
      </w:pP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一、投标人应特别留意招标文件上载明的投标开始截止时间，提前或逾期送达（含邮寄送达）的投标文件概不接受。</w:t>
      </w:r>
    </w:p>
    <w:p>
      <w:pPr>
        <w:widowControl/>
        <w:ind w:firstLine="622" w:firstLineChars="200"/>
        <w:rPr>
          <w:rFonts w:ascii="仿宋_GB2312" w:hAnsi="黑体" w:eastAsia="仿宋_GB2312" w:cs="Times New Roman"/>
          <w:snapToGrid w:val="0"/>
          <w:kern w:val="0"/>
          <w:sz w:val="32"/>
          <w:szCs w:val="32"/>
          <w:u w:color="000000"/>
        </w:rPr>
      </w:pPr>
      <w:r>
        <w:rPr>
          <w:rFonts w:hint="eastAsia" w:ascii="仿宋_GB2312" w:hAnsi="黑体" w:eastAsia="仿宋_GB2312" w:cs="Times New Roman"/>
          <w:kern w:val="0"/>
          <w:sz w:val="32"/>
          <w:szCs w:val="32"/>
          <w:u w:color="000000"/>
        </w:rPr>
        <w:t>二、</w:t>
      </w:r>
      <w:r>
        <w:rPr>
          <w:rFonts w:hint="eastAsia" w:ascii="仿宋_GB2312" w:hAnsi="黑体" w:eastAsia="仿宋_GB2312" w:cs="Times New Roman"/>
          <w:color w:val="000000"/>
          <w:kern w:val="0"/>
          <w:sz w:val="32"/>
          <w:szCs w:val="32"/>
          <w:u w:color="000000"/>
        </w:rPr>
        <w:t>投标人须交纳投标保证</w:t>
      </w:r>
      <w:r>
        <w:rPr>
          <w:rFonts w:hint="eastAsia" w:ascii="仿宋_GB2312" w:hAnsi="黑体" w:eastAsia="仿宋_GB2312" w:cs="Times New Roman"/>
          <w:kern w:val="0"/>
          <w:sz w:val="32"/>
          <w:szCs w:val="32"/>
          <w:u w:color="000000"/>
        </w:rPr>
        <w:t>金，保证金</w:t>
      </w:r>
      <w:r>
        <w:rPr>
          <w:rFonts w:hint="eastAsia" w:ascii="仿宋_GB2312" w:hAnsi="黑体" w:eastAsia="仿宋_GB2312" w:cs="Times New Roman"/>
          <w:snapToGrid w:val="0"/>
          <w:kern w:val="0"/>
          <w:sz w:val="32"/>
          <w:szCs w:val="32"/>
          <w:u w:color="000000"/>
        </w:rPr>
        <w:t>应在投标截止时间前以非现金形式提交。未按规定提交保证金的，投标无效。</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snapToGrid w:val="0"/>
          <w:kern w:val="0"/>
          <w:sz w:val="32"/>
          <w:szCs w:val="32"/>
          <w:u w:color="000000"/>
        </w:rPr>
        <w:t>三、</w:t>
      </w:r>
      <w:r>
        <w:rPr>
          <w:rFonts w:hint="eastAsia" w:ascii="仿宋_GB2312" w:hAnsi="黑体" w:eastAsia="仿宋_GB2312" w:cs="Times New Roman"/>
          <w:kern w:val="0"/>
          <w:sz w:val="32"/>
          <w:szCs w:val="32"/>
          <w:u w:color="000000"/>
        </w:rPr>
        <w:t>请仔细检查招标文件要求提交的相关证书的有效期和审核信息。</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四、请仔细检查投标文件是否按要求盖单位公章、签名、签署日期、胶装成册、密封。投标文件需签名之处必须由当事人签署。</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五、带</w:t>
      </w:r>
      <w:r>
        <w:rPr>
          <w:rFonts w:hint="eastAsia" w:ascii="仿宋_GB2312" w:hAnsi="黑体" w:eastAsia="仿宋_GB2312" w:cs="宋体"/>
          <w:kern w:val="0"/>
          <w:sz w:val="32"/>
          <w:szCs w:val="32"/>
          <w:u w:color="000000"/>
        </w:rPr>
        <w:t>★</w:t>
      </w:r>
      <w:r>
        <w:rPr>
          <w:rFonts w:hint="eastAsia" w:ascii="仿宋_GB2312" w:hAnsi="黑体" w:eastAsia="仿宋_GB2312" w:cs="Times New Roman"/>
          <w:kern w:val="0"/>
          <w:sz w:val="32"/>
          <w:szCs w:val="32"/>
          <w:u w:color="000000"/>
        </w:rPr>
        <w:t>号条款均为实质性响应指标要求，必须全部响应。若有一项带“</w:t>
      </w:r>
      <w:r>
        <w:rPr>
          <w:rFonts w:hint="eastAsia" w:ascii="仿宋_GB2312" w:hAnsi="黑体" w:eastAsia="仿宋_GB2312" w:cs="宋体"/>
          <w:kern w:val="0"/>
          <w:sz w:val="32"/>
          <w:szCs w:val="32"/>
          <w:u w:color="000000"/>
        </w:rPr>
        <w:t>★</w:t>
      </w:r>
      <w:r>
        <w:rPr>
          <w:rFonts w:hint="eastAsia" w:ascii="仿宋_GB2312" w:hAnsi="黑体" w:eastAsia="仿宋_GB2312" w:cs="Times New Roman"/>
          <w:kern w:val="0"/>
          <w:sz w:val="32"/>
          <w:szCs w:val="32"/>
          <w:u w:color="000000"/>
        </w:rPr>
        <w:t>”条款未响应或不满足，均视为非实质性响应招标文件，按无效投标处理。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六、《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七、投标文件中除《价格文件》外，其他部分不得有任何涉及本次投标报价的信息，否则视为无效投标。</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八、采用综合评分法和性价比法评审时，投标人编制投标文件，应按照招标文件第五部分附件20、21表格要求，填写指标值或评分项及其在投标文件位置页码；评审时评委依据投标文件，对投标人填写的内容进行审核确认，评审系统按照评委确认的信息自动评分。</w:t>
      </w:r>
    </w:p>
    <w:p>
      <w:pPr>
        <w:widowControl/>
        <w:ind w:firstLine="622" w:firstLineChars="200"/>
        <w:rPr>
          <w:rFonts w:ascii="仿宋_GB2312" w:hAnsi="黑体" w:eastAsia="仿宋_GB2312" w:cs="Times New Roman"/>
          <w:kern w:val="0"/>
          <w:sz w:val="32"/>
          <w:szCs w:val="32"/>
          <w:u w:color="000000"/>
        </w:rPr>
      </w:pPr>
      <w:r>
        <w:rPr>
          <w:rFonts w:hint="eastAsia" w:ascii="仿宋_GB2312" w:hAnsi="黑体" w:eastAsia="仿宋_GB2312" w:cs="Times New Roman"/>
          <w:kern w:val="0"/>
          <w:sz w:val="32"/>
          <w:szCs w:val="32"/>
          <w:u w:color="000000"/>
        </w:rPr>
        <w:t>九、供应商发现购买招标文件时提交的相关资料被盗用或复制，应遵循法律途径解决，追究侵权者责任。</w:t>
      </w: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80" w:lineRule="exact"/>
        <w:rPr>
          <w:rFonts w:ascii="方正小标宋简体" w:hAnsi="Times New Roman" w:eastAsia="方正小标宋简体" w:cs="Times New Roman"/>
          <w:kern w:val="0"/>
          <w:sz w:val="44"/>
          <w:szCs w:val="44"/>
        </w:rPr>
      </w:pPr>
    </w:p>
    <w:p>
      <w:pPr>
        <w:widowControl/>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第一部分  招标公告………………………………………………1</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第二部分  采购项目技术和商务要求……………………………6</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第三部分  投标人须知……………………………………………8</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第四部分  合同样本………………………………………………45</w:t>
      </w:r>
    </w:p>
    <w:p>
      <w:pPr>
        <w:jc w:val="distribute"/>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第五部分  附件/报价文件格式…………………………………48</w:t>
      </w: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line="800" w:lineRule="exact"/>
        <w:ind w:firstLine="462" w:firstLineChars="200"/>
        <w:rPr>
          <w:rFonts w:ascii="Times New Roman" w:hAnsi="Times New Roman" w:eastAsia="宋体" w:cs="Times New Roman"/>
          <w:kern w:val="0"/>
          <w:sz w:val="24"/>
          <w:szCs w:val="24"/>
        </w:rPr>
      </w:pPr>
    </w:p>
    <w:p>
      <w:pPr>
        <w:spacing w:before="579"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spacing w:line="560" w:lineRule="exact"/>
        <w:jc w:val="center"/>
        <w:rPr>
          <w:rFonts w:ascii="方正小标宋简体" w:hAnsi="Times New Roman" w:eastAsia="方正小标宋简体" w:cs="Times New Roman"/>
          <w:kern w:val="0"/>
          <w:sz w:val="44"/>
          <w:szCs w:val="44"/>
        </w:rPr>
      </w:pPr>
      <w:bookmarkStart w:id="1" w:name="_Toc435540978"/>
      <w:bookmarkStart w:id="2" w:name="_Toc285612593"/>
      <w:r>
        <w:rPr>
          <w:rFonts w:hint="eastAsia" w:ascii="方正小标宋简体" w:hAnsi="Times New Roman" w:eastAsia="方正小标宋简体" w:cs="Times New Roman"/>
          <w:kern w:val="0"/>
          <w:sz w:val="44"/>
          <w:szCs w:val="44"/>
        </w:rPr>
        <w:t>第一部分</w:t>
      </w:r>
      <w:bookmarkEnd w:id="1"/>
      <w:bookmarkEnd w:id="2"/>
      <w:r>
        <w:rPr>
          <w:rFonts w:hint="eastAsia" w:ascii="方正小标宋简体" w:hAnsi="Times New Roman" w:eastAsia="方正小标宋简体" w:cs="Times New Roman"/>
          <w:kern w:val="0"/>
          <w:sz w:val="44"/>
          <w:szCs w:val="44"/>
        </w:rPr>
        <w:t xml:space="preserve">  招标公告</w:t>
      </w:r>
    </w:p>
    <w:bookmarkEnd w:id="0"/>
    <w:p>
      <w:pPr>
        <w:spacing w:line="540" w:lineRule="exact"/>
        <w:ind w:firstLine="622" w:firstLineChars="200"/>
        <w:rPr>
          <w:rFonts w:ascii="仿宋_GB2312" w:hAnsi="Times New Roman" w:eastAsia="仿宋_GB2312" w:cs="Times New Roman"/>
          <w:kern w:val="0"/>
          <w:sz w:val="32"/>
          <w:szCs w:val="32"/>
        </w:rPr>
      </w:pP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我部就以下项目进行国内公开招标，采购资金已全部落实，欢迎符合条件的供应商参加投标。</w:t>
      </w:r>
    </w:p>
    <w:p>
      <w:pPr>
        <w:ind w:firstLine="622" w:firstLineChars="200"/>
        <w:rPr>
          <w:rFonts w:hint="eastAsia" w:ascii="Times New Roman" w:hAnsi="Times New Roman" w:eastAsia="黑体" w:cs="Times New Roman"/>
          <w:kern w:val="0"/>
          <w:sz w:val="32"/>
          <w:szCs w:val="32"/>
          <w:lang w:eastAsia="zh-CN"/>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项目名称：</w:t>
      </w:r>
      <w:r>
        <w:rPr>
          <w:rFonts w:hint="eastAsia" w:ascii="宋体" w:hAnsi="宋体" w:eastAsia="宋体" w:cs="宋体"/>
          <w:b/>
          <w:bCs/>
          <w:color w:val="000000" w:themeColor="text1"/>
          <w:sz w:val="36"/>
          <w:szCs w:val="36"/>
          <w:lang w:eastAsia="zh-CN"/>
          <w14:textFill>
            <w14:solidFill>
              <w14:schemeClr w14:val="tx1"/>
            </w14:solidFill>
          </w14:textFill>
        </w:rPr>
        <w:t>医疗质量监管与安全预警管理平台实施及数据生产服务项目</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项目编号：</w:t>
      </w:r>
      <w:r>
        <w:rPr>
          <w:rFonts w:hint="eastAsia" w:ascii="宋体" w:hAnsi="宋体" w:cs="宋体"/>
          <w:kern w:val="0"/>
          <w:sz w:val="36"/>
          <w:szCs w:val="36"/>
        </w:rPr>
        <w:t>GZBC19FG11005</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三、项目概况</w:t>
      </w:r>
      <w:r>
        <w:rPr>
          <w:rFonts w:ascii="Times New Roman" w:hAnsi="Times New Roman" w:eastAsia="黑体" w:cs="Times New Roman"/>
          <w:kern w:val="0"/>
          <w:sz w:val="32"/>
          <w:szCs w:val="32"/>
        </w:rPr>
        <w:t>：</w:t>
      </w:r>
    </w:p>
    <w:tbl>
      <w:tblPr>
        <w:tblStyle w:val="16"/>
        <w:tblW w:w="5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96"/>
        <w:gridCol w:w="886"/>
        <w:gridCol w:w="1419"/>
        <w:gridCol w:w="862"/>
        <w:gridCol w:w="917"/>
        <w:gridCol w:w="936"/>
        <w:gridCol w:w="928"/>
        <w:gridCol w:w="91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13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货物名称</w:t>
            </w:r>
          </w:p>
        </w:tc>
        <w:tc>
          <w:tcPr>
            <w:tcW w:w="8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规格</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技术要求</w:t>
            </w:r>
          </w:p>
        </w:tc>
        <w:tc>
          <w:tcPr>
            <w:tcW w:w="8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计量</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数量</w:t>
            </w:r>
          </w:p>
        </w:tc>
        <w:tc>
          <w:tcPr>
            <w:tcW w:w="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交货</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时间</w:t>
            </w:r>
          </w:p>
        </w:tc>
        <w:tc>
          <w:tcPr>
            <w:tcW w:w="9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交货</w:t>
            </w:r>
          </w:p>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地点</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最高限价</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napToGrid w:val="0"/>
                <w:szCs w:val="21"/>
              </w:rPr>
            </w:pPr>
            <w:r>
              <w:rPr>
                <w:rFonts w:hint="eastAsia" w:ascii="宋体" w:hAnsi="宋体" w:eastAsia="宋体" w:cs="Times New Roman"/>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exact"/>
          <w:jc w:val="center"/>
        </w:trPr>
        <w:tc>
          <w:tcPr>
            <w:tcW w:w="800"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zCs w:val="21"/>
              </w:rPr>
              <w:t>1</w:t>
            </w:r>
          </w:p>
        </w:tc>
        <w:tc>
          <w:tcPr>
            <w:tcW w:w="1396"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Times New Roman"/>
                <w:sz w:val="13"/>
                <w:szCs w:val="13"/>
                <w:lang w:eastAsia="zh-CN"/>
              </w:rPr>
            </w:pPr>
            <w:r>
              <w:rPr>
                <w:rFonts w:hint="eastAsia" w:ascii="宋体" w:hAnsi="宋体" w:eastAsia="宋体" w:cs="宋体"/>
                <w:b/>
                <w:bCs/>
                <w:color w:val="000000" w:themeColor="text1"/>
                <w:szCs w:val="21"/>
                <w:lang w:eastAsia="zh-CN"/>
                <w14:textFill>
                  <w14:solidFill>
                    <w14:schemeClr w14:val="tx1"/>
                  </w14:solidFill>
                </w14:textFill>
              </w:rPr>
              <w:t>医疗质量监管与安全预警管理平台实施及数据生产服务</w:t>
            </w:r>
          </w:p>
        </w:tc>
        <w:tc>
          <w:tcPr>
            <w:tcW w:w="886"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zCs w:val="21"/>
              </w:rPr>
              <w:t>详见清单</w:t>
            </w:r>
          </w:p>
        </w:tc>
        <w:tc>
          <w:tcPr>
            <w:tcW w:w="1419"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详见清单</w:t>
            </w:r>
          </w:p>
        </w:tc>
        <w:tc>
          <w:tcPr>
            <w:tcW w:w="862"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台</w:t>
            </w:r>
            <w:r>
              <w:rPr>
                <w:rFonts w:ascii="宋体" w:hAnsi="宋体" w:cs="宋体"/>
              </w:rPr>
              <w:t>/</w:t>
            </w:r>
            <w:r>
              <w:rPr>
                <w:rFonts w:hint="eastAsia" w:ascii="宋体" w:hAnsi="宋体" w:cs="宋体"/>
              </w:rPr>
              <w:t>套</w:t>
            </w:r>
          </w:p>
        </w:tc>
        <w:tc>
          <w:tcPr>
            <w:tcW w:w="917" w:type="dxa"/>
            <w:tcBorders>
              <w:top w:val="single" w:color="auto" w:sz="4" w:space="0"/>
              <w:left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cs="宋体"/>
              </w:rPr>
              <w:t>详见清单</w:t>
            </w:r>
          </w:p>
        </w:tc>
        <w:tc>
          <w:tcPr>
            <w:tcW w:w="936" w:type="dxa"/>
            <w:tcBorders>
              <w:top w:val="single" w:color="auto" w:sz="4" w:space="0"/>
              <w:left w:val="single" w:color="auto" w:sz="4" w:space="0"/>
              <w:right w:val="single" w:color="auto" w:sz="4" w:space="0"/>
            </w:tcBorders>
            <w:vAlign w:val="center"/>
          </w:tcPr>
          <w:p>
            <w:pPr>
              <w:spacing w:line="300" w:lineRule="exact"/>
              <w:jc w:val="center"/>
              <w:rPr>
                <w:rFonts w:ascii="微软雅黑" w:hAnsi="微软雅黑" w:eastAsia="微软雅黑" w:cs="微软雅黑"/>
                <w:sz w:val="11"/>
                <w:szCs w:val="11"/>
              </w:rPr>
            </w:pPr>
            <w:r>
              <w:rPr>
                <w:rFonts w:hint="eastAsia" w:ascii="微软雅黑" w:hAnsi="微软雅黑" w:eastAsia="微软雅黑" w:cs="微软雅黑"/>
                <w:sz w:val="18"/>
                <w:szCs w:val="18"/>
              </w:rPr>
              <w:t>合同生效后，中标方在30日内完成安装及调试。</w:t>
            </w:r>
          </w:p>
        </w:tc>
        <w:tc>
          <w:tcPr>
            <w:tcW w:w="928" w:type="dxa"/>
            <w:tcBorders>
              <w:top w:val="single" w:color="auto" w:sz="4" w:space="0"/>
              <w:left w:val="single" w:color="auto" w:sz="4" w:space="0"/>
              <w:right w:val="single" w:color="auto" w:sz="4" w:space="0"/>
            </w:tcBorders>
            <w:vAlign w:val="center"/>
          </w:tcPr>
          <w:p>
            <w:pPr>
              <w:spacing w:line="300" w:lineRule="exact"/>
              <w:jc w:val="center"/>
              <w:rPr>
                <w:rFonts w:ascii="微软雅黑" w:hAnsi="微软雅黑" w:eastAsia="微软雅黑" w:cs="微软雅黑"/>
                <w:sz w:val="16"/>
                <w:szCs w:val="16"/>
              </w:rPr>
            </w:pPr>
            <w:r>
              <w:rPr>
                <w:rFonts w:hint="eastAsia" w:ascii="微软雅黑" w:hAnsi="微软雅黑" w:eastAsia="微软雅黑" w:cs="微软雅黑"/>
                <w:sz w:val="22"/>
              </w:rPr>
              <w:t>交货地点 广东广州及广东惠州。</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微软雅黑" w:hAnsi="微软雅黑" w:eastAsia="微软雅黑" w:cs="微软雅黑"/>
                <w:sz w:val="22"/>
              </w:rPr>
            </w:pPr>
            <w:r>
              <w:rPr>
                <w:rFonts w:hint="eastAsia" w:ascii="微软雅黑" w:hAnsi="微软雅黑" w:eastAsia="微软雅黑" w:cs="微软雅黑"/>
                <w:color w:val="FF0000"/>
                <w:sz w:val="22"/>
              </w:rPr>
              <w:t>人民币95万元</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Cs w:val="21"/>
              </w:rPr>
            </w:pPr>
            <w:r>
              <w:rPr>
                <w:rFonts w:hint="eastAsia" w:ascii="宋体" w:hAnsi="宋体" w:eastAsia="宋体" w:cs="Times New Roman"/>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szCs w:val="21"/>
              </w:rPr>
            </w:pPr>
            <w:r>
              <w:rPr>
                <w:rFonts w:ascii="宋体" w:hAnsi="宋体" w:eastAsia="宋体" w:cs="Times New Roman"/>
                <w:kern w:val="0"/>
                <w:szCs w:val="21"/>
              </w:rPr>
              <w:t>1.</w:t>
            </w:r>
            <w:r>
              <w:rPr>
                <w:rFonts w:hint="eastAsia" w:ascii="宋体" w:hAnsi="宋体" w:eastAsia="宋体" w:cs="Times New Roman"/>
                <w:kern w:val="0"/>
                <w:szCs w:val="21"/>
              </w:rPr>
              <w:t>投标人须对所投包内所有产品和数量进行投标报价，否则视为无效投标。</w:t>
            </w:r>
          </w:p>
        </w:tc>
        <w:tc>
          <w:tcPr>
            <w:tcW w:w="91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eastAsia="宋体" w:cs="Times New Roman"/>
                <w:kern w:val="0"/>
                <w:szCs w:val="21"/>
              </w:rPr>
            </w:pPr>
          </w:p>
        </w:tc>
      </w:tr>
    </w:tbl>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四、投标人</w:t>
      </w:r>
      <w:r>
        <w:rPr>
          <w:rFonts w:ascii="Times New Roman" w:hAnsi="Times New Roman" w:eastAsia="黑体" w:cs="Times New Roman"/>
          <w:kern w:val="0"/>
          <w:sz w:val="32"/>
          <w:szCs w:val="32"/>
        </w:rPr>
        <w:t>资格条件：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（一）符合《中华人民共和国政府采购法》第二十二条资格条件：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1.具有独立承担民事责任的能力；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2.具有良好的商业信誉和健全的财务会计制度；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3.具有履行合同所必需的设备和专业技术能力；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4.有依法缴纳税收和社会保障资金的良好记录；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5.参加政府采购活动前3年内，在经营活动中没有重大违法记录；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6.法律、行政法规规定的其他条件。</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※（二）供应商成立时间不少于3年，且为非外资独资或外资控股企业。</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※（四）本项目不接受联合体投标。</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六、招标</w:t>
      </w:r>
      <w:r>
        <w:rPr>
          <w:rFonts w:ascii="Times New Roman" w:hAnsi="Times New Roman" w:eastAsia="黑体" w:cs="Times New Roman"/>
          <w:kern w:val="0"/>
          <w:sz w:val="32"/>
          <w:szCs w:val="32"/>
        </w:rPr>
        <w:t>文件发售时间、地点、方式及售价</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（一）发售时间：</w:t>
      </w:r>
      <w:r>
        <w:rPr>
          <w:rFonts w:ascii="仿宋_GB2312" w:hAnsi="宋体" w:eastAsia="仿宋_GB2312" w:cs="仿宋_GB2312"/>
          <w:kern w:val="0"/>
          <w:sz w:val="32"/>
          <w:szCs w:val="32"/>
        </w:rPr>
        <w:t>2019</w:t>
      </w:r>
      <w:r>
        <w:rPr>
          <w:rFonts w:hint="eastAsia" w:ascii="仿宋_GB2312" w:hAnsi="宋体" w:eastAsia="仿宋_GB2312" w:cs="Times New Roman"/>
          <w:kern w:val="0"/>
          <w:sz w:val="32"/>
          <w:szCs w:val="32"/>
        </w:rPr>
        <w:t>年</w:t>
      </w:r>
      <w:r>
        <w:rPr>
          <w:rFonts w:ascii="仿宋_GB2312" w:hAnsi="宋体" w:eastAsia="仿宋_GB2312" w:cs="Times New Roman"/>
          <w:kern w:val="0"/>
          <w:sz w:val="32"/>
          <w:szCs w:val="32"/>
          <w:u w:val="single"/>
        </w:rPr>
        <w:t>11</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2</w:t>
      </w:r>
      <w:r>
        <w:rPr>
          <w:rFonts w:ascii="仿宋_GB2312" w:hAnsi="宋体" w:eastAsia="仿宋_GB2312" w:cs="Times New Roman"/>
          <w:kern w:val="0"/>
          <w:sz w:val="32"/>
          <w:szCs w:val="32"/>
          <w:u w:val="single"/>
        </w:rPr>
        <w:t>5</w:t>
      </w:r>
      <w:r>
        <w:rPr>
          <w:rFonts w:hint="eastAsia" w:ascii="仿宋_GB2312" w:hAnsi="宋体" w:eastAsia="仿宋_GB2312" w:cs="Times New Roman"/>
          <w:kern w:val="0"/>
          <w:sz w:val="32"/>
          <w:szCs w:val="32"/>
        </w:rPr>
        <w:t>日至</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12</w:t>
      </w:r>
      <w:r>
        <w:rPr>
          <w:rFonts w:hint="eastAsia" w:ascii="仿宋_GB2312" w:hAnsi="宋体" w:eastAsia="仿宋_GB2312" w:cs="Times New Roman"/>
          <w:kern w:val="0"/>
          <w:sz w:val="32"/>
          <w:szCs w:val="32"/>
          <w:u w:val="single"/>
        </w:rPr>
        <w:t xml:space="preserve"> </w:t>
      </w:r>
      <w:bookmarkStart w:id="21" w:name="_GoBack"/>
      <w:r>
        <w:rPr>
          <w:rFonts w:hint="eastAsia" w:ascii="仿宋_GB2312" w:hAnsi="宋体" w:eastAsia="仿宋_GB2312" w:cs="Times New Roman"/>
          <w:kern w:val="0"/>
          <w:sz w:val="32"/>
          <w:szCs w:val="32"/>
        </w:rPr>
        <w:t>月</w:t>
      </w:r>
      <w:bookmarkEnd w:id="21"/>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16</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日（08:00—11:30，14:30—17:00）（北京时间、节假日除外）。</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（二）发售地点：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（三）发售方式：投标人指定专人现场领取，不接受邮寄等其他方式。投标人购买招标文件时需提供以下材料原件（军队供应商库内企业不用提供）及装订成册加盖单位公章的复印件1份。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1.营业执照；</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2.组织机构代码证（三证合一的不需提供）；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3.税务登记证（三证合一的不需提供）；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4.法定代表人授权书（含法定代表人和被授权人身份证复印件）；</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6.非外资企业或外资控股企业的书面声明；</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※7.投标人主要股东或出资人信息。</w:t>
      </w:r>
    </w:p>
    <w:p>
      <w:pPr>
        <w:tabs>
          <w:tab w:val="left" w:pos="0"/>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（四）招标文件售价：200元/份，售后不退。</w:t>
      </w:r>
    </w:p>
    <w:p>
      <w:pPr>
        <w:tabs>
          <w:tab w:val="left" w:pos="0"/>
          <w:tab w:val="left" w:pos="1122"/>
        </w:tabs>
        <w:ind w:firstLine="622" w:firstLineChars="20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七、投标开始和截止</w:t>
      </w:r>
      <w:r>
        <w:rPr>
          <w:rFonts w:ascii="Times New Roman" w:hAnsi="Times New Roman" w:eastAsia="黑体" w:cs="Times New Roman"/>
          <w:kern w:val="0"/>
          <w:sz w:val="32"/>
          <w:szCs w:val="32"/>
        </w:rPr>
        <w:t>时间</w:t>
      </w:r>
      <w:r>
        <w:rPr>
          <w:rFonts w:hint="eastAsia" w:ascii="Times New Roman" w:hAnsi="Times New Roman" w:eastAsia="黑体" w:cs="Times New Roman"/>
          <w:kern w:val="0"/>
          <w:sz w:val="32"/>
          <w:szCs w:val="32"/>
        </w:rPr>
        <w:t>及</w:t>
      </w:r>
      <w:r>
        <w:rPr>
          <w:rFonts w:ascii="Times New Roman" w:hAnsi="Times New Roman" w:eastAsia="黑体" w:cs="Times New Roman"/>
          <w:kern w:val="0"/>
          <w:sz w:val="32"/>
          <w:szCs w:val="32"/>
        </w:rPr>
        <w:t>地点</w:t>
      </w:r>
      <w:r>
        <w:rPr>
          <w:rFonts w:hint="eastAsia" w:ascii="Times New Roman" w:hAnsi="Times New Roman" w:eastAsia="黑体" w:cs="Times New Roman"/>
          <w:kern w:val="0"/>
          <w:sz w:val="32"/>
          <w:szCs w:val="32"/>
        </w:rPr>
        <w:t>、方式</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（一）投标开始时间：</w:t>
      </w:r>
      <w:r>
        <w:rPr>
          <w:rFonts w:ascii="仿宋_GB2312" w:hAnsi="Times New Roman" w:eastAsia="仿宋_GB2312" w:cs="仿宋_GB2312"/>
          <w:kern w:val="0"/>
          <w:sz w:val="32"/>
          <w:szCs w:val="32"/>
        </w:rPr>
        <w:t>2019</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12</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17</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00</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（二）投标截止时间：</w:t>
      </w:r>
      <w:r>
        <w:rPr>
          <w:rFonts w:ascii="仿宋_GB2312" w:hAnsi="Times New Roman" w:eastAsia="仿宋_GB2312" w:cs="仿宋_GB2312"/>
          <w:kern w:val="0"/>
          <w:sz w:val="32"/>
          <w:szCs w:val="32"/>
        </w:rPr>
        <w:t>2019</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12</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17</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bookmarkStart w:id="3" w:name="OLE_LINK1"/>
      <w:bookmarkStart w:id="4" w:name="OLE_LINK2"/>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30</w:t>
      </w:r>
      <w:bookmarkEnd w:id="3"/>
      <w:bookmarkEnd w:id="4"/>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Times New Roman" w:eastAsia="仿宋_GB2312" w:cs="仿宋_GB2312"/>
          <w:kern w:val="0"/>
          <w:sz w:val="32"/>
          <w:szCs w:val="32"/>
        </w:rPr>
      </w:pPr>
      <w:r>
        <w:rPr>
          <w:rFonts w:hint="eastAsia" w:ascii="仿宋_GB2312" w:hAnsi="宋体" w:eastAsia="仿宋_GB2312" w:cs="Times New Roman"/>
          <w:kern w:val="0"/>
          <w:sz w:val="32"/>
          <w:szCs w:val="32"/>
        </w:rPr>
        <w:t>（三）投标地点：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（四）投标方式：指定专人递交投标文件，不接受邮寄等其他方式。</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八、</w:t>
      </w:r>
      <w:r>
        <w:rPr>
          <w:rFonts w:hint="eastAsia" w:ascii="黑体" w:hAnsi="黑体" w:eastAsia="黑体" w:cs="Times New Roman"/>
          <w:kern w:val="0"/>
          <w:sz w:val="32"/>
          <w:szCs w:val="32"/>
        </w:rPr>
        <w:tab/>
      </w:r>
      <w:r>
        <w:rPr>
          <w:rFonts w:hint="eastAsia" w:ascii="黑体" w:hAnsi="黑体" w:eastAsia="黑体" w:cs="Times New Roman"/>
          <w:kern w:val="0"/>
          <w:sz w:val="32"/>
          <w:szCs w:val="32"/>
        </w:rPr>
        <w:t>开标时间、地点</w:t>
      </w:r>
    </w:p>
    <w:p>
      <w:pPr>
        <w:tabs>
          <w:tab w:val="left" w:pos="0"/>
          <w:tab w:val="left" w:pos="1122"/>
        </w:tabs>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w:t>
      </w:r>
      <w:r>
        <w:rPr>
          <w:rFonts w:hint="eastAsia" w:ascii="仿宋_GB2312" w:hAnsi="宋体" w:eastAsia="仿宋_GB2312" w:cs="Times New Roman"/>
          <w:kern w:val="0"/>
          <w:sz w:val="32"/>
          <w:szCs w:val="32"/>
        </w:rPr>
        <w:tab/>
      </w:r>
      <w:r>
        <w:rPr>
          <w:rFonts w:hint="eastAsia" w:ascii="仿宋_GB2312" w:hAnsi="宋体" w:eastAsia="仿宋_GB2312" w:cs="Times New Roman"/>
          <w:kern w:val="0"/>
          <w:sz w:val="32"/>
          <w:szCs w:val="32"/>
        </w:rPr>
        <w:t>开标时间：</w:t>
      </w:r>
      <w:r>
        <w:rPr>
          <w:rFonts w:ascii="仿宋_GB2312" w:hAnsi="Times New Roman" w:eastAsia="仿宋_GB2312" w:cs="仿宋_GB2312"/>
          <w:kern w:val="0"/>
          <w:sz w:val="32"/>
          <w:szCs w:val="32"/>
        </w:rPr>
        <w:t>2019</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12</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月</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u w:val="single"/>
          <w:lang w:val="en-US" w:eastAsia="zh-CN"/>
        </w:rPr>
        <w:t>17</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日</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时</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 xml:space="preserve">30 </w:t>
      </w:r>
      <w:r>
        <w:rPr>
          <w:rFonts w:hint="eastAsia" w:ascii="仿宋_GB2312" w:hAnsi="宋体" w:eastAsia="仿宋_GB2312" w:cs="Times New Roman"/>
          <w:kern w:val="0"/>
          <w:sz w:val="32"/>
          <w:szCs w:val="32"/>
        </w:rPr>
        <w:t>分（北京时间）。</w:t>
      </w:r>
    </w:p>
    <w:p>
      <w:pPr>
        <w:tabs>
          <w:tab w:val="left" w:pos="0"/>
          <w:tab w:val="left" w:pos="1122"/>
        </w:tabs>
        <w:ind w:firstLine="622" w:firstLineChars="200"/>
        <w:rPr>
          <w:rFonts w:ascii="仿宋_GB2312" w:hAnsi="Times New Roman" w:eastAsia="仿宋_GB2312" w:cs="仿宋_GB2312"/>
          <w:kern w:val="0"/>
          <w:sz w:val="32"/>
          <w:szCs w:val="32"/>
        </w:rPr>
      </w:pPr>
      <w:r>
        <w:rPr>
          <w:rFonts w:hint="eastAsia" w:ascii="仿宋_GB2312" w:hAnsi="宋体" w:eastAsia="仿宋_GB2312" w:cs="Times New Roman"/>
          <w:kern w:val="0"/>
          <w:sz w:val="32"/>
          <w:szCs w:val="32"/>
        </w:rPr>
        <w:t>（二）</w:t>
      </w:r>
      <w:r>
        <w:rPr>
          <w:rFonts w:hint="eastAsia" w:ascii="仿宋_GB2312" w:hAnsi="宋体" w:eastAsia="仿宋_GB2312" w:cs="Times New Roman"/>
          <w:kern w:val="0"/>
          <w:sz w:val="32"/>
          <w:szCs w:val="32"/>
        </w:rPr>
        <w:tab/>
      </w:r>
      <w:r>
        <w:rPr>
          <w:rFonts w:hint="eastAsia" w:ascii="仿宋_GB2312" w:hAnsi="宋体" w:eastAsia="仿宋_GB2312" w:cs="Times New Roman"/>
          <w:kern w:val="0"/>
          <w:sz w:val="32"/>
          <w:szCs w:val="32"/>
        </w:rPr>
        <w:t>开标地点：</w:t>
      </w:r>
      <w:r>
        <w:rPr>
          <w:rFonts w:hint="eastAsia" w:ascii="仿宋_GB2312" w:hAnsi="宋体" w:eastAsia="仿宋_GB2312" w:cs="仿宋_GB2312"/>
          <w:kern w:val="0"/>
          <w:sz w:val="32"/>
          <w:szCs w:val="32"/>
        </w:rPr>
        <w:t>广州市番禺区敏捷上城国际一期</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栋</w:t>
      </w:r>
      <w:r>
        <w:rPr>
          <w:rFonts w:ascii="仿宋_GB2312" w:hAnsi="宋体" w:eastAsia="仿宋_GB2312" w:cs="仿宋_GB2312"/>
          <w:kern w:val="0"/>
          <w:sz w:val="32"/>
          <w:szCs w:val="32"/>
        </w:rPr>
        <w:t>1806</w:t>
      </w:r>
      <w:r>
        <w:rPr>
          <w:rFonts w:hint="eastAsia" w:ascii="仿宋_GB2312" w:hAnsi="宋体" w:eastAsia="仿宋_GB2312" w:cs="仿宋_GB2312"/>
          <w:kern w:val="0"/>
          <w:sz w:val="32"/>
          <w:szCs w:val="32"/>
        </w:rPr>
        <w:t>（广州宝诚招标代理咨询有限公司）</w:t>
      </w:r>
      <w:r>
        <w:rPr>
          <w:rFonts w:hint="eastAsia" w:ascii="仿宋_GB2312" w:hAnsi="Times New Roman" w:eastAsia="仿宋_GB2312" w:cs="仿宋_GB2312"/>
          <w:kern w:val="0"/>
          <w:sz w:val="32"/>
          <w:szCs w:val="32"/>
        </w:rPr>
        <w:t>。</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九、</w:t>
      </w:r>
      <w:r>
        <w:rPr>
          <w:rFonts w:ascii="黑体" w:hAnsi="黑体" w:eastAsia="黑体" w:cs="Times New Roman"/>
          <w:kern w:val="0"/>
          <w:sz w:val="32"/>
          <w:szCs w:val="32"/>
        </w:rPr>
        <w:t>本</w:t>
      </w:r>
      <w:r>
        <w:rPr>
          <w:rFonts w:hint="eastAsia" w:ascii="黑体" w:hAnsi="黑体" w:eastAsia="黑体" w:cs="Times New Roman"/>
          <w:kern w:val="0"/>
          <w:sz w:val="32"/>
          <w:szCs w:val="32"/>
        </w:rPr>
        <w:t>采购</w:t>
      </w:r>
      <w:r>
        <w:rPr>
          <w:rFonts w:ascii="黑体" w:hAnsi="黑体" w:eastAsia="黑体" w:cs="Times New Roman"/>
          <w:kern w:val="0"/>
          <w:sz w:val="32"/>
          <w:szCs w:val="32"/>
        </w:rPr>
        <w:t>项目相关信息在《军队采购网》（www.plap.cn）上发布。</w:t>
      </w:r>
    </w:p>
    <w:p>
      <w:pPr>
        <w:tabs>
          <w:tab w:val="left" w:pos="0"/>
          <w:tab w:val="left" w:pos="1122"/>
        </w:tabs>
        <w:ind w:firstLine="622" w:firstLineChars="200"/>
        <w:rPr>
          <w:rFonts w:ascii="黑体" w:hAnsi="黑体" w:eastAsia="黑体" w:cs="Times New Roman"/>
          <w:kern w:val="0"/>
          <w:sz w:val="32"/>
          <w:szCs w:val="32"/>
        </w:rPr>
      </w:pPr>
      <w:r>
        <w:rPr>
          <w:rFonts w:hint="eastAsia" w:ascii="黑体" w:hAnsi="黑体" w:eastAsia="黑体" w:cs="Times New Roman"/>
          <w:kern w:val="0"/>
          <w:sz w:val="32"/>
          <w:szCs w:val="32"/>
        </w:rPr>
        <w:t>十</w:t>
      </w:r>
      <w:r>
        <w:rPr>
          <w:rFonts w:hint="eastAsia" w:ascii="黑体" w:hAnsi="黑体" w:eastAsia="黑体" w:cs="黑体"/>
          <w:kern w:val="0"/>
          <w:sz w:val="32"/>
          <w:szCs w:val="32"/>
        </w:rPr>
        <w:t>、采购代理机构联系方式</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联系人：广州宝诚招标代理咨询有限公司</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电话：</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传真：</w:t>
      </w:r>
      <w:r>
        <w:rPr>
          <w:rFonts w:ascii="仿宋_GB2312" w:hAnsi="Times New Roman" w:eastAsia="仿宋_GB2312" w:cs="仿宋_GB2312"/>
          <w:kern w:val="0"/>
          <w:sz w:val="32"/>
          <w:szCs w:val="32"/>
        </w:rPr>
        <w:t>020-37887429</w:t>
      </w:r>
    </w:p>
    <w:p>
      <w:pPr>
        <w:ind w:firstLine="622" w:firstLineChars="200"/>
        <w:rPr>
          <w:rFonts w:ascii="仿宋_GB2312" w:hAnsi="Times New Roman" w:eastAsia="仿宋_GB2312" w:cs="Times New Roman"/>
          <w:kern w:val="0"/>
          <w:sz w:val="32"/>
          <w:szCs w:val="32"/>
          <w:u w:val="single"/>
        </w:rPr>
      </w:pPr>
      <w:r>
        <w:rPr>
          <w:rFonts w:hint="eastAsia" w:ascii="仿宋_GB2312" w:hAnsi="Times New Roman" w:eastAsia="仿宋_GB2312" w:cs="仿宋_GB2312"/>
          <w:kern w:val="0"/>
          <w:sz w:val="32"/>
          <w:szCs w:val="32"/>
        </w:rPr>
        <w:t>地址：</w:t>
      </w:r>
      <w:r>
        <w:rPr>
          <w:rFonts w:hint="eastAsia" w:ascii="仿宋_GB2312" w:hAnsi="Times New Roman" w:eastAsia="仿宋_GB2312" w:cs="仿宋_GB2312"/>
          <w:kern w:val="0"/>
          <w:sz w:val="32"/>
          <w:szCs w:val="32"/>
          <w:u w:val="single"/>
        </w:rPr>
        <w:t>广州市番禺区敏捷上城国际一期</w:t>
      </w:r>
      <w:r>
        <w:rPr>
          <w:rFonts w:ascii="仿宋_GB2312" w:hAnsi="Times New Roman" w:eastAsia="仿宋_GB2312" w:cs="仿宋_GB2312"/>
          <w:kern w:val="0"/>
          <w:sz w:val="32"/>
          <w:szCs w:val="32"/>
          <w:u w:val="single"/>
        </w:rPr>
        <w:t>2</w:t>
      </w:r>
      <w:r>
        <w:rPr>
          <w:rFonts w:hint="eastAsia" w:ascii="仿宋_GB2312" w:hAnsi="Times New Roman" w:eastAsia="仿宋_GB2312" w:cs="仿宋_GB2312"/>
          <w:kern w:val="0"/>
          <w:sz w:val="32"/>
          <w:szCs w:val="32"/>
          <w:u w:val="single"/>
        </w:rPr>
        <w:t>栋</w:t>
      </w:r>
      <w:r>
        <w:rPr>
          <w:rFonts w:ascii="仿宋_GB2312" w:hAnsi="Times New Roman" w:eastAsia="仿宋_GB2312" w:cs="仿宋_GB2312"/>
          <w:kern w:val="0"/>
          <w:sz w:val="32"/>
          <w:szCs w:val="32"/>
          <w:u w:val="single"/>
        </w:rPr>
        <w:t>1806</w:t>
      </w:r>
    </w:p>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邮政编码：</w:t>
      </w:r>
      <w:r>
        <w:rPr>
          <w:rFonts w:ascii="仿宋_GB2312" w:hAnsi="Times New Roman" w:eastAsia="仿宋_GB2312" w:cs="仿宋_GB2312"/>
          <w:kern w:val="0"/>
          <w:sz w:val="32"/>
          <w:szCs w:val="32"/>
        </w:rPr>
        <w:t>511400</w:t>
      </w:r>
    </w:p>
    <w:p>
      <w:pPr>
        <w:spacing w:after="289" w:afterLines="50"/>
        <w:ind w:left="5309" w:leftChars="432" w:hanging="4441" w:hangingChars="1428"/>
        <w:jc w:val="left"/>
        <w:rPr>
          <w:rFonts w:ascii="Times New Roman" w:hAnsi="Times New Roman" w:eastAsia="宋体" w:cs="Times New Roman"/>
          <w:kern w:val="0"/>
          <w:sz w:val="32"/>
          <w:szCs w:val="32"/>
        </w:rPr>
      </w:pPr>
    </w:p>
    <w:p>
      <w:pPr>
        <w:spacing w:after="289" w:afterLines="50"/>
        <w:ind w:left="5309" w:leftChars="432" w:hanging="4441" w:hangingChars="1428"/>
        <w:jc w:val="left"/>
        <w:rPr>
          <w:rFonts w:ascii="Times New Roman" w:hAnsi="Times New Roman" w:eastAsia="宋体" w:cs="Times New Roman"/>
          <w:kern w:val="0"/>
          <w:sz w:val="32"/>
          <w:szCs w:val="32"/>
        </w:rPr>
      </w:pPr>
    </w:p>
    <w:p>
      <w:pPr>
        <w:spacing w:after="289" w:afterLines="50"/>
        <w:ind w:left="5309" w:leftChars="432" w:hanging="4441" w:hangingChars="1428"/>
        <w:jc w:val="left"/>
        <w:rPr>
          <w:rFonts w:ascii="Times New Roman" w:hAnsi="Times New Roman" w:eastAsia="宋体" w:cs="Times New Roman"/>
          <w:kern w:val="0"/>
          <w:sz w:val="32"/>
          <w:szCs w:val="32"/>
        </w:rPr>
      </w:pPr>
    </w:p>
    <w:p>
      <w:pPr>
        <w:ind w:left="4798" w:leftChars="2149" w:hanging="479" w:hangingChars="154"/>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招标人：（</w:t>
      </w:r>
      <w:r>
        <w:rPr>
          <w:rFonts w:hint="eastAsia" w:ascii="宋体" w:hAnsi="宋体" w:cs="宋体"/>
          <w:kern w:val="0"/>
          <w:sz w:val="36"/>
          <w:szCs w:val="36"/>
        </w:rPr>
        <w:t>中国人民解放军陆军第七十四集团军医院</w:t>
      </w:r>
      <w:r>
        <w:rPr>
          <w:rFonts w:hint="eastAsia" w:ascii="仿宋_GB2312" w:hAnsi="Times New Roman" w:eastAsia="仿宋_GB2312" w:cs="Times New Roman"/>
          <w:kern w:val="0"/>
          <w:sz w:val="32"/>
          <w:szCs w:val="32"/>
        </w:rPr>
        <w:t>）</w:t>
      </w:r>
    </w:p>
    <w:p>
      <w:pPr>
        <w:ind w:left="4818" w:leftChars="2082" w:hanging="634" w:hangingChars="204"/>
        <w:rPr>
          <w:rFonts w:ascii="仿宋_GB2312" w:hAnsi="Times New Roman" w:eastAsia="仿宋_GB2312" w:cs="Times New Roman"/>
          <w:kern w:val="0"/>
          <w:sz w:val="32"/>
          <w:szCs w:val="32"/>
        </w:rPr>
      </w:pPr>
    </w:p>
    <w:p>
      <w:pPr>
        <w:ind w:left="4723" w:leftChars="235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日</w:t>
      </w:r>
    </w:p>
    <w:p>
      <w:pPr>
        <w:autoSpaceDE w:val="0"/>
        <w:autoSpaceDN w:val="0"/>
        <w:adjustRightInd w:val="0"/>
        <w:rPr>
          <w:rFonts w:ascii="仿宋_GB2312" w:hAnsi="Times New Roman" w:eastAsia="仿宋_GB2312" w:cs="Times New Roman"/>
          <w:kern w:val="0"/>
          <w:sz w:val="32"/>
          <w:szCs w:val="32"/>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autoSpaceDE w:val="0"/>
        <w:autoSpaceDN w:val="0"/>
        <w:adjustRightInd w:val="0"/>
        <w:spacing w:line="560" w:lineRule="exact"/>
        <w:jc w:val="center"/>
        <w:rPr>
          <w:rFonts w:ascii="方正小标宋简体" w:hAnsi="Times New Roman" w:eastAsia="方正小标宋简体" w:cs="Times New Roman"/>
          <w:kern w:val="0"/>
          <w:sz w:val="44"/>
          <w:szCs w:val="44"/>
          <w:lang w:val="zh-CN"/>
        </w:rPr>
      </w:pPr>
      <w:bookmarkStart w:id="5" w:name="_Toc435540979"/>
      <w:bookmarkStart w:id="6" w:name="_Toc285612594"/>
      <w:bookmarkStart w:id="7" w:name="_Toc390713967"/>
      <w:r>
        <w:rPr>
          <w:rFonts w:hint="eastAsia" w:ascii="方正小标宋简体" w:hAnsi="Times New Roman" w:eastAsia="方正小标宋简体" w:cs="Times New Roman"/>
          <w:kern w:val="0"/>
          <w:sz w:val="44"/>
          <w:szCs w:val="44"/>
          <w:lang w:val="zh-CN"/>
        </w:rPr>
        <w:t>第二部分  采购项目技</w:t>
      </w:r>
      <w:r>
        <w:rPr>
          <w:rFonts w:hint="eastAsia" w:ascii="方正小标宋简体" w:hAnsi="宋体" w:eastAsia="方正小标宋简体" w:cs="宋体"/>
          <w:kern w:val="0"/>
          <w:sz w:val="44"/>
          <w:szCs w:val="44"/>
          <w:lang w:val="zh-CN"/>
        </w:rPr>
        <w:t>术</w:t>
      </w:r>
      <w:r>
        <w:rPr>
          <w:rFonts w:hint="eastAsia" w:ascii="方正小标宋简体" w:hAnsi="Dotum" w:eastAsia="方正小标宋简体" w:cs="Dotum"/>
          <w:kern w:val="0"/>
          <w:sz w:val="44"/>
          <w:szCs w:val="44"/>
          <w:lang w:val="zh-CN"/>
        </w:rPr>
        <w:t>和商</w:t>
      </w:r>
      <w:r>
        <w:rPr>
          <w:rFonts w:hint="eastAsia" w:ascii="方正小标宋简体" w:hAnsi="宋体" w:eastAsia="方正小标宋简体" w:cs="宋体"/>
          <w:kern w:val="0"/>
          <w:sz w:val="44"/>
          <w:szCs w:val="44"/>
          <w:lang w:val="zh-CN"/>
        </w:rPr>
        <w:t>务</w:t>
      </w:r>
      <w:r>
        <w:rPr>
          <w:rFonts w:hint="eastAsia" w:ascii="方正小标宋简体" w:hAnsi="Times New Roman" w:eastAsia="方正小标宋简体" w:cs="Times New Roman"/>
          <w:kern w:val="0"/>
          <w:sz w:val="44"/>
          <w:szCs w:val="44"/>
          <w:lang w:val="zh-CN"/>
        </w:rPr>
        <w:t>要求</w:t>
      </w:r>
      <w:bookmarkEnd w:id="5"/>
      <w:bookmarkEnd w:id="6"/>
      <w:bookmarkEnd w:id="7"/>
    </w:p>
    <w:p>
      <w:pPr>
        <w:autoSpaceDE w:val="0"/>
        <w:autoSpaceDN w:val="0"/>
        <w:adjustRightInd w:val="0"/>
        <w:spacing w:line="500" w:lineRule="exact"/>
        <w:ind w:left="568"/>
        <w:rPr>
          <w:rFonts w:ascii="Times New Roman" w:hAnsi="Times New Roman" w:eastAsia="黑体" w:cs="Times New Roman"/>
          <w:kern w:val="0"/>
          <w:sz w:val="28"/>
          <w:szCs w:val="28"/>
          <w:lang w:val="zh-CN"/>
        </w:rPr>
      </w:pPr>
    </w:p>
    <w:p>
      <w:pPr>
        <w:spacing w:line="580" w:lineRule="exact"/>
        <w:ind w:firstLine="622" w:firstLineChars="200"/>
        <w:rPr>
          <w:rFonts w:ascii="黑体" w:hAnsi="宋体" w:eastAsia="黑体"/>
          <w:sz w:val="32"/>
          <w:szCs w:val="32"/>
        </w:rPr>
      </w:pPr>
      <w:r>
        <w:rPr>
          <w:rFonts w:hint="eastAsia" w:ascii="黑体" w:hAnsi="宋体" w:eastAsia="黑体"/>
          <w:sz w:val="32"/>
          <w:szCs w:val="32"/>
        </w:rPr>
        <w:t>一</w:t>
      </w:r>
      <w:r>
        <w:rPr>
          <w:rFonts w:ascii="黑体" w:hAnsi="宋体" w:eastAsia="黑体"/>
          <w:sz w:val="32"/>
          <w:szCs w:val="32"/>
        </w:rPr>
        <w:t>、</w:t>
      </w:r>
      <w:r>
        <w:rPr>
          <w:rFonts w:hint="eastAsia" w:ascii="黑体" w:hAnsi="宋体" w:eastAsia="黑体"/>
          <w:sz w:val="32"/>
          <w:szCs w:val="32"/>
        </w:rPr>
        <w:t>技术参数标准</w:t>
      </w:r>
    </w:p>
    <w:p>
      <w:pPr>
        <w:spacing w:line="580" w:lineRule="exact"/>
        <w:ind w:firstLine="467" w:firstLineChars="150"/>
        <w:rPr>
          <w:rFonts w:ascii="楷体_GB2312" w:hAnsi="黑体" w:eastAsia="楷体_GB2312"/>
          <w:sz w:val="32"/>
          <w:szCs w:val="32"/>
        </w:rPr>
      </w:pPr>
      <w:r>
        <w:rPr>
          <w:rFonts w:hint="eastAsia" w:ascii="楷体_GB2312" w:hAnsi="黑体" w:eastAsia="楷体_GB2312"/>
          <w:sz w:val="32"/>
          <w:szCs w:val="32"/>
        </w:rPr>
        <w:t>（一）</w:t>
      </w:r>
      <w:r>
        <w:rPr>
          <w:rFonts w:hint="eastAsia" w:ascii="楷体_GB2312" w:hAnsi="宋体" w:eastAsia="楷体_GB2312"/>
          <w:sz w:val="32"/>
          <w:szCs w:val="20"/>
        </w:rPr>
        <w:t>具体技术指标要求</w:t>
      </w:r>
    </w:p>
    <w:p>
      <w:pPr>
        <w:spacing w:line="580" w:lineRule="exact"/>
        <w:ind w:firstLine="467" w:firstLineChars="150"/>
        <w:rPr>
          <w:rFonts w:ascii="仿宋_GB2312" w:eastAsia="仿宋_GB2312"/>
          <w:sz w:val="32"/>
          <w:szCs w:val="32"/>
        </w:rPr>
      </w:pPr>
      <w:r>
        <w:rPr>
          <w:rFonts w:hint="eastAsia" w:ascii="仿宋_GB2312" w:eastAsia="仿宋_GB2312"/>
          <w:sz w:val="32"/>
          <w:szCs w:val="32"/>
        </w:rPr>
        <w:t>采购</w:t>
      </w:r>
      <w:r>
        <w:rPr>
          <w:rFonts w:hint="eastAsia" w:ascii="仿宋_GB2312" w:eastAsia="仿宋_GB2312"/>
          <w:sz w:val="32"/>
          <w:szCs w:val="32"/>
          <w:lang w:eastAsia="zh-CN"/>
        </w:rPr>
        <w:t>医疗质量监管与安全预警管理平台实施及数据生产服务</w:t>
      </w:r>
      <w:r>
        <w:rPr>
          <w:rFonts w:hint="eastAsia" w:ascii="仿宋_GB2312" w:eastAsia="仿宋_GB2312"/>
          <w:sz w:val="32"/>
          <w:szCs w:val="32"/>
        </w:rPr>
        <w:t>，包含两个医院端、两个区域端系统。两个医院端分别位于广东广州海珠区新港中路468号，及惠州鹅岭南路20号。实施及数据生产服务主要内容包括安装调试、建立OGG库、ETL抽数、数据核对校准与测试、切入生产库追数、区域端联调、验收汇报等工作。</w:t>
      </w:r>
    </w:p>
    <w:p>
      <w:pPr>
        <w:spacing w:line="580" w:lineRule="exact"/>
        <w:ind w:firstLine="778" w:firstLineChars="250"/>
        <w:rPr>
          <w:rFonts w:ascii="仿宋_GB2312" w:eastAsia="仿宋_GB2312"/>
          <w:sz w:val="32"/>
          <w:szCs w:val="32"/>
        </w:rPr>
      </w:pPr>
      <w:r>
        <w:rPr>
          <w:rFonts w:hint="eastAsia" w:ascii="仿宋_GB2312" w:eastAsia="仿宋_GB2312"/>
          <w:sz w:val="32"/>
          <w:szCs w:val="32"/>
        </w:rPr>
        <w:t>医院端安装调试工作包括：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OGG系统安装部署及调试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测试环境质控系统后台部署及调试</w:t>
            </w:r>
          </w:p>
        </w:tc>
      </w:tr>
    </w:tbl>
    <w:p>
      <w:pPr>
        <w:spacing w:line="580" w:lineRule="exact"/>
        <w:ind w:firstLine="778" w:firstLineChars="250"/>
        <w:rPr>
          <w:rFonts w:ascii="仿宋_GB2312" w:eastAsia="仿宋_GB2312"/>
          <w:sz w:val="32"/>
          <w:szCs w:val="32"/>
        </w:rPr>
      </w:pPr>
      <w:r>
        <w:rPr>
          <w:rFonts w:hint="eastAsia" w:ascii="仿宋_GB2312" w:eastAsia="仿宋_GB2312"/>
          <w:sz w:val="32"/>
          <w:szCs w:val="32"/>
        </w:rPr>
        <w:t>医院端数据核对校准与测试包括：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对接源系统接口及数据分析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数据抽取方式与取数规则差异分析与确认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测试环境ETL数据抽取脚本适应性修改并调试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测试环境系统ETL数据从源系统到中间层（主题模型层）的数据抽取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测试环境中间层与源系统数据结果的核对（重复处理工作）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测试环境指标计算公式的配置调整与调试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测试环境系统展示功能适应性调整及调试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测试环境指标数据与医院口径数据核对与修正（重复处理工作）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测试环境指标数据与上级系统数据核对与修正（重复处理工作）</w:t>
            </w:r>
          </w:p>
        </w:tc>
      </w:tr>
    </w:tbl>
    <w:p>
      <w:pPr>
        <w:spacing w:line="580" w:lineRule="exact"/>
        <w:ind w:firstLine="778" w:firstLineChars="250"/>
        <w:rPr>
          <w:rFonts w:ascii="仿宋_GB2312" w:eastAsia="仿宋_GB2312"/>
          <w:sz w:val="32"/>
          <w:szCs w:val="32"/>
        </w:rPr>
      </w:pPr>
      <w:r>
        <w:rPr>
          <w:rFonts w:hint="eastAsia" w:ascii="仿宋_GB2312" w:eastAsia="仿宋_GB2312"/>
          <w:sz w:val="32"/>
          <w:szCs w:val="32"/>
        </w:rPr>
        <w:t>医院端切入生产库追数包括：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生产环境安装调试：</w:t>
            </w:r>
          </w:p>
          <w:p>
            <w:pPr>
              <w:spacing w:line="460" w:lineRule="exact"/>
              <w:rPr>
                <w:rFonts w:ascii="仿宋" w:hAnsi="仿宋" w:eastAsia="仿宋"/>
                <w:sz w:val="28"/>
                <w:szCs w:val="28"/>
              </w:rPr>
            </w:pPr>
            <w:r>
              <w:rPr>
                <w:rFonts w:hint="eastAsia" w:ascii="仿宋" w:hAnsi="仿宋" w:eastAsia="仿宋"/>
                <w:sz w:val="28"/>
                <w:szCs w:val="28"/>
              </w:rPr>
              <w:t>贴源层库部署及调试；系统数据库部署及调试；ETL工具Kettle部署调试；应用服务器Tomcat部署及调试；Rabbit MQ部署及调试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生产环境质控系统后台部署及调试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生产环境质控系统前端部署及调试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生产环境数据迁移工作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生产环境历史数据追数及数据核对工作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生产环境数据核对工作与运维</w:t>
            </w:r>
          </w:p>
        </w:tc>
      </w:tr>
    </w:tbl>
    <w:p>
      <w:pPr>
        <w:spacing w:line="580" w:lineRule="exact"/>
        <w:ind w:firstLine="778" w:firstLineChars="250"/>
        <w:rPr>
          <w:rFonts w:ascii="仿宋_GB2312" w:eastAsia="仿宋_GB2312"/>
          <w:sz w:val="32"/>
          <w:szCs w:val="32"/>
        </w:rPr>
      </w:pPr>
      <w:r>
        <w:rPr>
          <w:rFonts w:hint="eastAsia" w:ascii="仿宋_GB2312" w:eastAsia="仿宋_GB2312"/>
          <w:sz w:val="32"/>
          <w:szCs w:val="32"/>
        </w:rPr>
        <w:t>医院端验收汇报包括：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生产环境系统运维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仿宋" w:hAnsi="仿宋" w:eastAsia="仿宋"/>
                <w:sz w:val="28"/>
                <w:szCs w:val="28"/>
              </w:rPr>
            </w:pPr>
            <w:r>
              <w:rPr>
                <w:rFonts w:hint="eastAsia" w:ascii="仿宋" w:hAnsi="仿宋" w:eastAsia="仿宋"/>
                <w:sz w:val="28"/>
                <w:szCs w:val="28"/>
              </w:rPr>
              <w:t>与上级系统核对数据</w:t>
            </w:r>
          </w:p>
        </w:tc>
      </w:tr>
    </w:tbl>
    <w:p>
      <w:pPr>
        <w:tabs>
          <w:tab w:val="center" w:pos="4473"/>
        </w:tabs>
        <w:spacing w:line="580" w:lineRule="exact"/>
        <w:ind w:firstLine="622" w:firstLineChars="200"/>
        <w:rPr>
          <w:rFonts w:ascii="仿宋_GB2312" w:eastAsia="仿宋_GB2312"/>
          <w:sz w:val="32"/>
          <w:szCs w:val="32"/>
        </w:rPr>
      </w:pPr>
      <w:r>
        <w:rPr>
          <w:rFonts w:hint="eastAsia" w:ascii="仿宋_GB2312" w:eastAsia="仿宋_GB2312"/>
          <w:sz w:val="32"/>
          <w:szCs w:val="32"/>
        </w:rPr>
        <w:t xml:space="preserve"> 区域端安装调试阶段包括：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测试环境质控系统后台部署及调试</w:t>
            </w:r>
          </w:p>
        </w:tc>
      </w:tr>
    </w:tbl>
    <w:p>
      <w:pPr>
        <w:tabs>
          <w:tab w:val="center" w:pos="4473"/>
        </w:tabs>
        <w:spacing w:line="580" w:lineRule="exact"/>
        <w:ind w:firstLine="933" w:firstLineChars="300"/>
        <w:rPr>
          <w:rFonts w:ascii="仿宋_GB2312" w:eastAsia="仿宋_GB2312"/>
          <w:sz w:val="32"/>
          <w:szCs w:val="32"/>
        </w:rPr>
      </w:pPr>
      <w:r>
        <w:rPr>
          <w:rFonts w:hint="eastAsia" w:ascii="仿宋_GB2312" w:eastAsia="仿宋_GB2312"/>
          <w:sz w:val="32"/>
          <w:szCs w:val="32"/>
        </w:rPr>
        <w:t>区域端数据核对校准与测试包括：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测试环境系统对接适应性调整与调试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测试环境指标计算公式的配置调整与调试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测试环境系统展示功能适应性调整及调试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测试环境指标数据与医院口径数据核对与修正（重复处理工作）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测试环境指标数据与上级系统数据核对与修正（重复处理工作）</w:t>
            </w:r>
          </w:p>
        </w:tc>
      </w:tr>
    </w:tbl>
    <w:p>
      <w:pPr>
        <w:tabs>
          <w:tab w:val="center" w:pos="4473"/>
        </w:tabs>
        <w:spacing w:line="580" w:lineRule="exact"/>
        <w:ind w:firstLine="1089" w:firstLineChars="350"/>
        <w:rPr>
          <w:rFonts w:ascii="仿宋_GB2312" w:eastAsia="仿宋_GB2312"/>
          <w:sz w:val="32"/>
          <w:szCs w:val="32"/>
        </w:rPr>
      </w:pPr>
      <w:r>
        <w:rPr>
          <w:rFonts w:hint="eastAsia" w:ascii="仿宋_GB2312" w:eastAsia="仿宋_GB2312"/>
          <w:sz w:val="32"/>
          <w:szCs w:val="32"/>
        </w:rPr>
        <w:t>区域端切入生产追数包括：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生产环境安装调试：</w:t>
            </w:r>
          </w:p>
          <w:p>
            <w:pPr>
              <w:spacing w:line="520" w:lineRule="exact"/>
              <w:rPr>
                <w:rFonts w:ascii="仿宋" w:hAnsi="仿宋" w:eastAsia="仿宋"/>
                <w:sz w:val="28"/>
                <w:szCs w:val="28"/>
              </w:rPr>
            </w:pPr>
            <w:r>
              <w:rPr>
                <w:rFonts w:hint="eastAsia" w:ascii="仿宋" w:hAnsi="仿宋" w:eastAsia="仿宋"/>
                <w:sz w:val="28"/>
                <w:szCs w:val="28"/>
              </w:rPr>
              <w:t>系统数据库部署及调试；应用服务器Tomcat部署及调试；Rabbit MQ部署及调试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生产环境质控系统后台部署及调试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生产环境质控系统前端部署及调试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生产环境历史数据追数及数据核对工作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生产环境数据核对工作与运维</w:t>
            </w:r>
          </w:p>
        </w:tc>
      </w:tr>
    </w:tbl>
    <w:p>
      <w:pPr>
        <w:tabs>
          <w:tab w:val="center" w:pos="4473"/>
        </w:tabs>
        <w:spacing w:line="580" w:lineRule="exact"/>
        <w:ind w:firstLine="933" w:firstLineChars="300"/>
        <w:rPr>
          <w:rFonts w:ascii="仿宋_GB2312" w:eastAsia="仿宋_GB2312"/>
          <w:sz w:val="32"/>
          <w:szCs w:val="32"/>
        </w:rPr>
      </w:pPr>
      <w:r>
        <w:rPr>
          <w:rFonts w:hint="eastAsia" w:ascii="仿宋_GB2312" w:eastAsia="仿宋_GB2312"/>
          <w:sz w:val="32"/>
          <w:szCs w:val="32"/>
        </w:rPr>
        <w:t>区域端验收汇报包括：</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生产环境系统运维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20" w:lineRule="exact"/>
              <w:rPr>
                <w:rFonts w:ascii="仿宋" w:hAnsi="仿宋" w:eastAsia="仿宋"/>
                <w:sz w:val="28"/>
                <w:szCs w:val="28"/>
              </w:rPr>
            </w:pPr>
            <w:r>
              <w:rPr>
                <w:rFonts w:hint="eastAsia" w:ascii="仿宋" w:hAnsi="仿宋" w:eastAsia="仿宋"/>
                <w:sz w:val="28"/>
                <w:szCs w:val="28"/>
              </w:rPr>
              <w:t>与上级系统核对数据</w:t>
            </w:r>
          </w:p>
        </w:tc>
      </w:tr>
    </w:tbl>
    <w:p>
      <w:pPr>
        <w:tabs>
          <w:tab w:val="center" w:pos="4473"/>
        </w:tabs>
        <w:spacing w:line="580" w:lineRule="exact"/>
        <w:ind w:firstLine="622" w:firstLineChars="200"/>
        <w:rPr>
          <w:rFonts w:ascii="仿宋_GB2312" w:eastAsia="仿宋_GB2312"/>
          <w:sz w:val="32"/>
          <w:szCs w:val="32"/>
        </w:rPr>
      </w:pPr>
      <w:r>
        <w:rPr>
          <w:rFonts w:hint="eastAsia" w:ascii="仿宋_GB2312" w:eastAsia="仿宋_GB2312"/>
          <w:sz w:val="32"/>
          <w:szCs w:val="32"/>
        </w:rPr>
        <w:t>要求系统运行正常，各项数据质量符合上级与医院要求，确保上级试点任务完成。</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（二）实施人员要求</w:t>
      </w:r>
    </w:p>
    <w:p>
      <w:pPr>
        <w:tabs>
          <w:tab w:val="center" w:pos="4473"/>
        </w:tabs>
        <w:spacing w:line="580" w:lineRule="exact"/>
        <w:ind w:firstLine="467" w:firstLineChars="150"/>
        <w:rPr>
          <w:rFonts w:ascii="仿宋_GB2312" w:eastAsia="仿宋_GB2312"/>
          <w:sz w:val="32"/>
          <w:szCs w:val="32"/>
        </w:rPr>
      </w:pPr>
      <w:r>
        <w:rPr>
          <w:rFonts w:hint="eastAsia" w:ascii="仿宋_GB2312" w:eastAsia="仿宋_GB2312"/>
          <w:sz w:val="32"/>
          <w:szCs w:val="32"/>
        </w:rPr>
        <w:t xml:space="preserve"> 需要熟悉平台的技术人员。对于平台的底层架构、数据库结构、运行原理非常熟悉，涉及的主要技术包括OGG、KETTLE、TOMCAT、RABBIT MQ等。对医院的HIS\EMR等各系统要求非常熟悉，能对接有关数据的抽取、核对及修正等。</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（三）生产及安装调试等要求</w:t>
      </w:r>
    </w:p>
    <w:p>
      <w:pPr>
        <w:spacing w:line="580" w:lineRule="exact"/>
        <w:ind w:firstLine="622" w:firstLineChars="200"/>
        <w:rPr>
          <w:rFonts w:ascii="仿宋_GB2312" w:eastAsia="仿宋_GB2312"/>
          <w:sz w:val="32"/>
          <w:szCs w:val="32"/>
        </w:rPr>
      </w:pPr>
      <w:r>
        <w:rPr>
          <w:rFonts w:hint="eastAsia" w:ascii="仿宋_GB2312" w:eastAsia="仿宋_GB2312"/>
          <w:sz w:val="32"/>
          <w:szCs w:val="32"/>
        </w:rPr>
        <w:t>中标方提供安装、调试等支持。</w:t>
      </w:r>
    </w:p>
    <w:p>
      <w:pPr>
        <w:spacing w:line="580" w:lineRule="exact"/>
        <w:ind w:firstLine="622" w:firstLineChars="200"/>
        <w:rPr>
          <w:rFonts w:ascii="黑体" w:hAnsi="宋体" w:eastAsia="黑体"/>
          <w:sz w:val="32"/>
          <w:szCs w:val="32"/>
        </w:rPr>
      </w:pPr>
      <w:r>
        <w:rPr>
          <w:rFonts w:hint="eastAsia" w:ascii="黑体" w:hAnsi="宋体" w:eastAsia="黑体"/>
          <w:sz w:val="32"/>
          <w:szCs w:val="32"/>
        </w:rPr>
        <w:t>二、服务要求</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（一）售后质保培训等要求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 xml:space="preserve"> 质保期1年，包含1年运维服务，全院进行培训。</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（二）保密要求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甲、乙双方在采购和履行合同过程中所获悉的对方属于保密的内容，甲乙双方均有保密义务。</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（三）报价要求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不超过人民币95万元。</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（五）供货、安装周期及交货地点要求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1.合同生效后，中标方在30日内完成安装及调试。</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2.中标方提供设备的各项技术性能指标必须达到合同和技术文件规定的要求。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3.交货地点 广东广州及广东惠州。</w:t>
      </w:r>
    </w:p>
    <w:p>
      <w:pPr>
        <w:spacing w:line="580" w:lineRule="exact"/>
        <w:ind w:firstLine="622" w:firstLineChars="200"/>
        <w:rPr>
          <w:rFonts w:ascii="黑体" w:hAnsi="宋体" w:eastAsia="黑体"/>
          <w:sz w:val="32"/>
          <w:szCs w:val="32"/>
        </w:rPr>
      </w:pPr>
      <w:r>
        <w:rPr>
          <w:rFonts w:hint="eastAsia" w:ascii="黑体" w:hAnsi="宋体" w:eastAsia="黑体"/>
          <w:sz w:val="32"/>
          <w:szCs w:val="32"/>
        </w:rPr>
        <w:t>三、投标（报价）人资质要求</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参照《军队物资工程服务供应商管理规定》</w:t>
      </w:r>
      <w:r>
        <w:rPr>
          <w:rFonts w:hint="eastAsia" w:ascii="楷体_GB2312" w:hAnsi="宋体" w:eastAsia="楷体_GB2312"/>
          <w:sz w:val="28"/>
          <w:szCs w:val="28"/>
        </w:rPr>
        <w:t>（军后采〔2016〕512号）</w:t>
      </w:r>
      <w:r>
        <w:rPr>
          <w:rFonts w:hint="eastAsia" w:ascii="仿宋_GB2312" w:hAnsi="宋体" w:eastAsia="仿宋_GB2312"/>
          <w:sz w:val="32"/>
          <w:szCs w:val="32"/>
        </w:rPr>
        <w:t>和项目实际确定，不得设置排他性条款。军委机关已下发全军标准文本的，应严格执行全军标准文本，不得进行修改。确有特殊资质要求的，应另行说明。</w:t>
      </w:r>
    </w:p>
    <w:p>
      <w:pPr>
        <w:spacing w:line="580" w:lineRule="exact"/>
        <w:ind w:firstLine="622" w:firstLineChars="200"/>
        <w:rPr>
          <w:rFonts w:ascii="仿宋_GB2312" w:hAnsi="宋体" w:eastAsia="仿宋_GB2312"/>
          <w:sz w:val="32"/>
          <w:szCs w:val="32"/>
        </w:rPr>
      </w:pPr>
      <w:r>
        <w:rPr>
          <w:rFonts w:hint="eastAsia" w:ascii="黑体" w:hAnsi="宋体" w:eastAsia="黑体"/>
          <w:sz w:val="32"/>
          <w:szCs w:val="32"/>
        </w:rPr>
        <w:t>四、验收、付款及其他内容</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（一）验收方式</w:t>
      </w:r>
    </w:p>
    <w:p>
      <w:pPr>
        <w:spacing w:line="580" w:lineRule="exact"/>
        <w:ind w:firstLine="622" w:firstLineChars="200"/>
        <w:rPr>
          <w:rFonts w:ascii="仿宋_GB2312" w:hAnsi="宋体" w:eastAsia="仿宋_GB2312"/>
          <w:sz w:val="32"/>
          <w:szCs w:val="32"/>
        </w:rPr>
      </w:pPr>
      <w:r>
        <w:rPr>
          <w:rFonts w:hint="eastAsia" w:ascii="仿宋_GB2312" w:hAnsi="宋体" w:eastAsia="仿宋_GB2312"/>
          <w:sz w:val="32"/>
          <w:szCs w:val="32"/>
        </w:rPr>
        <w:t>试点工作正常完成，通过本级及上级验收，确保起到应用作用。</w:t>
      </w:r>
    </w:p>
    <w:p>
      <w:pPr>
        <w:tabs>
          <w:tab w:val="center" w:pos="4473"/>
        </w:tabs>
        <w:spacing w:line="580" w:lineRule="exact"/>
        <w:ind w:firstLine="622" w:firstLineChars="200"/>
        <w:rPr>
          <w:rFonts w:ascii="楷体_GB2312" w:hAnsi="宋体" w:eastAsia="楷体_GB2312"/>
          <w:sz w:val="32"/>
          <w:szCs w:val="20"/>
        </w:rPr>
      </w:pPr>
      <w:r>
        <w:rPr>
          <w:rFonts w:hint="eastAsia" w:ascii="楷体_GB2312" w:hAnsi="宋体" w:eastAsia="楷体_GB2312"/>
          <w:sz w:val="32"/>
          <w:szCs w:val="20"/>
        </w:rPr>
        <w:t>（二）付款方式</w:t>
      </w:r>
    </w:p>
    <w:p>
      <w:pPr>
        <w:spacing w:line="580" w:lineRule="exact"/>
        <w:ind w:firstLine="622" w:firstLineChars="200"/>
        <w:rPr>
          <w:rFonts w:ascii="仿宋_GB2312" w:hAnsi="宋体" w:eastAsia="仿宋_GB2312"/>
          <w:sz w:val="32"/>
          <w:szCs w:val="32"/>
        </w:rPr>
      </w:pPr>
      <w:r>
        <w:rPr>
          <w:rFonts w:hint="eastAsia" w:ascii="仿宋_GB2312" w:hAnsi="宋体" w:eastAsia="仿宋_GB2312" w:cs="仿宋_GB2312"/>
          <w:sz w:val="32"/>
          <w:szCs w:val="32"/>
        </w:rPr>
        <w:t>初定10个工作日内支付</w:t>
      </w:r>
      <w:r>
        <w:rPr>
          <w:rFonts w:ascii="仿宋_GB2312" w:hAnsi="宋体" w:eastAsia="仿宋_GB2312" w:cs="仿宋_GB2312"/>
          <w:sz w:val="32"/>
          <w:szCs w:val="32"/>
        </w:rPr>
        <w:t>3</w:t>
      </w:r>
      <w:r>
        <w:rPr>
          <w:rFonts w:hint="eastAsia" w:ascii="仿宋_GB2312" w:hAnsi="宋体" w:eastAsia="仿宋_GB2312" w:cs="仿宋_GB2312"/>
          <w:sz w:val="32"/>
          <w:szCs w:val="32"/>
        </w:rPr>
        <w:t>0%合同款，验收合格后10个工作日内支付</w:t>
      </w:r>
      <w:r>
        <w:rPr>
          <w:rFonts w:ascii="仿宋_GB2312" w:hAnsi="宋体" w:eastAsia="仿宋_GB2312" w:cs="仿宋_GB2312"/>
          <w:sz w:val="32"/>
          <w:szCs w:val="32"/>
        </w:rPr>
        <w:t>5</w:t>
      </w:r>
      <w:r>
        <w:rPr>
          <w:rFonts w:hint="eastAsia" w:ascii="仿宋_GB2312" w:hAnsi="宋体" w:eastAsia="仿宋_GB2312" w:cs="仿宋_GB2312"/>
          <w:sz w:val="32"/>
          <w:szCs w:val="32"/>
        </w:rPr>
        <w:t>0%合同款，一年质保期后10个工作日支付20%合同款，以军队财务有关规定及正式合同为准。</w:t>
      </w:r>
      <w:r>
        <w:rPr>
          <w:rFonts w:hint="eastAsia" w:ascii="仿宋_GB2312" w:hAnsi="宋体" w:eastAsia="仿宋_GB2312"/>
          <w:sz w:val="32"/>
          <w:szCs w:val="32"/>
        </w:rPr>
        <w:t xml:space="preserve"> 如合同签订后不能完成试点任务，应退回首付款并且将赔偿医院方面的损失。</w:t>
      </w:r>
    </w:p>
    <w:p>
      <w:pPr>
        <w:ind w:firstLine="542" w:firstLineChars="200"/>
        <w:rPr>
          <w:rFonts w:ascii="Times New Roman" w:hAnsi="宋体" w:eastAsia="宋体" w:cs="Times New Roman"/>
          <w:kern w:val="0"/>
          <w:sz w:val="28"/>
          <w:szCs w:val="28"/>
          <w:lang w:val="zh-CN"/>
        </w:rPr>
      </w:pPr>
    </w:p>
    <w:p>
      <w:pPr>
        <w:ind w:firstLine="542" w:firstLineChars="200"/>
        <w:rPr>
          <w:rFonts w:ascii="Times New Roman" w:hAnsi="Times New Roman" w:eastAsia="黑体" w:cs="Times New Roman"/>
          <w:b/>
          <w:kern w:val="0"/>
          <w:sz w:val="28"/>
          <w:szCs w:val="28"/>
          <w:lang w:val="zh-CN"/>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pacing w:line="560" w:lineRule="exact"/>
        <w:jc w:val="center"/>
        <w:outlineLvl w:val="0"/>
        <w:rPr>
          <w:rFonts w:ascii="方正小标宋简体" w:hAnsi="Times New Roman" w:eastAsia="方正小标宋简体" w:cs="Times New Roman"/>
          <w:kern w:val="0"/>
          <w:sz w:val="44"/>
          <w:szCs w:val="44"/>
        </w:rPr>
      </w:pPr>
      <w:bookmarkStart w:id="8" w:name="_Toc285612601"/>
      <w:bookmarkStart w:id="9" w:name="_Toc435540980"/>
      <w:bookmarkStart w:id="10" w:name="_Toc390713968"/>
      <w:bookmarkStart w:id="11" w:name="_Toc240432230"/>
      <w:r>
        <w:rPr>
          <w:rFonts w:hint="eastAsia" w:ascii="方正小标宋简体" w:hAnsi="Times New Roman" w:eastAsia="方正小标宋简体" w:cs="Times New Roman"/>
          <w:kern w:val="0"/>
          <w:sz w:val="44"/>
          <w:szCs w:val="44"/>
        </w:rPr>
        <w:t xml:space="preserve">第三部分  </w:t>
      </w:r>
      <w:r>
        <w:rPr>
          <w:rFonts w:hint="eastAsia" w:ascii="方正小标宋简体" w:hAnsi="Times New Roman" w:eastAsia="方正小标宋简体" w:cs="Times New Roman"/>
          <w:kern w:val="0"/>
          <w:sz w:val="44"/>
          <w:szCs w:val="44"/>
          <w:lang w:val="zh-CN"/>
        </w:rPr>
        <w:t>投标人</w:t>
      </w:r>
      <w:r>
        <w:rPr>
          <w:rFonts w:hint="eastAsia" w:ascii="方正小标宋简体" w:hAnsi="Times New Roman" w:eastAsia="方正小标宋简体" w:cs="Times New Roman"/>
          <w:kern w:val="0"/>
          <w:sz w:val="44"/>
          <w:szCs w:val="44"/>
        </w:rPr>
        <w:t>须知</w:t>
      </w:r>
      <w:bookmarkEnd w:id="8"/>
      <w:bookmarkEnd w:id="9"/>
      <w:bookmarkEnd w:id="10"/>
      <w:bookmarkEnd w:id="11"/>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说</w:t>
      </w:r>
      <w:r>
        <w:rPr>
          <w:rFonts w:hint="eastAsia" w:ascii="Times New Roman" w:hAnsi="Times New Roman" w:eastAsia="黑体" w:cs="Times New Roman"/>
          <w:kern w:val="0"/>
          <w:sz w:val="32"/>
          <w:szCs w:val="32"/>
        </w:rPr>
        <w:t xml:space="preserve">    </w:t>
      </w:r>
      <w:r>
        <w:rPr>
          <w:rFonts w:ascii="Times New Roman" w:hAnsi="Times New Roman" w:eastAsia="黑体" w:cs="Times New Roman"/>
          <w:kern w:val="0"/>
          <w:sz w:val="32"/>
          <w:szCs w:val="32"/>
        </w:rPr>
        <w:t>明</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（一）概述</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snapToGrid w:val="0"/>
          <w:kern w:val="0"/>
          <w:sz w:val="32"/>
          <w:szCs w:val="32"/>
          <w:lang w:val="zh-CN"/>
        </w:rPr>
        <w:t>本招标文件仅适用于《招标公告》中所述的采购项目；</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rPr>
        <w:t>2.</w:t>
      </w:r>
      <w:r>
        <w:rPr>
          <w:rFonts w:hint="eastAsia" w:ascii="仿宋_GB2312" w:hAnsi="宋体" w:eastAsia="仿宋_GB2312"/>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（二）定义</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1.“采购项目”系指本招标文件描述的所需采购的货物和相关服务；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2.“招标人”系指组织本次招标的</w:t>
      </w:r>
      <w:r>
        <w:rPr>
          <w:rFonts w:hint="eastAsia" w:ascii="仿宋_GB2312" w:hAnsi="宋体" w:eastAsia="仿宋_GB2312" w:cs="Times New Roman"/>
          <w:snapToGrid w:val="0"/>
          <w:kern w:val="0"/>
          <w:sz w:val="32"/>
          <w:szCs w:val="32"/>
          <w:u w:val="single"/>
          <w:lang w:val="zh-CN"/>
        </w:rPr>
        <w:t xml:space="preserve">  （采购机构名称）  </w:t>
      </w:r>
      <w:r>
        <w:rPr>
          <w:rFonts w:hint="eastAsia" w:ascii="仿宋_GB2312" w:hAnsi="宋体" w:eastAsia="仿宋_GB2312" w:cs="Times New Roman"/>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3.“投标人”系指从招标人按规定获取招标文件，并提交投标文件的供应商；</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4.“中标人”系指经过招标评审，授予合同的投标人；</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5.“货物”系指中标人按招标文件规定，所提供的各种形态和种类的物品，包括设备、产品、备品备件、工具、手册等；</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6.“服务”系指中标人按招标文件规定，必须承担的运输、安装、调试、技术协助、培训、维修、配件供应等义务。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（三）合格的投标人</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1.能够遵守国家和军队的有关法律、法规和本次招标的有关规定；</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2.符合《招标公告》所述投标人的资格要求和特定资格条件；</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3.能够承担投标及履约中应承担的全部责任与义务。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（四）合格的货物和相关服务</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2.投标人提供的货物必须是全新的、未使用过的，货物和相关服务应当符合招标文件要求。</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（五）投标委托</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如投标人代表不是法定代表人，须持有《法定代表人授权书》（</w:t>
      </w:r>
      <w:r>
        <w:rPr>
          <w:rFonts w:hint="eastAsia" w:ascii="仿宋_GB2312" w:hAnsi="宋体" w:eastAsia="仿宋_GB2312" w:cs="Times New Roman"/>
          <w:kern w:val="0"/>
          <w:sz w:val="32"/>
          <w:szCs w:val="32"/>
          <w:lang w:val="zh-CN"/>
        </w:rPr>
        <w:t>附件18</w:t>
      </w:r>
      <w:r>
        <w:rPr>
          <w:rFonts w:hint="eastAsia" w:ascii="仿宋_GB2312" w:hAnsi="宋体" w:eastAsia="仿宋_GB2312" w:cs="Times New Roman"/>
          <w:snapToGrid w:val="0"/>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（六）付款及结算方式</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※1.本项目根据军队单位</w:t>
      </w:r>
      <w:r>
        <w:rPr>
          <w:rFonts w:ascii="仿宋_GB2312" w:hAnsi="宋体" w:eastAsia="仿宋_GB2312" w:cs="Times New Roman"/>
          <w:kern w:val="0"/>
          <w:sz w:val="32"/>
          <w:szCs w:val="32"/>
          <w:lang w:val="zh-CN"/>
        </w:rPr>
        <w:t>要求</w:t>
      </w:r>
      <w:r>
        <w:rPr>
          <w:rFonts w:hint="eastAsia" w:ascii="仿宋_GB2312" w:hAnsi="宋体" w:eastAsia="仿宋_GB2312" w:cs="Times New Roman"/>
          <w:kern w:val="0"/>
          <w:sz w:val="32"/>
          <w:szCs w:val="32"/>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合同乙方组织生产发生资金困难时，可以依据中标合同向指</w:t>
      </w:r>
      <w:r>
        <w:rPr>
          <w:rFonts w:hint="eastAsia" w:ascii="仿宋_GB2312" w:hAnsi="宋体" w:eastAsia="仿宋_GB2312" w:cs="Times New Roman"/>
          <w:snapToGrid w:val="0"/>
          <w:kern w:val="0"/>
          <w:sz w:val="32"/>
          <w:szCs w:val="32"/>
        </w:rPr>
        <w:t>定银行申请优惠贷款（具体银行信息可通过军队采购网</w:t>
      </w:r>
      <w:r>
        <w:rPr>
          <w:rFonts w:hint="eastAsia" w:ascii="仿宋_GB2312" w:hAnsi="宋体" w:eastAsia="仿宋_GB2312" w:cs="Times New Roman"/>
          <w:kern w:val="0"/>
          <w:sz w:val="32"/>
          <w:szCs w:val="32"/>
          <w:lang w:val="zh-CN"/>
        </w:rPr>
        <w:t>www.plap.cn查询），由银行自主评估作出贷款与否的决定。任何情况下，贷款的提供、收回及风险、损失处置等均由银行自主评估和决定。军方任何单位和个人均不得就贷款事宜提供任何形式的意见或者建议，不得作出任何形式的担保或者承诺。军方任何单位和个人就贷款事宜提供的任何形式的意见建议、担保或承诺均无法律效力，不承担任何形式的直接或连带责任。</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※2.预付款为合同总金额的30%，需首检的产品，必须待首检合格后再办理预付款。预付款仅限于物资货款，其他费用不予预付。</w:t>
      </w:r>
    </w:p>
    <w:p>
      <w:pPr>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※3.预留质量保证金为合同总金额的</w:t>
      </w:r>
      <w:r>
        <w:rPr>
          <w:rFonts w:hint="eastAsia" w:ascii="仿宋_GB2312" w:hAnsi="宋体" w:eastAsia="仿宋_GB2312" w:cs="Times New Roman"/>
          <w:kern w:val="0"/>
          <w:sz w:val="32"/>
          <w:szCs w:val="32"/>
          <w:u w:val="single"/>
          <w:lang w:val="zh-CN"/>
        </w:rPr>
        <w:t xml:space="preserve">    </w:t>
      </w:r>
      <w:r>
        <w:rPr>
          <w:rFonts w:ascii="仿宋_GB2312" w:hAnsi="宋体" w:eastAsia="仿宋_GB2312" w:cs="Times New Roman"/>
          <w:kern w:val="0"/>
          <w:sz w:val="32"/>
          <w:szCs w:val="32"/>
          <w:u w:val="single"/>
          <w:lang w:val="zh-CN"/>
        </w:rPr>
        <w:t>20%</w:t>
      </w:r>
      <w:r>
        <w:rPr>
          <w:rFonts w:hint="eastAsia" w:ascii="仿宋_GB2312" w:hAnsi="宋体" w:eastAsia="仿宋_GB2312" w:cs="Times New Roman"/>
          <w:kern w:val="0"/>
          <w:sz w:val="32"/>
          <w:szCs w:val="32"/>
          <w:u w:val="single"/>
          <w:lang w:val="zh-CN"/>
        </w:rPr>
        <w:t xml:space="preserve">               </w:t>
      </w:r>
      <w:r>
        <w:rPr>
          <w:rFonts w:hint="eastAsia" w:ascii="仿宋_GB2312" w:hAnsi="宋体" w:eastAsia="仿宋_GB2312" w:cs="Times New Roman"/>
          <w:kern w:val="0"/>
          <w:sz w:val="32"/>
          <w:szCs w:val="32"/>
          <w:lang w:val="zh-CN"/>
        </w:rPr>
        <w:t>。</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（七）投标费用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不论投标结果如何，投标人均应自行承担与投标有关的全部费用。</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（八）信息发布</w:t>
      </w:r>
    </w:p>
    <w:p>
      <w:pPr>
        <w:autoSpaceDE w:val="0"/>
        <w:autoSpaceDN w:val="0"/>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本采购项目需要公开的有关信息，招标人均通过“军队采购网”（www.plap.cn）公开发布。投标人在参与本采购项目招投标活动期间，请及时关注以上媒体上的相关信息，投标人因没有及时关注而未能如期获取相关信息，将会增加投标风险，招标人对此不承担任何责任。</w:t>
      </w:r>
    </w:p>
    <w:p>
      <w:pP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二、招标</w:t>
      </w:r>
      <w:r>
        <w:rPr>
          <w:rFonts w:ascii="Times New Roman" w:hAnsi="Times New Roman" w:eastAsia="黑体" w:cs="Times New Roman"/>
          <w:kern w:val="0"/>
          <w:sz w:val="32"/>
          <w:szCs w:val="32"/>
        </w:rPr>
        <w:t>文件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（一）招标文件的内容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招标文件由招标公告、采购项目技术和商务要求、投标人须知、合同样本、附件/投标文件格式等内容构成。</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招标文件以中文编写。纸质招标文件与电子版招标文件具有同等法律效力，两者出现不一致时，以纸质招标文件为准。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（二）招标文件的澄清</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（三）招标文件的修改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1.投标截止时间前，招标人可对已发出的招标文件进行修改。招标文件修改内容是招标文件的组成部分。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2.招标文件修改内容可能影响投标文件编制的，招标人将在投标截止时间至少15日前，以书面形式通知所有投标人，并对投标人具有约束力。投标人在收到上述通知后，应立即以书面形式向招标人确认。</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3.为使投标人有足够时间修改投标文件，招标人可酌情推迟投标截止时间和开标时间。需要推迟的，招标人将在投标截止时间3日前以书面形式通知所有投标人。</w:t>
      </w:r>
    </w:p>
    <w:p>
      <w:pPr>
        <w:ind w:firstLine="542" w:firstLineChars="200"/>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三、投标</w:t>
      </w:r>
      <w:r>
        <w:rPr>
          <w:rFonts w:ascii="Times New Roman" w:hAnsi="Times New Roman" w:eastAsia="黑体" w:cs="Times New Roman"/>
          <w:kern w:val="0"/>
          <w:sz w:val="32"/>
          <w:szCs w:val="32"/>
        </w:rPr>
        <w:t>文件编制</w:t>
      </w:r>
    </w:p>
    <w:p>
      <w:pP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（一）注意事项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（二）投标文件的语言及计量单位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2.投标文件中所使用的计量单位，除投标文件中有特殊要求外，均采用国家法定计量单位。</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（三）投标文件组成（包括3部分：价格文件、投标书、资格证明文件）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1.价格文件包括：</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(1)开标一览表（附件1）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※(2)价格构成表（附件2）</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※(3)货物材料、部件、工具价格明细表（附件3）</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※(4)其他与价格有关的资料、文件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2.投标书包括：</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(1)投标函（附件4）</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(2)货物简要说明一览表（附件5）</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(3)主要技术性能参数表（附件6）</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(4)技术指标参数响应偏离表（附件7）</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(5)主要商务条款响应偏离表（附件8）</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(6)交货清单（附件9）</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※(7)易损易耗件清单（附件10）</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※(8)技术方案（附件11）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(9)售后服务承诺（附件12）</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(10)保密承诺书（附件13）</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※(11)近3年中标成交案例及同类项目案例（附件14）</w:t>
      </w:r>
    </w:p>
    <w:p>
      <w:pPr>
        <w:ind w:firstLine="622" w:firstLineChars="200"/>
        <w:rPr>
          <w:rFonts w:ascii="仿宋_GB2312" w:hAnsi="宋体" w:eastAsia="仿宋_GB2312" w:cs="Times New Roman"/>
          <w:snapToGrid w:val="0"/>
          <w:kern w:val="0"/>
          <w:sz w:val="32"/>
          <w:szCs w:val="32"/>
          <w:lang w:val="zh-CN"/>
        </w:rPr>
      </w:pPr>
      <w:r>
        <w:rPr>
          <w:rFonts w:hint="eastAsia" w:ascii="仿宋_GB2312" w:hAnsi="宋体" w:eastAsia="仿宋_GB2312" w:cs="Times New Roman"/>
          <w:snapToGrid w:val="0"/>
          <w:kern w:val="0"/>
          <w:sz w:val="32"/>
          <w:szCs w:val="32"/>
          <w:lang w:val="zh-CN"/>
        </w:rPr>
        <w:t>※(12)投标人的质量管理制度、质量检测机构、质量检测设备（提供设备清单和图片），以及第三方质量检测报告等与质量控制相关的证明材料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※(13)投标产品相关检测报告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※(14)参与科研试制的相关证明材料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w:t>
      </w:r>
      <w:r>
        <w:rPr>
          <w:rFonts w:hint="eastAsia" w:ascii="仿宋_GB2312" w:hAnsi="宋体" w:eastAsia="仿宋_GB2312" w:cs="Times New Roman"/>
          <w:kern w:val="0"/>
          <w:sz w:val="32"/>
          <w:szCs w:val="32"/>
        </w:rPr>
        <w:t>(15)投标人履行本项目的详细生产地址</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lang w:val="zh-CN"/>
        </w:rPr>
        <w:t>※(16)投标人</w:t>
      </w:r>
      <w:r>
        <w:rPr>
          <w:rFonts w:hint="eastAsia" w:ascii="仿宋_GB2312" w:hAnsi="宋体" w:eastAsia="仿宋_GB2312" w:cs="Times New Roman"/>
          <w:kern w:val="0"/>
          <w:sz w:val="32"/>
          <w:szCs w:val="32"/>
        </w:rPr>
        <w:t>拟用于履行本项目所必需的设施设备（</w:t>
      </w:r>
      <w:r>
        <w:rPr>
          <w:rFonts w:hint="eastAsia" w:ascii="仿宋_GB2312" w:hAnsi="宋体" w:eastAsia="仿宋_GB2312" w:cs="Times New Roman"/>
          <w:snapToGrid w:val="0"/>
          <w:kern w:val="0"/>
          <w:sz w:val="32"/>
          <w:szCs w:val="32"/>
          <w:lang w:val="zh-CN"/>
        </w:rPr>
        <w:t>提供图片、说明和购置发票或租赁协议</w:t>
      </w:r>
      <w:r>
        <w:rPr>
          <w:rFonts w:hint="eastAsia" w:ascii="仿宋_GB2312" w:hAnsi="宋体" w:eastAsia="仿宋_GB2312" w:cs="Times New Roman"/>
          <w:kern w:val="0"/>
          <w:sz w:val="32"/>
          <w:szCs w:val="32"/>
        </w:rPr>
        <w:t>）、专业技术能力、专业技术人员（提供人员清单和学历、学位或职称证书）的证明材料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※(17)</w:t>
      </w:r>
      <w:r>
        <w:rPr>
          <w:rFonts w:hint="eastAsia" w:ascii="仿宋_GB2312" w:hAnsi="宋体" w:eastAsia="仿宋_GB2312" w:cs="Times New Roman"/>
          <w:kern w:val="0"/>
          <w:sz w:val="32"/>
          <w:szCs w:val="32"/>
        </w:rPr>
        <w:t>近3年没有发生过重大质量安全事故的书面声明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※(18)技术评审表（附件20）（采用综合评分法、性价比法评审时，须编制此表）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※(19)商务评审表（附件21）（采用综合评分法、性价比法评审时，须编制此表）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(20)投标人认为需要加以说明的其他内容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3.资格证明文件包括（除必须要求原件外，其他资料原件和复印件均可）：</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(1)营业执照副本</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(2)组织机构代码证副本</w:t>
      </w:r>
      <w:r>
        <w:rPr>
          <w:rFonts w:hint="eastAsia" w:ascii="仿宋_GB2312" w:eastAsia="仿宋_GB2312" w:hAnsiTheme="minorEastAsia"/>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(3)税务登记证副本</w:t>
      </w:r>
      <w:r>
        <w:rPr>
          <w:rFonts w:hint="eastAsia" w:ascii="仿宋_GB2312" w:eastAsia="仿宋_GB2312" w:hAnsiTheme="minorEastAsia"/>
          <w:sz w:val="32"/>
          <w:szCs w:val="32"/>
        </w:rPr>
        <w:t>（三证合一的不需提供）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※(4)生产许可证、特许经营许可证、质量管理体系认证证书、环境管理体系认证证书、职业健康管理体系认证证书、3C认证等相关行业资质证明材料（根据项目情况自定）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※(5)最近连续6个月缴纳社会保障金的银行转账汇款单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※(6)最近连续6个月纳税的银行转账汇款单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※(7)参加本次采购活动前3年内在经营活动中没有重大违法记录的书面声明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※(8)主要股东或出资人信息（附件15）</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※(9)良好的商业信誉和健全的财务会计制度证明材料（会计师事务所出具的近3年审计报告主要内容，至少包含资产负债表、利润表、资金流量表、所有者权益变动表及附注）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※(10)投标保证金保函（附件16）</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(11)法定代表人资格证明书（原件，附件17）</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(12)法定代表人授权书（原件，如法定代表人未到开标现场需提供，附件18）</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※(13)制造商提供的产品销售（项目）授权书（根据项目情况自定）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※(14)生产经营场所产权证明（或租赁协议，投标文件中提供复印件，原件携带到投标现场备查）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※(15)投标人基本情况表（附件19）</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(16)投标人认为需要加以说明的其他内容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投标人必须按上述统一格式及顺序向招标人提供《价格文件》《投标书》和《资格证明文件》，否则可能被视为无效投标。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（四）投标文件的格式规定和签署</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rPr>
        <w:t>投标文件必须工整、规范、统一、清晰，采用A4幅面纸胶装成册、标注页码。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2.</w:t>
      </w:r>
      <w:r>
        <w:rPr>
          <w:rFonts w:hint="eastAsia" w:ascii="仿宋_GB2312" w:hAnsi="宋体" w:eastAsia="仿宋_GB2312" w:cs="Times New Roman"/>
          <w:kern w:val="0"/>
          <w:sz w:val="32"/>
          <w:szCs w:val="32"/>
        </w:rPr>
        <w:t>投标人应当按照招标文件规定的统一格式填写投标文件，投标文件开始部分应当有目录，以及方便评审委员会评审使用的项目索引。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3.投标人名称应当填写全称，同时加盖单位公章。</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kern w:val="0"/>
          <w:sz w:val="32"/>
          <w:szCs w:val="32"/>
        </w:rPr>
        <w:t>4.价格文件、投标书、资格证明文件须单独封装。其中，价格文件一式3份，其中正本1份，副本2份；投标书一式</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份，其中正本1份，副本</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份；资格证明文件一式</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份，其中正本1份，副本</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份。在每一份文件上要注明“正本”或“副本”字样。如果正本与副本不符，以正本为准。</w:t>
      </w:r>
      <w:r>
        <w:rPr>
          <w:rFonts w:hint="eastAsia" w:ascii="仿宋_GB2312" w:hAnsi="宋体" w:eastAsia="仿宋_GB2312" w:cs="宋体"/>
          <w:snapToGrid w:val="0"/>
          <w:kern w:val="0"/>
          <w:sz w:val="32"/>
          <w:szCs w:val="32"/>
          <w:lang w:val="zh-CN"/>
        </w:rPr>
        <w:t>※投标书和资格证明文件需提供电子版文件。</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snapToGrid w:val="0"/>
          <w:kern w:val="0"/>
          <w:sz w:val="32"/>
          <w:szCs w:val="32"/>
        </w:rPr>
        <w:t>※</w:t>
      </w:r>
      <w:r>
        <w:rPr>
          <w:rFonts w:hint="eastAsia" w:ascii="仿宋_GB2312" w:hAnsi="宋体" w:eastAsia="仿宋_GB2312" w:cs="宋体"/>
          <w:snapToGrid w:val="0"/>
          <w:kern w:val="0"/>
          <w:sz w:val="32"/>
          <w:szCs w:val="32"/>
          <w:lang w:val="zh-CN"/>
        </w:rPr>
        <w:t>投标人应自带备份电子投标文件，以防损坏。电子投标文件提交要求：</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(1)电子投标文件必须采用光盘刻录；</w:t>
      </w:r>
    </w:p>
    <w:p>
      <w:pPr>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(2)光盘应加贴标签，注明“项目名称、项目编号、包号、投标人名称”，每包单独密封；</w:t>
      </w:r>
    </w:p>
    <w:p>
      <w:pPr>
        <w:tabs>
          <w:tab w:val="left" w:pos="-1418"/>
        </w:tabs>
        <w:autoSpaceDE w:val="0"/>
        <w:autoSpaceDN w:val="0"/>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宋体"/>
          <w:snapToGrid w:val="0"/>
          <w:kern w:val="0"/>
          <w:sz w:val="32"/>
          <w:szCs w:val="32"/>
          <w:lang w:val="zh-CN"/>
        </w:rPr>
        <w:t>(3)电子投标文件为纸质投标文件正本（价格文件除外）的PDF格式或DOC格式文档，目录与相应内容具有链接索引功能，文件名格式：“第X包—项目名称—投标人名称”。</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5.投标文件必须打印或用黑色、蓝黑色墨水填写。</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6.开标一览表必须按照规定的格式填写，不得自行增减内容。</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7.投标文件必须由法定代表人或授权代表签署。</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8.投标文件不得随意涂改和增删。如有修改错漏之处，必须由法定代表人或授权代表签字、盖章。</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w:t>
      </w:r>
      <w:r>
        <w:rPr>
          <w:rFonts w:hint="eastAsia" w:ascii="仿宋_GB2312" w:hAnsi="宋体" w:eastAsia="仿宋_GB2312" w:cs="Times New Roman"/>
          <w:kern w:val="0"/>
          <w:sz w:val="32"/>
          <w:szCs w:val="32"/>
          <w:lang w:val="zh-CN"/>
        </w:rPr>
        <w:t>因字迹潦草或表述不清以及复印件不清所引起的后果由投标人自行负责</w:t>
      </w:r>
      <w:r>
        <w:rPr>
          <w:rFonts w:hint="eastAsia" w:ascii="仿宋_GB2312" w:hAnsi="宋体" w:eastAsia="仿宋_GB2312" w:cs="Times New Roman"/>
          <w:kern w:val="0"/>
          <w:sz w:val="32"/>
          <w:szCs w:val="32"/>
        </w:rPr>
        <w:t>。</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（五）</w:t>
      </w:r>
      <w:r>
        <w:rPr>
          <w:rFonts w:hint="eastAsia" w:ascii="仿宋_GB2312" w:hAnsi="宋体" w:eastAsia="仿宋_GB2312" w:cs="Times New Roman"/>
          <w:snapToGrid w:val="0"/>
          <w:kern w:val="0"/>
          <w:sz w:val="32"/>
          <w:szCs w:val="32"/>
        </w:rPr>
        <w:t>投标文件有效期</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lang w:val="zh-CN"/>
        </w:rPr>
        <w:t>投标文件自投标截止时间起</w:t>
      </w:r>
      <w:r>
        <w:rPr>
          <w:rFonts w:hint="eastAsia" w:ascii="仿宋_GB2312" w:hAnsi="宋体" w:eastAsia="仿宋_GB2312" w:cs="宋体"/>
          <w:snapToGrid w:val="0"/>
          <w:kern w:val="0"/>
          <w:sz w:val="32"/>
          <w:szCs w:val="32"/>
          <w:lang w:val="zh-CN"/>
        </w:rPr>
        <w:t>180</w:t>
      </w:r>
      <w:r>
        <w:rPr>
          <w:rFonts w:hint="eastAsia" w:ascii="仿宋_GB2312" w:hAnsi="宋体" w:eastAsia="仿宋_GB2312" w:cs="Times New Roman"/>
          <w:kern w:val="0"/>
          <w:sz w:val="32"/>
          <w:szCs w:val="32"/>
          <w:lang w:val="zh-CN"/>
        </w:rPr>
        <w:t>日内保持有效。</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3.在招标过程中</w:t>
      </w:r>
      <w:r>
        <w:rPr>
          <w:rFonts w:hint="eastAsia" w:ascii="仿宋_GB2312" w:hAnsi="宋体" w:eastAsia="仿宋_GB2312" w:cs="Times New Roman"/>
          <w:kern w:val="0"/>
          <w:sz w:val="32"/>
          <w:szCs w:val="32"/>
        </w:rPr>
        <w:t>，投标人发生合并、分立、破产等重大变化时，应当及时书面告知招标人。</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（六）投标</w:t>
      </w:r>
      <w:r>
        <w:rPr>
          <w:rFonts w:hint="eastAsia" w:ascii="仿宋_GB2312" w:hAnsi="宋体" w:eastAsia="仿宋_GB2312" w:cs="Times New Roman"/>
          <w:snapToGrid w:val="0"/>
          <w:kern w:val="0"/>
          <w:sz w:val="32"/>
          <w:szCs w:val="32"/>
        </w:rPr>
        <w:t>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cs="Times New Roman"/>
          <w:kern w:val="0"/>
          <w:sz w:val="32"/>
          <w:szCs w:val="32"/>
          <w:lang w:val="zh-CN"/>
        </w:rPr>
        <w:t>所有报价均以人民币为货币单位</w:t>
      </w:r>
      <w:r>
        <w:rPr>
          <w:rFonts w:hint="eastAsia" w:ascii="仿宋_GB2312" w:hAnsi="宋体" w:eastAsia="仿宋_GB2312" w:cs="Times New Roman"/>
          <w:kern w:val="0"/>
          <w:sz w:val="32"/>
          <w:szCs w:val="32"/>
        </w:rPr>
        <w:t>。</w:t>
      </w:r>
    </w:p>
    <w:p>
      <w:pPr>
        <w:tabs>
          <w:tab w:val="left" w:pos="-1418"/>
        </w:tabs>
        <w:autoSpaceDE w:val="0"/>
        <w:autoSpaceDN w:val="0"/>
        <w:ind w:firstLine="622" w:firstLineChars="200"/>
        <w:rPr>
          <w:rFonts w:ascii="仿宋_GB2312" w:hAnsi="宋体" w:eastAsia="仿宋_GB2312" w:cs="宋体"/>
          <w:snapToGrid w:val="0"/>
          <w:kern w:val="0"/>
          <w:sz w:val="32"/>
          <w:szCs w:val="32"/>
          <w:lang w:val="zh-CN"/>
        </w:rPr>
      </w:pPr>
      <w:r>
        <w:rPr>
          <w:rFonts w:hint="eastAsia" w:ascii="仿宋_GB2312" w:hAnsi="宋体" w:eastAsia="仿宋_GB2312" w:cs="Times New Roman"/>
          <w:kern w:val="0"/>
          <w:sz w:val="32"/>
          <w:szCs w:val="32"/>
        </w:rPr>
        <w:t>2.</w:t>
      </w:r>
      <w:r>
        <w:rPr>
          <w:rFonts w:hint="eastAsia" w:ascii="仿宋_GB2312" w:hAnsi="宋体" w:eastAsia="仿宋_GB2312" w:cs="Times New Roman"/>
          <w:kern w:val="0"/>
          <w:sz w:val="32"/>
          <w:szCs w:val="32"/>
          <w:lang w:val="zh-CN"/>
        </w:rPr>
        <w:t>所有单价和总价按照开标一览表格式要求填报。</w:t>
      </w:r>
      <w:r>
        <w:rPr>
          <w:rFonts w:hint="eastAsia" w:ascii="仿宋_GB2312" w:hAnsi="宋体" w:eastAsia="仿宋_GB2312" w:cs="宋体"/>
          <w:snapToGrid w:val="0"/>
          <w:kern w:val="0"/>
          <w:sz w:val="32"/>
          <w:szCs w:val="32"/>
          <w:lang w:val="zh-CN"/>
        </w:rPr>
        <w:t>报价应包括货款、标准附件、备品备件、专用工具、包装、安装、调试、培训、保修等费用和税金。</w:t>
      </w:r>
    </w:p>
    <w:p>
      <w:pPr>
        <w:tabs>
          <w:tab w:val="left" w:pos="-1418"/>
        </w:tabs>
        <w:autoSpaceDE w:val="0"/>
        <w:autoSpaceDN w:val="0"/>
        <w:ind w:firstLine="622" w:firstLineChars="200"/>
        <w:rPr>
          <w:rFonts w:ascii="仿宋_GB2312" w:hAnsi="宋体" w:eastAsia="仿宋_GB2312" w:cs="Times New Roman"/>
          <w:kern w:val="0"/>
          <w:sz w:val="32"/>
          <w:szCs w:val="32"/>
          <w:lang w:val="zh-CN"/>
        </w:rPr>
      </w:pPr>
      <w:r>
        <w:rPr>
          <w:rFonts w:hint="eastAsia" w:ascii="仿宋_GB2312" w:hAnsi="宋体" w:eastAsia="仿宋_GB2312" w:cs="宋体"/>
          <w:snapToGrid w:val="0"/>
          <w:kern w:val="0"/>
          <w:sz w:val="32"/>
          <w:szCs w:val="32"/>
          <w:lang w:val="zh-CN"/>
        </w:rPr>
        <w:t>3.</w:t>
      </w:r>
      <w:r>
        <w:rPr>
          <w:rFonts w:hint="eastAsia" w:ascii="仿宋_GB2312" w:hAnsi="宋体" w:eastAsia="仿宋_GB2312" w:cs="Times New Roman"/>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lang w:val="zh-CN"/>
        </w:rPr>
        <w:t>4.投标人</w:t>
      </w:r>
      <w:r>
        <w:rPr>
          <w:rFonts w:hint="eastAsia" w:ascii="仿宋_GB2312" w:hAnsi="宋体" w:eastAsia="仿宋_GB2312" w:cs="Times New Roman"/>
          <w:kern w:val="0"/>
          <w:sz w:val="32"/>
          <w:szCs w:val="32"/>
        </w:rPr>
        <w:t>对同一种货物只允许有一种报价，招标人不接受任何有选择的报价或者有附加条件的报价。</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pPr>
        <w:tabs>
          <w:tab w:val="left" w:pos="-1418"/>
        </w:tabs>
        <w:autoSpaceDE w:val="0"/>
        <w:autoSpaceDN w:val="0"/>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rPr>
        <w:t>（七）</w:t>
      </w:r>
      <w:r>
        <w:rPr>
          <w:rFonts w:hint="eastAsia" w:ascii="仿宋_GB2312" w:hAnsi="宋体" w:eastAsia="仿宋_GB2312" w:cs="Times New Roman"/>
          <w:snapToGrid w:val="0"/>
          <w:kern w:val="0"/>
          <w:sz w:val="32"/>
          <w:szCs w:val="32"/>
        </w:rPr>
        <w:t>投标保证金</w:t>
      </w:r>
    </w:p>
    <w:p>
      <w:pPr>
        <w:tabs>
          <w:tab w:val="left" w:pos="-1418"/>
        </w:tabs>
        <w:autoSpaceDE w:val="0"/>
        <w:autoSpaceDN w:val="0"/>
        <w:ind w:firstLine="622" w:firstLineChars="200"/>
        <w:rPr>
          <w:rFonts w:ascii="仿宋_GB2312" w:hAnsi="宋体" w:eastAsia="仿宋_GB2312" w:cs="Times New Roman"/>
          <w:color w:val="FF0000"/>
          <w:kern w:val="0"/>
          <w:sz w:val="32"/>
          <w:szCs w:val="32"/>
        </w:rPr>
      </w:pPr>
      <w:r>
        <w:rPr>
          <w:rFonts w:ascii="仿宋_GB2312" w:hAnsi="宋体" w:eastAsia="仿宋_GB2312" w:cs="仿宋_GB2312"/>
          <w:snapToGrid w:val="0"/>
          <w:color w:val="FF0000"/>
          <w:kern w:val="0"/>
          <w:sz w:val="32"/>
          <w:szCs w:val="32"/>
        </w:rPr>
        <w:t>1.</w:t>
      </w:r>
      <w:r>
        <w:rPr>
          <w:rFonts w:hint="eastAsia" w:ascii="仿宋_GB2312" w:hAnsi="宋体" w:eastAsia="仿宋_GB2312" w:cs="仿宋_GB2312"/>
          <w:color w:val="FF0000"/>
          <w:kern w:val="0"/>
          <w:sz w:val="32"/>
          <w:szCs w:val="32"/>
          <w:lang w:val="zh-CN"/>
        </w:rPr>
        <w:t>报价方应当在报价截止时间前向采购机构交纳</w:t>
      </w:r>
      <w:r>
        <w:rPr>
          <w:rFonts w:hint="eastAsia" w:ascii="仿宋_GB2312" w:hAnsi="宋体" w:eastAsia="仿宋_GB2312" w:cs="仿宋_GB2312"/>
          <w:color w:val="FF0000"/>
          <w:kern w:val="0"/>
          <w:sz w:val="32"/>
          <w:szCs w:val="32"/>
        </w:rPr>
        <w:t>1万</w:t>
      </w:r>
      <w:r>
        <w:rPr>
          <w:rFonts w:hint="eastAsia" w:ascii="仿宋_GB2312" w:hAnsi="宋体" w:eastAsia="仿宋_GB2312" w:cs="仿宋_GB2312"/>
          <w:color w:val="FF0000"/>
          <w:kern w:val="0"/>
          <w:sz w:val="32"/>
          <w:szCs w:val="32"/>
          <w:lang w:val="zh-CN"/>
        </w:rPr>
        <w:t>元报价保证金</w:t>
      </w:r>
      <w:r>
        <w:rPr>
          <w:rFonts w:hint="eastAsia" w:ascii="仿宋_GB2312" w:hAnsi="宋体" w:eastAsia="仿宋_GB2312" w:cs="仿宋_GB2312"/>
          <w:color w:val="FF0000"/>
          <w:kern w:val="0"/>
          <w:sz w:val="32"/>
          <w:szCs w:val="32"/>
        </w:rPr>
        <w:t>。</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2.</w:t>
      </w:r>
      <w:r>
        <w:rPr>
          <w:rFonts w:hint="eastAsia" w:ascii="仿宋_GB2312" w:hAnsi="宋体" w:eastAsia="仿宋_GB2312" w:cs="仿宋_GB2312"/>
          <w:color w:val="FF0000"/>
          <w:kern w:val="0"/>
          <w:sz w:val="32"/>
          <w:szCs w:val="32"/>
          <w:lang w:val="zh-CN"/>
        </w:rPr>
        <w:t>投标保证金作为供应商投标的组成部分，与投标文件一同递交。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ascii="仿宋_GB2312" w:hAnsi="宋体" w:eastAsia="仿宋_GB2312" w:cs="仿宋_GB2312"/>
          <w:color w:val="FF0000"/>
          <w:kern w:val="0"/>
          <w:sz w:val="32"/>
          <w:szCs w:val="32"/>
          <w:lang w:val="zh-CN"/>
        </w:rPr>
        <w:t>3.</w:t>
      </w:r>
      <w:r>
        <w:rPr>
          <w:rFonts w:hint="eastAsia" w:ascii="仿宋_GB2312" w:hAnsi="宋体" w:eastAsia="仿宋_GB2312" w:cs="仿宋_GB2312"/>
          <w:color w:val="FF0000"/>
          <w:kern w:val="0"/>
          <w:sz w:val="32"/>
          <w:szCs w:val="32"/>
          <w:lang w:val="zh-CN"/>
        </w:rPr>
        <w:t>投标保证金应当以支票、汇票、本票或者金融机构、担保机构出具的保函等非现金形式提交：</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收款单位名称：广州宝诚招标代理咨询有限公司</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开户银行：广发银行广州龙洞支行</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投标保证金账号：</w:t>
      </w:r>
      <w:r>
        <w:rPr>
          <w:rFonts w:ascii="仿宋_GB2312" w:hAnsi="宋体" w:eastAsia="仿宋_GB2312" w:cs="仿宋_GB2312"/>
          <w:color w:val="FF0000"/>
          <w:kern w:val="0"/>
          <w:sz w:val="32"/>
          <w:szCs w:val="32"/>
          <w:lang w:val="zh-CN"/>
        </w:rPr>
        <w:t>9550 8802 0090 0000 188</w:t>
      </w:r>
    </w:p>
    <w:p>
      <w:pPr>
        <w:tabs>
          <w:tab w:val="left" w:pos="-1418"/>
        </w:tabs>
        <w:autoSpaceDE w:val="0"/>
        <w:autoSpaceDN w:val="0"/>
        <w:ind w:firstLine="622" w:firstLineChars="200"/>
        <w:rPr>
          <w:rFonts w:ascii="仿宋_GB2312" w:hAnsi="宋体" w:eastAsia="仿宋_GB2312" w:cs="仿宋_GB2312"/>
          <w:color w:val="FF0000"/>
          <w:kern w:val="0"/>
          <w:sz w:val="32"/>
          <w:szCs w:val="32"/>
          <w:lang w:val="zh-CN"/>
        </w:rPr>
      </w:pPr>
      <w:r>
        <w:rPr>
          <w:rFonts w:hint="eastAsia" w:ascii="仿宋_GB2312" w:hAnsi="宋体" w:eastAsia="仿宋_GB2312" w:cs="仿宋_GB2312"/>
          <w:color w:val="FF0000"/>
          <w:kern w:val="0"/>
          <w:sz w:val="32"/>
          <w:szCs w:val="32"/>
          <w:lang w:val="zh-CN"/>
        </w:rPr>
        <w:t>传真号码：</w:t>
      </w:r>
      <w:r>
        <w:rPr>
          <w:rFonts w:ascii="仿宋_GB2312" w:hAnsi="宋体" w:eastAsia="仿宋_GB2312" w:cs="仿宋_GB2312"/>
          <w:color w:val="FF0000"/>
          <w:kern w:val="0"/>
          <w:sz w:val="32"/>
          <w:szCs w:val="32"/>
          <w:lang w:val="zh-CN"/>
        </w:rPr>
        <w:t>020-37887429</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注：投标人请在缴款凭证</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备注</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栏写明</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GZBC19FG1100</w:t>
      </w:r>
      <w:r>
        <w:rPr>
          <w:rFonts w:hint="eastAsia" w:ascii="仿宋_GB2312" w:hAnsi="宋体" w:eastAsia="仿宋_GB2312" w:cs="仿宋_GB2312"/>
          <w:color w:val="FF0000"/>
          <w:kern w:val="0"/>
          <w:sz w:val="32"/>
          <w:szCs w:val="32"/>
        </w:rPr>
        <w:t>5</w:t>
      </w:r>
      <w:r>
        <w:rPr>
          <w:rFonts w:ascii="仿宋_GB2312" w:hAnsi="宋体" w:eastAsia="仿宋_GB2312" w:cs="仿宋_GB2312"/>
          <w:color w:val="FF0000"/>
          <w:kern w:val="0"/>
          <w:sz w:val="32"/>
          <w:szCs w:val="32"/>
          <w:lang w:val="zh-CN"/>
        </w:rPr>
        <w:t>"</w:t>
      </w:r>
      <w:r>
        <w:rPr>
          <w:rFonts w:hint="eastAsia" w:ascii="仿宋_GB2312" w:hAnsi="宋体" w:eastAsia="仿宋_GB2312" w:cs="仿宋_GB2312"/>
          <w:color w:val="FF0000"/>
          <w:kern w:val="0"/>
          <w:sz w:val="32"/>
          <w:szCs w:val="32"/>
          <w:lang w:val="zh-CN"/>
        </w:rPr>
        <w:t>，以便查询。</w:t>
      </w:r>
    </w:p>
    <w:p>
      <w:pPr>
        <w:tabs>
          <w:tab w:val="left" w:pos="-1418"/>
        </w:tabs>
        <w:autoSpaceDE w:val="0"/>
        <w:autoSpaceDN w:val="0"/>
        <w:ind w:firstLine="622" w:firstLineChars="200"/>
        <w:rPr>
          <w:rFonts w:ascii="仿宋_GB2312" w:hAnsi="宋体" w:eastAsia="仿宋_GB2312" w:cs="Times New Roman"/>
          <w:color w:val="FF0000"/>
          <w:kern w:val="0"/>
          <w:sz w:val="32"/>
          <w:szCs w:val="32"/>
          <w:lang w:val="zh-CN"/>
        </w:rPr>
      </w:pPr>
      <w:r>
        <w:rPr>
          <w:rFonts w:hint="eastAsia" w:ascii="仿宋_GB2312" w:hAnsi="宋体" w:eastAsia="仿宋_GB2312" w:cs="仿宋_GB2312"/>
          <w:color w:val="FF0000"/>
          <w:kern w:val="0"/>
          <w:sz w:val="32"/>
          <w:szCs w:val="32"/>
          <w:lang w:val="zh-CN"/>
        </w:rPr>
        <w:t>如投标人未按上述规定提交投标保证金，其投标文件将被拒绝。</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3.中标人的投标保证金，在签订正式合同后5个工作日内全额无息退还。未中标投标人的投标保证金，将在招标人发出未中标通知书后5个工作日内全额无息退还。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4.有下列情况之一的，投标保证金将不予退还：</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(1)开标后投标人在投标有效期内撤回其投标文件的；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(2)投标人干扰开标、评标活动，造成严重影响和后果的；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(3)虚假投标、串通投标的；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(4)中标人无正当理由放弃中标的；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(5)中标人不按招标文件规定签订合同的；</w:t>
      </w:r>
    </w:p>
    <w:p>
      <w:pPr>
        <w:tabs>
          <w:tab w:val="left" w:pos="-1418"/>
        </w:tabs>
        <w:autoSpaceDE w:val="0"/>
        <w:autoSpaceDN w:val="0"/>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(6)其他违反国家和军队法律法规行为的。</w:t>
      </w:r>
    </w:p>
    <w:p>
      <w:pPr>
        <w:tabs>
          <w:tab w:val="left" w:pos="-1418"/>
        </w:tabs>
        <w:autoSpaceDE w:val="0"/>
        <w:autoSpaceDN w:val="0"/>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四、投标</w:t>
      </w:r>
      <w:r>
        <w:rPr>
          <w:rFonts w:ascii="Times New Roman" w:hAnsi="Times New Roman" w:eastAsia="黑体" w:cs="Times New Roman"/>
          <w:kern w:val="0"/>
          <w:sz w:val="32"/>
          <w:szCs w:val="32"/>
        </w:rPr>
        <w:t>文件递交</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（一）投标文件密封及标记</w:t>
      </w:r>
    </w:p>
    <w:p>
      <w:pPr>
        <w:ind w:firstLine="622" w:firstLineChars="200"/>
        <w:rPr>
          <w:rFonts w:ascii="仿宋_GB2312" w:hAnsi="宋体" w:eastAsia="仿宋_GB2312"/>
          <w:sz w:val="32"/>
          <w:szCs w:val="32"/>
        </w:rPr>
      </w:pPr>
      <w:r>
        <w:rPr>
          <w:rFonts w:hint="eastAsia" w:ascii="仿宋_GB2312" w:hAnsi="宋体" w:eastAsia="仿宋_GB2312" w:cs="Times New Roman"/>
          <w:snapToGrid w:val="0"/>
          <w:kern w:val="0"/>
          <w:sz w:val="32"/>
          <w:szCs w:val="32"/>
        </w:rPr>
        <w:t>1.</w:t>
      </w:r>
      <w:r>
        <w:rPr>
          <w:rFonts w:hint="eastAsia" w:ascii="仿宋_GB2312" w:hAnsi="宋体" w:eastAsia="仿宋_GB2312"/>
          <w:sz w:val="32"/>
          <w:szCs w:val="32"/>
        </w:rPr>
        <w:t>价格文件须单独密封、单独递交，与其他文件合并封装的，视为无效投标。</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2.投标书、资格证明文件的正本和副本统一装入密封袋内，封口处应当有投标人单位公章，封面上注明“项目名称、项目编号、所投包号、投标人名称”和“开标时启封”字样。</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3.投标人应当在招标文件明确的递交投标文件截止时间前，将投标文件送达招标人指定地点。逾期递交的投标文件，招标人将拒收。</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4.电报、电话、电传、邮寄等形式的投标文件概不接受。</w:t>
      </w:r>
    </w:p>
    <w:p>
      <w:pPr>
        <w:ind w:firstLine="622" w:firstLineChars="200"/>
        <w:rPr>
          <w:rFonts w:ascii="仿宋_GB2312" w:hAnsi="宋体" w:eastAsia="仿宋_GB2312" w:cs="Times New Roman"/>
          <w:bCs/>
          <w:kern w:val="0"/>
          <w:sz w:val="32"/>
          <w:szCs w:val="32"/>
        </w:rPr>
      </w:pPr>
      <w:r>
        <w:rPr>
          <w:rFonts w:hint="eastAsia" w:ascii="仿宋_GB2312" w:hAnsi="宋体" w:eastAsia="仿宋_GB2312" w:cs="Times New Roman"/>
          <w:bCs/>
          <w:kern w:val="0"/>
          <w:sz w:val="32"/>
          <w:szCs w:val="32"/>
        </w:rPr>
        <w:t>5.投标文件未按要求密封、标记的，招标人将拒收。</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kern w:val="0"/>
          <w:sz w:val="32"/>
          <w:szCs w:val="32"/>
          <w:lang w:val="zh-CN"/>
        </w:rPr>
        <w:t>（二）</w:t>
      </w:r>
      <w:r>
        <w:rPr>
          <w:rFonts w:hint="eastAsia" w:ascii="仿宋_GB2312" w:hAnsi="宋体" w:eastAsia="仿宋_GB2312" w:cs="Times New Roman"/>
          <w:snapToGrid w:val="0"/>
          <w:kern w:val="0"/>
          <w:sz w:val="32"/>
          <w:szCs w:val="32"/>
        </w:rPr>
        <w:t>投标文件的修改和撤回</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2.在投标截止时间之后，招标人将不接受对投标文件内容的实质性修改。</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3.投标人修改投标文件的书面材料，须密封送达投标地点，并在封面上标明“投标修改文件、项目名称、项目编号、投标人名称”和“开标时启封”字样。</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ind w:firstLine="622" w:firstLineChars="200"/>
        <w:rPr>
          <w:rFonts w:ascii="仿宋_GB2312" w:hAnsi="宋体" w:eastAsia="仿宋_GB2312" w:cs="Times New Roman"/>
          <w:kern w:val="0"/>
          <w:sz w:val="32"/>
          <w:szCs w:val="32"/>
          <w:lang w:val="zh-CN"/>
        </w:rPr>
      </w:pPr>
      <w:r>
        <w:rPr>
          <w:rFonts w:hint="eastAsia" w:ascii="仿宋_GB2312" w:hAnsi="宋体" w:eastAsia="仿宋_GB2312" w:cs="Times New Roman"/>
          <w:kern w:val="0"/>
          <w:sz w:val="32"/>
          <w:szCs w:val="32"/>
          <w:lang w:val="zh-CN"/>
        </w:rPr>
        <w:t>5.开标后，投标人不得撤回投标，否则投标保证金不予退还。</w:t>
      </w:r>
    </w:p>
    <w:p>
      <w:pPr>
        <w:jc w:val="center"/>
        <w:rPr>
          <w:rFonts w:ascii="Times New Roman" w:hAnsi="Times New Roman" w:eastAsia="黑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五、开标与评标</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（一）开标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1.投标人不足3家的不得开标。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2.招标人按招标文件规定的时间、地点开标。开标大会由招标人主持，投标人和有关方面代表参加。评标委员会成员不得参加开标大会。</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3.开标时，由招标人委托的公证机构或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4.投标人对开标有异议的，应当在开标现场提出，招标人应当场作出答复。招标人同时做开标记录。</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（二）评标</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1.评标委员会</w:t>
      </w:r>
    </w:p>
    <w:p>
      <w:pPr>
        <w:ind w:firstLine="622" w:firstLineChars="200"/>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招标人根据规定组建评标委员会，其成员由技术、经济等方面的专家和招标人代表组成，分为技术评审组和商务评审组，对投标文件进行评审。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2.评标原则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(1)评标工作严格遵守公平、公正、择优的原则；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(2)对所有响应招标文件实质性要求的投标人一视同仁；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(3)综合比较货物性能、质量、价格、交货期、售后服务等因素，确定评审排序结果；</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(4)报价最低不作为中标的保证。</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3.评标方法（以下4种方法任选其一）</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最低价法。技术和商务评审合格（依据表2至表5）的投标报价视为有效报价，按照投标报价由低到高顺序排列，报价相同的，按照技术指标优劣顺序排列，以提出最低报价的投标人作为预中标人。评标委员会认定为低价恶意竞争的视为无效报价。</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基准价法。技术和商务评审合格（依据表2至表5，商务评审不含价格因素）的投标报价，排除高于全体有效投标报价平均值40%以上报价后，其余报价为有效报价，有效报价的算术平均数作为基准价，以基准价向下浮动</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3%至5%）作为中标参考价。报价位于基准价与中标参考价之间，且最接近中标参考价的投标人作为第一预中标人；在基准价与中标参考价之间没有投标人报价时，以低于且最接近中标参考价的投标人作为第一预中标人。第一预中标人确定后，高于且最接近第一预中标人报价的投标人作为第二预中标人，高于且最接近第二预中标人报价的为第三预中标人，其余依次类推。</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综合评分法。技术和商务评审（依据表2至表5）总得分由高到低顺序排列，得分最高的投标人作为预中标人；得分相同的，按照投标报价由低到高顺序排列；得分且投标报价相同的，按照技术评审得分由高到低顺序排列。</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ind w:firstLine="622" w:firstLineChars="200"/>
        <w:rPr>
          <w:rFonts w:ascii="仿宋_GB2312" w:hAnsi="宋体" w:eastAsia="仿宋_GB2312" w:cs="Times New Roman"/>
          <w:sz w:val="32"/>
          <w:szCs w:val="32"/>
        </w:rPr>
      </w:pPr>
      <w:r>
        <w:rPr>
          <w:rFonts w:hint="eastAsia" w:ascii="仿宋_GB2312" w:hAnsi="宋体" w:eastAsia="仿宋_GB2312" w:cs="Times New Roman"/>
          <w:sz w:val="32"/>
          <w:szCs w:val="32"/>
        </w:rPr>
        <w:t>※性价比法。技术和商务评审（依据表2至表5，商务评审不含价格因素）的汇总得分，除以该投标人的报价，按商数得分由高到低顺序排列，以商数最高的投标人为预中标人；商数得分相同的，按投标报价由低到高顺序排列；商数得分且投标报价相同的，按技术指标优劣顺序排列。</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sz w:val="32"/>
          <w:szCs w:val="32"/>
        </w:rPr>
        <w:t>采用性价比法评审，投标人的技术得分低于全体有效投标人的技术得分平均值30%以上的，取消其中标资格。</w:t>
      </w:r>
    </w:p>
    <w:p>
      <w:pPr>
        <w:ind w:firstLine="542" w:firstLineChars="200"/>
        <w:rPr>
          <w:rFonts w:ascii="宋体" w:hAnsi="宋体" w:eastAsia="宋体" w:cs="Times New Roman"/>
          <w:kern w:val="0"/>
          <w:sz w:val="28"/>
          <w:szCs w:val="28"/>
        </w:rPr>
      </w:pPr>
    </w:p>
    <w:p>
      <w:pPr>
        <w:rPr>
          <w:rFonts w:ascii="黑体" w:hAnsi="黑体" w:eastAsia="黑体" w:cs="Times New Roman"/>
          <w:kern w:val="0"/>
          <w:sz w:val="32"/>
          <w:szCs w:val="32"/>
        </w:rPr>
      </w:pPr>
      <w:r>
        <w:rPr>
          <w:rFonts w:ascii="Times New Roman" w:hAnsi="Times New Roman" w:eastAsia="宋体" w:cs="Times New Roman"/>
          <w:color w:val="3366FF"/>
          <w:kern w:val="0"/>
          <w:sz w:val="28"/>
          <w:szCs w:val="28"/>
        </w:rPr>
        <w:br w:type="page"/>
      </w:r>
      <w:r>
        <w:rPr>
          <w:rFonts w:hint="eastAsia" w:ascii="黑体" w:hAnsi="黑体" w:eastAsia="黑体" w:cs="Times New Roman"/>
          <w:kern w:val="0"/>
          <w:sz w:val="32"/>
          <w:szCs w:val="32"/>
        </w:rPr>
        <w:t>表1</w:t>
      </w: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ascii="Times New Roman" w:hAnsi="Times New Roman" w:eastAsia="宋体" w:cs="Times New Roman"/>
          <w:kern w:val="0"/>
          <w:sz w:val="24"/>
          <w:szCs w:val="24"/>
        </w:rPr>
        <w:t xml:space="preserve">                   项目编号：</w:t>
      </w:r>
      <w:r>
        <w:rPr>
          <w:rFonts w:hint="eastAsia" w:ascii="Times New Roman" w:hAnsi="Times New Roman" w:cs="Times New Roman"/>
          <w:kern w:val="0"/>
          <w:sz w:val="24"/>
          <w:szCs w:val="24"/>
        </w:rPr>
        <w:t>GZBC19FG11005</w:t>
      </w:r>
      <w:r>
        <w:rPr>
          <w:rFonts w:ascii="Times New Roman" w:hAnsi="Times New Roman" w:eastAsia="宋体" w:cs="Times New Roman"/>
          <w:kern w:val="0"/>
          <w:sz w:val="24"/>
          <w:szCs w:val="24"/>
        </w:rPr>
        <w:t xml:space="preserve">                         包号：</w:t>
      </w:r>
    </w:p>
    <w:tbl>
      <w:tblPr>
        <w:tblStyle w:val="16"/>
        <w:tblW w:w="5000" w:type="pct"/>
        <w:jc w:val="center"/>
        <w:tblLayout w:type="fixed"/>
        <w:tblCellMar>
          <w:top w:w="0" w:type="dxa"/>
          <w:left w:w="108" w:type="dxa"/>
          <w:bottom w:w="0" w:type="dxa"/>
          <w:right w:w="108" w:type="dxa"/>
        </w:tblCellMar>
      </w:tblPr>
      <w:tblGrid>
        <w:gridCol w:w="5853"/>
        <w:gridCol w:w="1069"/>
        <w:gridCol w:w="1069"/>
        <w:gridCol w:w="1069"/>
      </w:tblGrid>
      <w:tr>
        <w:tblPrEx>
          <w:tblCellMar>
            <w:top w:w="0" w:type="dxa"/>
            <w:left w:w="108" w:type="dxa"/>
            <w:bottom w:w="0" w:type="dxa"/>
            <w:right w:w="108" w:type="dxa"/>
          </w:tblCellMar>
        </w:tblPrEx>
        <w:trPr>
          <w:trHeight w:val="454" w:hRule="exact"/>
          <w:jc w:val="center"/>
        </w:trPr>
        <w:tc>
          <w:tcPr>
            <w:tcW w:w="58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审查项目</w:t>
            </w:r>
          </w:p>
        </w:tc>
        <w:tc>
          <w:tcPr>
            <w:tcW w:w="2138"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是否合格</w:t>
            </w:r>
          </w:p>
        </w:tc>
        <w:tc>
          <w:tcPr>
            <w:tcW w:w="1069" w:type="dxa"/>
            <w:vMerge w:val="restart"/>
            <w:tcBorders>
              <w:top w:val="single" w:color="auto" w:sz="4" w:space="0"/>
              <w:left w:val="nil"/>
              <w:right w:val="single" w:color="auto" w:sz="4" w:space="0"/>
            </w:tcBorders>
            <w:noWrap/>
            <w:vAlign w:val="center"/>
          </w:tcPr>
          <w:p>
            <w:pPr>
              <w:spacing w:line="240" w:lineRule="exact"/>
              <w:jc w:val="center"/>
              <w:rPr>
                <w:rFonts w:ascii="黑体" w:hAnsi="黑体" w:eastAsia="黑体" w:cs="宋体"/>
                <w:kern w:val="0"/>
                <w:szCs w:val="21"/>
              </w:rPr>
            </w:pPr>
            <w:r>
              <w:rPr>
                <w:rFonts w:hint="eastAsia" w:ascii="黑体" w:hAnsi="黑体" w:eastAsia="黑体" w:cs="宋体"/>
                <w:kern w:val="0"/>
                <w:szCs w:val="21"/>
              </w:rPr>
              <w:t>说明</w:t>
            </w:r>
          </w:p>
        </w:tc>
      </w:tr>
      <w:tr>
        <w:tblPrEx>
          <w:tblCellMar>
            <w:top w:w="0" w:type="dxa"/>
            <w:left w:w="108" w:type="dxa"/>
            <w:bottom w:w="0" w:type="dxa"/>
            <w:right w:w="108" w:type="dxa"/>
          </w:tblCellMar>
        </w:tblPrEx>
        <w:trPr>
          <w:trHeight w:val="454" w:hRule="exact"/>
          <w:jc w:val="center"/>
        </w:trPr>
        <w:tc>
          <w:tcPr>
            <w:tcW w:w="5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宋体" w:eastAsia="黑体" w:cs="宋体"/>
                <w:kern w:val="0"/>
                <w:szCs w:val="21"/>
              </w:rPr>
            </w:pP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投标人1</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w:t>
            </w:r>
          </w:p>
        </w:tc>
        <w:tc>
          <w:tcPr>
            <w:tcW w:w="1069" w:type="dxa"/>
            <w:vMerge w:val="continue"/>
            <w:tcBorders>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宋体"/>
                <w:bCs/>
                <w:kern w:val="0"/>
                <w:szCs w:val="21"/>
              </w:rPr>
            </w:pPr>
            <w:r>
              <w:rPr>
                <w:rFonts w:hint="eastAsia" w:ascii="黑体" w:hAnsi="宋体" w:eastAsia="黑体" w:cs="宋体"/>
                <w:bCs/>
                <w:kern w:val="0"/>
                <w:szCs w:val="21"/>
              </w:rPr>
              <w:t>一、资格性审查内容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68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1.工商营业执照、组织机构代码证、税务登记证、纳税资料、缴纳社保资料、审计报告、</w:t>
            </w:r>
            <w:r>
              <w:rPr>
                <w:rFonts w:hint="eastAsia" w:ascii="宋体" w:hAnsi="宋体" w:eastAsia="宋体" w:cs="Times New Roman"/>
                <w:snapToGrid w:val="0"/>
                <w:kern w:val="0"/>
                <w:szCs w:val="21"/>
              </w:rPr>
              <w:t>※股东及出资人信息</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2.法定代表人资格证明书和授权书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宋体"/>
                <w:kern w:val="0"/>
                <w:szCs w:val="21"/>
              </w:rPr>
              <w:t>3.投标人非外资企业或外资控股企业的书面声明、3年内在经营活动中没有重大违法记录的书面声明、</w:t>
            </w:r>
            <w:r>
              <w:rPr>
                <w:rFonts w:hint="eastAsia" w:ascii="宋体" w:hAnsi="宋体" w:eastAsia="宋体" w:cs="Times New Roman"/>
                <w:snapToGrid w:val="0"/>
                <w:kern w:val="0"/>
                <w:szCs w:val="21"/>
              </w:rPr>
              <w:t>※近3年没有发生过重大质量安全事故书面声明</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4.投标人经营范围（或货物销售授权书）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※5.质量管理体系认证证书、环保体系认证证书</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680"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Times New Roman"/>
                <w:snapToGrid w:val="0"/>
                <w:kern w:val="0"/>
                <w:szCs w:val="21"/>
              </w:rPr>
            </w:pPr>
            <w:r>
              <w:rPr>
                <w:rFonts w:hint="eastAsia" w:ascii="宋体" w:hAnsi="宋体" w:eastAsia="宋体" w:cs="Times New Roman"/>
                <w:snapToGrid w:val="0"/>
                <w:kern w:val="0"/>
                <w:szCs w:val="21"/>
              </w:rPr>
              <w:t>※6.国家强制要求的资质证书（生产许可证、经营许可证、3C等强制认证证书等）</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宋体" w:hAnsi="宋体" w:eastAsia="宋体" w:cs="宋体"/>
                <w:kern w:val="0"/>
                <w:szCs w:val="21"/>
              </w:rPr>
            </w:pPr>
            <w:r>
              <w:rPr>
                <w:rFonts w:hint="eastAsia" w:ascii="宋体" w:hAnsi="宋体" w:eastAsia="宋体" w:cs="宋体"/>
                <w:kern w:val="0"/>
                <w:szCs w:val="21"/>
              </w:rPr>
              <w:t>7.其他内容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rPr>
                <w:rFonts w:ascii="黑体" w:hAnsi="宋体" w:eastAsia="黑体" w:cs="宋体"/>
                <w:bCs/>
                <w:kern w:val="0"/>
                <w:szCs w:val="21"/>
              </w:rPr>
            </w:pPr>
            <w:r>
              <w:rPr>
                <w:rFonts w:hint="eastAsia" w:ascii="黑体" w:hAnsi="宋体" w:eastAsia="黑体" w:cs="宋体"/>
                <w:bCs/>
                <w:kern w:val="0"/>
                <w:szCs w:val="21"/>
              </w:rPr>
              <w:t>二、符合性审查内容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1.投标书、资格证明文件密封完好</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2.投标文件签署、盖章齐全完整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3.投标文件组成齐全完整</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4.投标文件有效期满足招标文件要求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5.投标保证金满足招标文件要求</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spacing w:line="240" w:lineRule="exact"/>
              <w:rPr>
                <w:rFonts w:ascii="宋体" w:hAnsi="宋体" w:eastAsia="宋体"/>
                <w:szCs w:val="21"/>
              </w:rPr>
            </w:pPr>
            <w:r>
              <w:rPr>
                <w:rFonts w:hint="eastAsia" w:ascii="宋体" w:hAnsi="宋体" w:eastAsia="宋体"/>
                <w:szCs w:val="21"/>
              </w:rPr>
              <w:t>6.其他内容</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454" w:hRule="exact"/>
          <w:jc w:val="center"/>
        </w:trPr>
        <w:tc>
          <w:tcPr>
            <w:tcW w:w="585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宋体" w:eastAsia="黑体" w:cs="宋体"/>
                <w:kern w:val="0"/>
                <w:szCs w:val="21"/>
              </w:rPr>
            </w:pPr>
            <w:r>
              <w:rPr>
                <w:rFonts w:hint="eastAsia" w:ascii="黑体" w:hAnsi="宋体" w:eastAsia="黑体" w:cs="宋体"/>
                <w:kern w:val="0"/>
                <w:szCs w:val="21"/>
              </w:rPr>
              <w:t>综合评定</w:t>
            </w:r>
          </w:p>
        </w:tc>
        <w:tc>
          <w:tcPr>
            <w:tcW w:w="1069"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c>
          <w:tcPr>
            <w:tcW w:w="1069"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1134" w:hRule="exact"/>
          <w:jc w:val="center"/>
        </w:trPr>
        <w:tc>
          <w:tcPr>
            <w:tcW w:w="9060"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left"/>
              <w:rPr>
                <w:rFonts w:ascii="宋体" w:hAnsi="宋体" w:eastAsia="宋体" w:cs="宋体"/>
                <w:kern w:val="0"/>
                <w:szCs w:val="21"/>
              </w:rPr>
            </w:pPr>
            <w:r>
              <w:rPr>
                <w:rFonts w:hint="eastAsia" w:ascii="宋体" w:hAnsi="宋体" w:eastAsia="宋体" w:cs="宋体"/>
                <w:kern w:val="0"/>
                <w:szCs w:val="21"/>
              </w:rPr>
              <w:t>说明：1.合格打“√”, 不合格打“×”。</w:t>
            </w:r>
          </w:p>
          <w:p>
            <w:pPr>
              <w:widowControl/>
              <w:spacing w:line="240" w:lineRule="exact"/>
              <w:ind w:firstLine="603" w:firstLineChars="300"/>
              <w:jc w:val="left"/>
              <w:rPr>
                <w:rFonts w:ascii="宋体" w:hAnsi="宋体" w:eastAsia="宋体" w:cs="宋体"/>
                <w:kern w:val="0"/>
                <w:szCs w:val="21"/>
              </w:rPr>
            </w:pPr>
            <w:r>
              <w:rPr>
                <w:rFonts w:hint="eastAsia" w:ascii="宋体" w:hAnsi="宋体" w:eastAsia="宋体" w:cs="宋体"/>
                <w:kern w:val="0"/>
                <w:szCs w:val="21"/>
              </w:rPr>
              <w:t>2.有一项内容不合格，综合评定为不合格。</w:t>
            </w:r>
          </w:p>
          <w:p>
            <w:pPr>
              <w:widowControl/>
              <w:spacing w:line="240" w:lineRule="exact"/>
              <w:ind w:firstLine="603" w:firstLineChars="300"/>
              <w:jc w:val="left"/>
              <w:rPr>
                <w:rFonts w:ascii="宋体" w:hAnsi="宋体" w:eastAsia="宋体" w:cs="宋体"/>
                <w:kern w:val="0"/>
                <w:szCs w:val="21"/>
              </w:rPr>
            </w:pPr>
            <w:r>
              <w:rPr>
                <w:rFonts w:hint="eastAsia" w:ascii="宋体" w:hAnsi="宋体" w:eastAsia="宋体" w:cs="宋体"/>
                <w:kern w:val="0"/>
                <w:szCs w:val="21"/>
              </w:rPr>
              <w:t>3.采购机构应当结合采购项目实际情况，适当增减调整审查内容。</w:t>
            </w: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评标委员会</w:t>
      </w:r>
      <w:r>
        <w:rPr>
          <w:rFonts w:ascii="Times New Roman" w:hAnsi="Times New Roman" w:eastAsia="宋体" w:cs="Times New Roman"/>
          <w:kern w:val="0"/>
          <w:sz w:val="24"/>
          <w:szCs w:val="24"/>
        </w:rPr>
        <w:t xml:space="preserve">成员签名：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日</w:t>
      </w:r>
    </w:p>
    <w:p>
      <w:pPr>
        <w:rPr>
          <w:rFonts w:ascii="黑体" w:hAnsi="黑体" w:eastAsia="黑体" w:cs="Times New Roman"/>
          <w:kern w:val="0"/>
          <w:sz w:val="32"/>
          <w:szCs w:val="32"/>
        </w:rPr>
      </w:pPr>
      <w:r>
        <w:rPr>
          <w:rFonts w:hint="eastAsia" w:ascii="黑体" w:hAnsi="黑体" w:eastAsia="黑体" w:cs="Times New Roman"/>
          <w:kern w:val="0"/>
          <w:sz w:val="32"/>
          <w:szCs w:val="32"/>
        </w:rPr>
        <w:t>表2</w:t>
      </w:r>
    </w:p>
    <w:tbl>
      <w:tblPr>
        <w:tblStyle w:val="16"/>
        <w:tblW w:w="9690" w:type="dxa"/>
        <w:tblInd w:w="0" w:type="dxa"/>
        <w:tblLayout w:type="autofit"/>
        <w:tblCellMar>
          <w:top w:w="0" w:type="dxa"/>
          <w:left w:w="0" w:type="dxa"/>
          <w:bottom w:w="0" w:type="dxa"/>
          <w:right w:w="0" w:type="dxa"/>
        </w:tblCellMar>
      </w:tblPr>
      <w:tblGrid>
        <w:gridCol w:w="570"/>
        <w:gridCol w:w="1080"/>
        <w:gridCol w:w="5475"/>
        <w:gridCol w:w="1080"/>
        <w:gridCol w:w="1485"/>
      </w:tblGrid>
      <w:tr>
        <w:tblPrEx>
          <w:tblCellMar>
            <w:top w:w="0" w:type="dxa"/>
            <w:left w:w="0" w:type="dxa"/>
            <w:bottom w:w="0" w:type="dxa"/>
            <w:right w:w="0" w:type="dxa"/>
          </w:tblCellMar>
        </w:tblPrEx>
        <w:trPr>
          <w:trHeight w:val="5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评审项目</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评审内容及规则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标准分值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CellMar>
            <w:top w:w="0" w:type="dxa"/>
            <w:left w:w="0" w:type="dxa"/>
            <w:bottom w:w="0" w:type="dxa"/>
            <w:right w:w="0" w:type="dxa"/>
          </w:tblCellMar>
        </w:tblPrEx>
        <w:trPr>
          <w:trHeight w:val="61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商务评审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价格</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满足招标文件要求且报价最低的为评审基准价，价格得分=（评审基准价/报价）×标准分值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企业规模</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1.根据投标人近三年的平均资产总额由高到低进行排名，第一名得</w:t>
            </w:r>
            <w:r>
              <w:rPr>
                <w:rStyle w:val="45"/>
                <w:rFonts w:hint="default"/>
                <w:lang w:bidi="ar"/>
              </w:rPr>
              <w:t>标准分，其余排名递减0.2分。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以第三方会计师事务所出具的近三年的财务审计报告中显示的数据为准</w:t>
            </w:r>
          </w:p>
        </w:tc>
      </w:tr>
      <w:tr>
        <w:tblPrEx>
          <w:tblCellMar>
            <w:top w:w="0" w:type="dxa"/>
            <w:left w:w="0" w:type="dxa"/>
            <w:bottom w:w="0" w:type="dxa"/>
            <w:right w:w="0" w:type="dxa"/>
          </w:tblCellMar>
        </w:tblPrEx>
        <w:trPr>
          <w:trHeight w:val="7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2.根据投标人近三年的平均净资产总额由高到低进行排名，第一名得</w:t>
            </w:r>
            <w:r>
              <w:rPr>
                <w:rStyle w:val="45"/>
                <w:rFonts w:hint="default"/>
                <w:lang w:bidi="ar"/>
              </w:rPr>
              <w:t>标准分，其余排名递减0.2分。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3.根据投标人上年度纳税总金额排序评分，第一名得标准分，其余依次递减0.2分。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财务状况</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1.根据近三年平均净利润金额由多至少排名，第一名得</w:t>
            </w:r>
            <w:r>
              <w:rPr>
                <w:rStyle w:val="45"/>
                <w:rFonts w:hint="default"/>
                <w:lang w:bidi="ar"/>
              </w:rPr>
              <w:t>标准分，其余依次递减0.4分，净利润为负值的得0分。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以第三方会计师事务所出具的近三年的财务审计报告中显示的数据为准</w:t>
            </w:r>
          </w:p>
        </w:tc>
      </w:tr>
      <w:tr>
        <w:tblPrEx>
          <w:tblCellMar>
            <w:top w:w="0" w:type="dxa"/>
            <w:left w:w="0" w:type="dxa"/>
            <w:bottom w:w="0" w:type="dxa"/>
            <w:right w:w="0" w:type="dxa"/>
          </w:tblCellMar>
        </w:tblPrEx>
        <w:trPr>
          <w:trHeight w:val="8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2.根据近三年年均主营业收入由多至少排名，第一名得</w:t>
            </w:r>
            <w:r>
              <w:rPr>
                <w:rStyle w:val="45"/>
                <w:rFonts w:hint="default"/>
                <w:lang w:bidi="ar"/>
              </w:rPr>
              <w:t>标准分，其余依次递减0.2分。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144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业绩</w:t>
            </w:r>
          </w:p>
        </w:tc>
        <w:tc>
          <w:tcPr>
            <w:tcW w:w="5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1.比较近三年投标人（截止开标时间）开发过同类软件项目的数量。以提供同类项目采购合同复印件为准，每提供一份金额</w:t>
            </w: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万元以上的合同得1分，最多得标准分值。时间和类别不符合要求，总金额不清晰的合同均无效。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16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比较近三年（截止谈判时间前）投标人拟派技术人员承担同类软件项目的累计业绩（以提供的销售合同及验收报告复印件为准，合同方必须与投标人名称完全一致，验收报告需体现技术人员姓名，投标人需携带销售合同及竣工验收报告原件备查，最多提供5份合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业绩得分=（技术人员同类项目累计业绩/基准业绩）×标准分值</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基准业绩=近三年（截止谈判时间）投标人技术人员同类项目累计业绩最高总金额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信誉</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1.投标人近三年内获得税务部门对企业纳税信用的A级评价或证书。满足得</w:t>
            </w:r>
            <w:r>
              <w:rPr>
                <w:rStyle w:val="45"/>
                <w:rFonts w:hint="default"/>
                <w:lang w:bidi="ar"/>
              </w:rPr>
              <w:t>1分，不满足得0分。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2.投标人在国家企业信用信息公示系统中无行政处罚记录和未被列入经营异常名录的得标准分值，否则不得分。（须提供网上公示截图和查询网址）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3.投标人近三年获得与本项目专业相关的国家、军队及行业质量和荣誉认证，每项得0.2</w:t>
            </w:r>
            <w:r>
              <w:rPr>
                <w:rStyle w:val="45"/>
                <w:rFonts w:hint="default"/>
                <w:lang w:bidi="ar"/>
              </w:rPr>
              <w:t>分，最高得1分。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技术评审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技术力量</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1.投标人提供IS09001质量管理体系认证证书的得标准分，否则得0分。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2.投标人提供IS0</w:t>
            </w:r>
            <w:r>
              <w:rPr>
                <w:rStyle w:val="45"/>
                <w:rFonts w:hint="default"/>
                <w:lang w:bidi="ar"/>
              </w:rPr>
              <w:t>27001信息安全管理体系认证证书的得标准分，否则得0分。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2.投标人具有军队一级保密资质的得2分，二级保密资质的得1分，三级保密资质的得0.5分。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3.投标人为高新技术企业的得标准分，否则得0分。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4.投标人具有CMMI5认证证书的得3分，提供CMMI4认证证书的得2分，CMMI4以下得1分,没有得0分。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5.投标人具有计算机信息系统集成1级资质的得2分，2级的得1分，3级得0.5分。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6.根据投标人通过省、部级以上有关部门鉴定自主开发的成熟软件数量排名，第一的得标准分，依次递减0.5分。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7.根据参加本项目开发的技术人员具有取得工程师以上职称的数量排名，第一的得标准分，依次递减0.5分。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8.参加本项目工程师中有通过数据库（OCP或DBA）认证的得标准分，没有得0分。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72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技术方案</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r>
              <w:rPr>
                <w:rStyle w:val="45"/>
                <w:rFonts w:hint="default"/>
                <w:lang w:bidi="ar"/>
              </w:rPr>
              <w:t>.根据系统总体设计的可靠性、可维护性评分，具体包括政策、业务流程、用户界面是否可动态调整，标准的系统安装程序、前后台开发语言是否一致。最优的得标准分，依次递减1分。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r>
              <w:rPr>
                <w:rStyle w:val="45"/>
                <w:rFonts w:hint="default"/>
                <w:lang w:bidi="ar"/>
              </w:rPr>
              <w:t>体系结构：软件系统体系结构合理、实用、保证数据传输的实质性要求，最优的得标准分，其余依次递减1分。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3.流程图：根据提供的业务流程图和数据流程图清晰和准确情况评分，最优的得标准分，其余依次递减1分。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4.根据系统是否灵活配置、便于用户直接维护情况评分，最优的得标准分，其余依次递减1分。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r>
              <w:rPr>
                <w:rStyle w:val="45"/>
                <w:rFonts w:hint="default"/>
                <w:lang w:bidi="ar"/>
              </w:rPr>
              <w:t>.提供软件需求、数据建模、项目管理、系统测试等工具的得标准分，否则得0分。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r>
              <w:rPr>
                <w:rStyle w:val="45"/>
                <w:rFonts w:hint="default"/>
                <w:lang w:bidi="ar"/>
              </w:rPr>
              <w:t>.遵循现有系统工程标准及其它适用标准，在现有系统标准体系的基础上根据需要进行扩充。满足得1分，否则得0分。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7.提供完善、合理、可操作性强的系统安全保密解决方案，最优的得标准分，其余依次递减0.5分。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r>
              <w:rPr>
                <w:rStyle w:val="45"/>
                <w:rFonts w:hint="default"/>
                <w:lang w:bidi="ar"/>
              </w:rPr>
              <w:t>根据对系统各个模块功能描述全面、准确情况评分，最优得标准分，其余依次递减1分。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9.在系统设计中提供合理的接口和前置子系统与各单位内部系统连接方案，最优得标准分，其余依次递减0.5分。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r>
              <w:rPr>
                <w:rStyle w:val="45"/>
                <w:rFonts w:hint="default"/>
                <w:lang w:bidi="ar"/>
              </w:rPr>
              <w:t>整体系统设计中有合理、可行、独特的创意，关键技术先进，最优得标准分，其余依次递减0.5分。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项目管理和实施</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1．实施周期：是否提供开发整体系统明确、合理的项目实施周期和进度表。最优得标准分，其余依次递减</w:t>
            </w:r>
            <w:r>
              <w:rPr>
                <w:rStyle w:val="45"/>
                <w:rFonts w:hint="default"/>
                <w:lang w:bidi="ar"/>
              </w:rPr>
              <w:t>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2.源代码及知识产权：承诺开发源代码及相关知识产权要求的得标准分，否则得0分。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3.人员组织保障：根据投标人现场开发人员组织保障方案评审，最优得标准分，其余依次递减0.5分。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4.项目风险：提供整个项目风险评估及控制方案的得标准分，否则得0分。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28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5.文档资料：承诺提供文档资料的得标准分，否则得0分。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培训和售后服务</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1.根据培训计划方案评审，最优得标准分，其余依次递减0.5分。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2.根据企业服务方式、现场支持、服务费用、服务等级等因素评分，最优得标准分，其余依次递减0.5分。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3.升级服务期限：保修期限不低于3年，每增加1年增加1分，最高得标准分值。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4.根据软件运营过程中安全服务和后期技术咨询承诺情况评分，最优得标准分，其余依次递减0.5分。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p>
        </w:tc>
      </w:tr>
    </w:tbl>
    <w:p>
      <w:pPr>
        <w:pStyle w:val="2"/>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评标委员会成员签名：</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年  月  日</w:t>
      </w:r>
    </w:p>
    <w:p>
      <w:pPr>
        <w:rPr>
          <w:rFonts w:ascii="宋体" w:hAnsi="宋体" w:eastAsia="宋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4.评标委员会评审程序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(1)审阅招标文件。重点审查招标文件投标人须知中无效投标条款、采购项目技术和商务要求、资格性和符合性审查要求、评标方法和标准细则以及采购合同主要条款等规定要求。</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(2)资格性审查。依据法律、法规和招标文件的规定，对投标文件中的资格证明、投标保证金等进行审查，以确定投标人是否具备投标资格，具体审查项目见表1。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(3)符合性审查。依据招标文件的规定，从投标文件的有效性、完整性和对招标文件的响应程度进行审查，以确定投标人是否对招标文件做出实质性响应，具体审查项目见表1。</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※(4)样品评审（盲评）。样品评审前，招标人对投标人提供样品的明显标识、铭牌、标签等，采取密封、遮挡等必要措施，并统一编号。评标委员会依据样品评审标准进行评审。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①开标时未宣读的投标价格、价格折扣和招标文件允许提供的备选投标方案等实质内容；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②投标文件中不响应招标文件规定的技术参数指标和商务应答；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③投标文件中未提供的证明其是否符合招标文件资格性、符合性规定要求的相关材料。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(6)商务、技术评审。按照招标文件中规定的评标方法和标准，对资格性审查和符合性审查合格的投标文件（不含价格文件）进行商务和技术评审。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(9)评标委员会依据经过复核的评审结果，对投标人进行排序并推荐预中标人。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数量。按照评审排序及分配比例确定中标数量。选择2家供应商同时中标的，中标数量比例按7：3计算；3家供应商同时中标的，按5：3：2计算；4家以上供应商同时中标的，第一名与最后一名数量比例控制在4：1与3：1之间，其余等差分配。</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序，从第一名开始，依次商其他投标人承担。中标人无法按照规定时限完成全部中标数量，可以书面放弃部分中标数量，其放弃的数量，按照评审排序，从第一名开始，依次商其他投标人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①开标日期和地点；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②获取招标文件供应商名单、投标人名单和评标委员会成员名单；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③评标方法；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④开标记录和评标情况及说明，包括无效投标人名单及原因；</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⑤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⑥评标委员会授标建议。</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宣布评标结果。评标结果由评标委员会主任在评标现场向参与采购活动的投标人当场公布，且不得更改。公布的内容至少应包含预中标人名称、排序和投标报价，以及无效投标人名称和无效投标理由。投标人对评标结果有疑义的，评标委员会应当现场予以解答。</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(1)密封时未加盖、少加盖单位公章或者密封章，但是密封完好、完整标明了投标供应商名称且得到投标供应商（法定代表人或者授权代表）现场认可的；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(2)正副本数量齐全、密封完好，只是未按照招标文件要求进行分装或者统装的；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(3)存在个别地方（总数不超过2个且占应签字地方的比例不超过20%）没有法定代表人签字，但有法定代表人的私人印章或者授权代表有效签字的；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(4)除招标文件明确要求加盖供应商（法人）公章的以外，其他地方以相关专用章加盖的。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6.在商务评审过程中，有下列情形之一者，其投标将被否决：</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(1)投标人或其制造商与招标人有利害关系可能影响招标公正性的；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(2)投标人参与项目前期咨询或招标文件编制的；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(3)不同投标人单位负责人为同一人或者存在控股、管理关系的；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(4)投标文件未按招标文件的要求签署的；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(5)投标联合体没有提交共同投标协议的；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(6)投标人的投标书、资格证明材料未提供，或不符合国家规定或者招标文件要求的；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(7)同一投标人提交两个以上不同的投标方案或者投标报价的，但招标文件要求提交备选方案的除外；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(8)投标文件不满足招标文件加注星号（“★”）的关键商务条款要求的；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(9)投标报价高于招标文件设定的最高投标限价的；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(10)投标人有串通投标、弄虚作假、行贿等违法行为的；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(11)存在招标文件中规定的否决投标的其他商务条款的。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7.技术评审过程中，有下列情形之一者，其投标将被否决：</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(1)投标文件不满足招标文件技术要求中加注星号（“★”）的关键条款（参数）要求，或加注星号（“★”）的关键条款（参数）无符合招标文件要求的技术资料支持的；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(2)投标文件技术规格中一般参数超出允许偏离的最大范围或最多项数的；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(3)投标文件技术规格中的响应与事实不符或虚假投标的；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(4)投标人复制招标文件的技术规格相关部分内容作为其投标文件中一部分的；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(5)存在招标文件中规定的否决投标的其他技术条款的。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8.投标人及其投标文件有下列情形之一的，在符合性审查时按照无效投标处理：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(1)未按照招标文件规定要求密封、签署、盖章的（前述第5条情形除外）；</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(2)投标文件组成明显不符合招标文件的规定要求，影响评标委员会评判的；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(3)应交未交投标保证金的或保证金金额不足的；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(4)投标有效期不符合招标文件要求的；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(5)其他未满足对投标文件有效性、完整性和对招标文件响应程度要求的情形。</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9.投标人及其投标文件有下列情形之一的，在资格性审查时按照无效投标处理：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(1)不具备招标文件中规定的资格性要求的；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(2)法定代表人授权不符合要求的；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(3)属于禁止参加投标的供应商的；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(4)不符合法律、法规、规章规定的资格性要求的；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(5)供应商授权代理人参加军队或省级以上政府采购活动，致使该供应商受到处罚期间，该代理人代理其他供应商参加军队采购活动的；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(6)代理人同期（180天以内）代理2家以上供应商参加军队采购活动的。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10.有下列情形之一的，属于投标人相互串通投标，评标委员会应当对串标人按照无效投标处理：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(1)投标人之间协商投标报价等投标文件的实质性内容的；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(2)投标人之间约定中标人的；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(3)投标人之间约定部分投标人放弃投标或者中标的；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(4)属于同一集团、协会、商会等组织成员的投标人按照该组织要求协同投标的；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(5)投标人之间为谋取中标或者排斥特定投标人而采取其他联合行动的。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11.有下列情形之一的，视为投标人相互串通投标，评标委员会应当对串标人按照无效投标处理：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(1)不同投标人的投标文件由同一单位或者个人编制的；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(2)不同投标人委托同一单位或者个人办理投标事宜的；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(3)不同投标人的投标文件载明的项目管理成员为同一人的；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(4)不同投标人的投标文件异常一致或者投标报价呈规律性差异的；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(5)不同投标人的投标文件相互混装的；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(6)不同投标人的投标保证金从同一单位或者个人的账户转出的。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12.有下列情形之一的，属于招标人与投标人串通投标，评标委员会应当对串标投标人按照无效投标处理：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(1)招标人在开标前开启投标文件并将有关信息泄露给其他投标人的；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(2)招标人直接或者间接向投标人泄露采购预算、评标委员会成员等信息的；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(3)招标人明示或者暗示投标人压低或者抬高投标报价的；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(4)招标人授意投标人撤换、修改投标文件的；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(5)招标人明示或者暗示投标人为特定投标人中标提供方便的；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(6)招标人与投标人为谋求特定投标人中标而采取其他串通行为的。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13.有下列情形之一的，属于虚假投标，评标委员会应当对投标人按照无效投标处理：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(1)使用通过受让或者租借等方式获取资格、资质证书投标的；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(2)使用伪造、变造的许可证件的；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(3)提供虚假的财务状况或者业绩的；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(4)提供虚假的项目负责人或者主要技术人员简历、劳动关系证明的；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(5)提供虚假信用状况的；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(6)提供虚假样品或借用、冒用其他供应商样品的；</w:t>
      </w:r>
    </w:p>
    <w:p>
      <w:pPr>
        <w:ind w:firstLine="622"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7</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其他弄虚作假行为的。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14.有下列情形之一的，按照废标处理：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(1)出现影响采购公平公正的违法、违规行为的；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(2)因重大变故，取消采购任务的。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15.开标后对下列情况，招标人以及评标委员会按照《军队物资采购评审管理办法》相关规定处理。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经评审满足招标文件要求的投标供应商只有2家的，评标委员会应当分析原因。评标委员会（五分之四以上评委）认定投标人报价客观合理的，应当在评标报告中注明，可直接比照竞争性谈判方式，按照至少2轮谈判、供应商3次报价程序，采用原评审方法及评审标准组织评审。</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(6)同一需求部门（单位）同一经费来源的同类物资，部分产品单价或者金额超采购预算，但中标总金额未超采购预算的，不视为需求部门（单位）不能支付。</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16.经评标委员会评审，认为所有投标都不符合招标文件要求的，评标委员会将否决所有投标，招标人有权重新组织招标。</w:t>
      </w:r>
    </w:p>
    <w:p>
      <w:pPr>
        <w:jc w:val="center"/>
        <w:rPr>
          <w:rFonts w:ascii="Times New Roman" w:hAnsi="Times New Roman" w:eastAsia="黑体" w:cs="Times New Roman"/>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w:t>
      </w:r>
      <w:r>
        <w:rPr>
          <w:rFonts w:ascii="Times New Roman" w:hAnsi="Times New Roman" w:eastAsia="黑体" w:cs="Times New Roman"/>
          <w:kern w:val="0"/>
          <w:sz w:val="32"/>
          <w:szCs w:val="32"/>
        </w:rPr>
        <w:t>质疑与投诉</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（二）质疑由招标人设立的质疑处理机构受理，投诉由陆军后勤部采购供应局物资采购处受理。供应商投诉事项应当是经过质疑的事项，未质疑的事项，投诉不予受理。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（三）招标人</w:t>
      </w:r>
      <w:r>
        <w:rPr>
          <w:rFonts w:ascii="仿宋_GB2312" w:hAnsi="宋体" w:eastAsia="仿宋_GB2312" w:cs="Times New Roman"/>
          <w:kern w:val="0"/>
          <w:sz w:val="32"/>
          <w:szCs w:val="32"/>
        </w:rPr>
        <w:t>质疑</w:t>
      </w:r>
      <w:r>
        <w:rPr>
          <w:rFonts w:hint="eastAsia" w:ascii="仿宋_GB2312" w:hAnsi="宋体" w:eastAsia="仿宋_GB2312" w:cs="Times New Roman"/>
          <w:kern w:val="0"/>
          <w:sz w:val="32"/>
          <w:szCs w:val="32"/>
        </w:rPr>
        <w:t>处理机构</w:t>
      </w:r>
      <w:r>
        <w:rPr>
          <w:rFonts w:ascii="仿宋_GB2312" w:hAnsi="宋体" w:eastAsia="仿宋_GB2312" w:cs="Times New Roman"/>
          <w:kern w:val="0"/>
          <w:sz w:val="32"/>
          <w:szCs w:val="32"/>
        </w:rPr>
        <w:t>联系方式</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联系人：高先生</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电话：</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2</w:t>
      </w:r>
      <w:r>
        <w:rPr>
          <w:rFonts w:ascii="仿宋_GB2312" w:hAnsi="宋体" w:eastAsia="仿宋_GB2312" w:cs="仿宋_GB2312"/>
          <w:kern w:val="0"/>
          <w:sz w:val="32"/>
          <w:szCs w:val="32"/>
        </w:rPr>
        <w:t>037887429</w:t>
      </w:r>
    </w:p>
    <w:p>
      <w:pPr>
        <w:ind w:firstLine="622" w:firstLineChars="200"/>
        <w:rPr>
          <w:rFonts w:ascii="仿宋_GB2312" w:hAnsi="Times New Roman"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地址：</w:t>
      </w:r>
      <w:r>
        <w:rPr>
          <w:rFonts w:hint="eastAsia" w:ascii="仿宋_GB2312" w:hAnsi="Times New Roman" w:eastAsia="仿宋_GB2312" w:cs="仿宋_GB2312"/>
          <w:kern w:val="0"/>
          <w:sz w:val="32"/>
          <w:szCs w:val="32"/>
        </w:rPr>
        <w:t>广州市番禺区敏捷上城国际一期</w:t>
      </w: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栋</w:t>
      </w:r>
      <w:r>
        <w:rPr>
          <w:rFonts w:ascii="仿宋_GB2312" w:hAnsi="Times New Roman" w:eastAsia="仿宋_GB2312" w:cs="仿宋_GB2312"/>
          <w:kern w:val="0"/>
          <w:sz w:val="32"/>
          <w:szCs w:val="32"/>
        </w:rPr>
        <w:t>1806</w:t>
      </w:r>
    </w:p>
    <w:p>
      <w:pPr>
        <w:ind w:firstLine="622" w:firstLineChars="200"/>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邮编：</w:t>
      </w:r>
      <w:r>
        <w:rPr>
          <w:rFonts w:ascii="仿宋_GB2312" w:hAnsi="宋体" w:eastAsia="仿宋_GB2312" w:cs="仿宋_GB2312"/>
          <w:kern w:val="0"/>
          <w:sz w:val="32"/>
          <w:szCs w:val="32"/>
        </w:rPr>
        <w:t>511400</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（四）供应商认为招标文件存在限制性、倾向性、排他性条款，使自己权益受到损害的，可以在投标截止时间10日前向招标人设立的质疑处理机构提出书面质疑和相关证明材料。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（五）供应商</w:t>
      </w:r>
      <w:r>
        <w:rPr>
          <w:rFonts w:ascii="仿宋_GB2312" w:hAnsi="宋体" w:eastAsia="仿宋_GB2312" w:cs="Times New Roman"/>
          <w:kern w:val="0"/>
          <w:sz w:val="32"/>
          <w:szCs w:val="32"/>
        </w:rPr>
        <w:t>认为下列事项使自己权益受到损害的，</w:t>
      </w:r>
      <w:r>
        <w:rPr>
          <w:rFonts w:hint="eastAsia" w:ascii="仿宋_GB2312" w:hAnsi="宋体" w:eastAsia="仿宋_GB2312" w:cs="Times New Roman"/>
          <w:kern w:val="0"/>
          <w:sz w:val="32"/>
          <w:szCs w:val="32"/>
        </w:rPr>
        <w:t>可以</w:t>
      </w:r>
      <w:r>
        <w:rPr>
          <w:rFonts w:ascii="仿宋_GB2312" w:hAnsi="宋体" w:eastAsia="仿宋_GB2312" w:cs="Times New Roman"/>
          <w:kern w:val="0"/>
          <w:sz w:val="32"/>
          <w:szCs w:val="32"/>
        </w:rPr>
        <w:t>在评审结果公示期内，向</w:t>
      </w:r>
      <w:r>
        <w:rPr>
          <w:rFonts w:hint="eastAsia" w:ascii="仿宋_GB2312" w:hAnsi="宋体" w:eastAsia="仿宋_GB2312" w:cs="Times New Roman"/>
          <w:kern w:val="0"/>
          <w:sz w:val="32"/>
          <w:szCs w:val="32"/>
        </w:rPr>
        <w:t>招标人设立的质疑处理机构</w:t>
      </w:r>
      <w:r>
        <w:rPr>
          <w:rFonts w:ascii="仿宋_GB2312" w:hAnsi="宋体" w:eastAsia="仿宋_GB2312" w:cs="Times New Roman"/>
          <w:kern w:val="0"/>
          <w:sz w:val="32"/>
          <w:szCs w:val="32"/>
        </w:rPr>
        <w:t>提出书面质疑</w:t>
      </w:r>
      <w:r>
        <w:rPr>
          <w:rFonts w:hint="eastAsia" w:ascii="仿宋_GB2312" w:hAnsi="宋体" w:eastAsia="仿宋_GB2312" w:cs="Times New Roman"/>
          <w:kern w:val="0"/>
          <w:sz w:val="32"/>
          <w:szCs w:val="32"/>
        </w:rPr>
        <w:t>和相关证明材料：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w:t>
      </w:r>
      <w:r>
        <w:rPr>
          <w:rFonts w:ascii="仿宋_GB2312" w:hAnsi="宋体" w:eastAsia="仿宋_GB2312" w:cs="Times New Roman"/>
          <w:kern w:val="0"/>
          <w:sz w:val="32"/>
          <w:szCs w:val="32"/>
        </w:rPr>
        <w:t>或者相关人员与供应商有利害关系，应当回避而没有回避的；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采购程序违反军队采购相关规定的；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w:t>
      </w:r>
      <w:r>
        <w:rPr>
          <w:rFonts w:ascii="仿宋_GB2312" w:hAnsi="宋体" w:eastAsia="仿宋_GB2312" w:cs="Times New Roman"/>
          <w:kern w:val="0"/>
          <w:sz w:val="32"/>
          <w:szCs w:val="32"/>
        </w:rPr>
        <w:t>之间</w:t>
      </w:r>
      <w:r>
        <w:rPr>
          <w:rFonts w:hint="eastAsia" w:ascii="仿宋_GB2312" w:hAnsi="宋体" w:eastAsia="仿宋_GB2312" w:cs="Times New Roman"/>
          <w:kern w:val="0"/>
          <w:sz w:val="32"/>
          <w:szCs w:val="32"/>
        </w:rPr>
        <w:t>或者招标人与投标人之间</w:t>
      </w:r>
      <w:r>
        <w:rPr>
          <w:rFonts w:ascii="仿宋_GB2312" w:hAnsi="宋体" w:eastAsia="仿宋_GB2312" w:cs="Times New Roman"/>
          <w:kern w:val="0"/>
          <w:sz w:val="32"/>
          <w:szCs w:val="32"/>
        </w:rPr>
        <w:t>存在串通行为的；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提供虚假资料</w:t>
      </w:r>
      <w:r>
        <w:rPr>
          <w:rFonts w:hint="eastAsia" w:ascii="仿宋_GB2312" w:hAnsi="宋体" w:eastAsia="仿宋_GB2312" w:cs="Times New Roman"/>
          <w:kern w:val="0"/>
          <w:sz w:val="32"/>
          <w:szCs w:val="32"/>
        </w:rPr>
        <w:t>骗取中标</w:t>
      </w:r>
      <w:r>
        <w:rPr>
          <w:rFonts w:ascii="仿宋_GB2312" w:hAnsi="宋体" w:eastAsia="仿宋_GB2312" w:cs="Times New Roman"/>
          <w:kern w:val="0"/>
          <w:sz w:val="32"/>
          <w:szCs w:val="32"/>
        </w:rPr>
        <w:t>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w:t>
      </w:r>
      <w:r>
        <w:rPr>
          <w:rFonts w:ascii="仿宋_GB2312" w:hAnsi="宋体" w:eastAsia="仿宋_GB2312" w:cs="Times New Roman"/>
          <w:kern w:val="0"/>
          <w:sz w:val="32"/>
          <w:szCs w:val="32"/>
        </w:rPr>
        <w:t>违反采购相关法律法规使自己权益受到损害的其他事项。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w:t>
      </w:r>
      <w:r>
        <w:rPr>
          <w:rFonts w:ascii="仿宋_GB2312" w:hAnsi="宋体" w:eastAsia="仿宋_GB2312" w:cs="Times New Roman"/>
          <w:kern w:val="0"/>
          <w:sz w:val="32"/>
          <w:szCs w:val="32"/>
        </w:rPr>
        <w:t>书面质疑</w:t>
      </w:r>
      <w:r>
        <w:rPr>
          <w:rFonts w:hint="eastAsia" w:ascii="仿宋_GB2312" w:hAnsi="宋体" w:eastAsia="仿宋_GB2312" w:cs="Times New Roman"/>
          <w:kern w:val="0"/>
          <w:sz w:val="32"/>
          <w:szCs w:val="32"/>
        </w:rPr>
        <w:t>应</w:t>
      </w:r>
      <w:r>
        <w:rPr>
          <w:rFonts w:ascii="仿宋_GB2312" w:hAnsi="宋体" w:eastAsia="仿宋_GB2312" w:cs="Times New Roman"/>
          <w:kern w:val="0"/>
          <w:sz w:val="32"/>
          <w:szCs w:val="32"/>
        </w:rPr>
        <w:t>由法定代表人签字</w:t>
      </w:r>
      <w:r>
        <w:rPr>
          <w:rFonts w:hint="eastAsia" w:ascii="仿宋_GB2312" w:hAnsi="宋体" w:eastAsia="仿宋_GB2312" w:cs="Times New Roman"/>
          <w:kern w:val="0"/>
          <w:sz w:val="32"/>
          <w:szCs w:val="32"/>
        </w:rPr>
        <w:t>并</w:t>
      </w:r>
      <w:r>
        <w:rPr>
          <w:rFonts w:ascii="仿宋_GB2312" w:hAnsi="宋体" w:eastAsia="仿宋_GB2312" w:cs="Times New Roman"/>
          <w:kern w:val="0"/>
          <w:sz w:val="32"/>
          <w:szCs w:val="32"/>
        </w:rPr>
        <w:t>加盖单位公章，同时出具法定代表人资格证明书</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w:t>
      </w:r>
      <w:r>
        <w:rPr>
          <w:rFonts w:hint="eastAsia" w:ascii="仿宋_GB2312" w:hAnsi="宋体" w:eastAsia="仿宋_GB2312" w:cs="Times New Roman"/>
          <w:kern w:val="0"/>
          <w:sz w:val="32"/>
          <w:szCs w:val="32"/>
        </w:rPr>
        <w:t>全权代表</w:t>
      </w:r>
      <w:r>
        <w:rPr>
          <w:rFonts w:ascii="仿宋_GB2312" w:hAnsi="宋体" w:eastAsia="仿宋_GB2312" w:cs="Times New Roman"/>
          <w:kern w:val="0"/>
          <w:sz w:val="32"/>
          <w:szCs w:val="32"/>
        </w:rPr>
        <w:t>签字的，必须有法定代表人授权</w:t>
      </w:r>
      <w:r>
        <w:rPr>
          <w:rFonts w:hint="eastAsia" w:ascii="仿宋_GB2312" w:hAnsi="宋体" w:eastAsia="仿宋_GB2312" w:cs="Times New Roman"/>
          <w:kern w:val="0"/>
          <w:sz w:val="32"/>
          <w:szCs w:val="32"/>
        </w:rPr>
        <w:t>书和</w:t>
      </w:r>
      <w:r>
        <w:rPr>
          <w:rFonts w:ascii="仿宋_GB2312" w:hAnsi="宋体" w:eastAsia="仿宋_GB2312" w:cs="Times New Roman"/>
          <w:kern w:val="0"/>
          <w:sz w:val="32"/>
          <w:szCs w:val="32"/>
        </w:rPr>
        <w:t>法定代表人资格证明书</w:t>
      </w:r>
      <w:r>
        <w:rPr>
          <w:rFonts w:hint="eastAsia" w:ascii="仿宋_GB2312" w:hAnsi="宋体" w:eastAsia="仿宋_GB2312" w:cs="Times New Roman"/>
          <w:kern w:val="0"/>
          <w:sz w:val="32"/>
          <w:szCs w:val="32"/>
        </w:rPr>
        <w:t>，并</w:t>
      </w:r>
      <w:r>
        <w:rPr>
          <w:rFonts w:ascii="仿宋_GB2312" w:hAnsi="宋体" w:eastAsia="仿宋_GB2312" w:cs="Times New Roman"/>
          <w:kern w:val="0"/>
          <w:sz w:val="32"/>
          <w:szCs w:val="32"/>
        </w:rPr>
        <w:t>加盖单位公章</w:t>
      </w:r>
      <w:r>
        <w:rPr>
          <w:rFonts w:hint="eastAsia" w:ascii="仿宋_GB2312" w:hAnsi="宋体" w:eastAsia="仿宋_GB2312" w:cs="Times New Roman"/>
          <w:kern w:val="0"/>
          <w:sz w:val="32"/>
          <w:szCs w:val="32"/>
        </w:rPr>
        <w:t>。书面</w:t>
      </w:r>
      <w:r>
        <w:rPr>
          <w:rFonts w:ascii="仿宋_GB2312" w:hAnsi="宋体" w:eastAsia="仿宋_GB2312" w:cs="Times New Roman"/>
          <w:kern w:val="0"/>
          <w:sz w:val="32"/>
          <w:szCs w:val="32"/>
        </w:rPr>
        <w:t>质疑主要包括下列内容：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1.质疑的采购项目名称和项目编号；</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质疑</w:t>
      </w:r>
      <w:r>
        <w:rPr>
          <w:rFonts w:hint="eastAsia" w:ascii="仿宋_GB2312" w:hAnsi="宋体" w:eastAsia="仿宋_GB2312" w:cs="Times New Roman"/>
          <w:kern w:val="0"/>
          <w:sz w:val="32"/>
          <w:szCs w:val="32"/>
        </w:rPr>
        <w:t>人</w:t>
      </w:r>
      <w:r>
        <w:rPr>
          <w:rFonts w:ascii="仿宋_GB2312" w:hAnsi="宋体" w:eastAsia="仿宋_GB2312" w:cs="Times New Roman"/>
          <w:kern w:val="0"/>
          <w:sz w:val="32"/>
          <w:szCs w:val="32"/>
        </w:rPr>
        <w:t>和被质疑人的名称，质疑人的地址、联系方式等；</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ascii="仿宋_GB2312" w:hAnsi="宋体" w:eastAsia="仿宋_GB2312" w:cs="Times New Roman"/>
          <w:kern w:val="0"/>
          <w:sz w:val="32"/>
          <w:szCs w:val="32"/>
        </w:rPr>
        <w:t>具体的质疑事项、事实依据及相关证明材料；</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提起质疑的日期。</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（七）</w:t>
      </w:r>
      <w:r>
        <w:rPr>
          <w:rFonts w:ascii="仿宋_GB2312" w:hAnsi="宋体" w:eastAsia="仿宋_GB2312" w:cs="Times New Roman"/>
          <w:kern w:val="0"/>
          <w:sz w:val="32"/>
          <w:szCs w:val="32"/>
        </w:rPr>
        <w:t>质疑有以下情形之一的，</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不予受理：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1.未按规定程序和渠道提出质疑的；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超</w:t>
      </w:r>
      <w:r>
        <w:rPr>
          <w:rFonts w:hint="eastAsia" w:ascii="仿宋_GB2312" w:hAnsi="宋体" w:eastAsia="仿宋_GB2312" w:cs="Times New Roman"/>
          <w:kern w:val="0"/>
          <w:sz w:val="32"/>
          <w:szCs w:val="32"/>
        </w:rPr>
        <w:t>过</w:t>
      </w:r>
      <w:r>
        <w:rPr>
          <w:rFonts w:ascii="仿宋_GB2312" w:hAnsi="宋体" w:eastAsia="仿宋_GB2312" w:cs="Times New Roman"/>
          <w:kern w:val="0"/>
          <w:sz w:val="32"/>
          <w:szCs w:val="32"/>
        </w:rPr>
        <w:t>质疑限期</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3.书面</w:t>
      </w:r>
      <w:r>
        <w:rPr>
          <w:rFonts w:ascii="仿宋_GB2312" w:hAnsi="宋体" w:eastAsia="仿宋_GB2312" w:cs="Times New Roman"/>
          <w:kern w:val="0"/>
          <w:sz w:val="32"/>
          <w:szCs w:val="32"/>
        </w:rPr>
        <w:t>质疑的形式和内容不符合</w:t>
      </w:r>
      <w:r>
        <w:rPr>
          <w:rFonts w:hint="eastAsia" w:ascii="仿宋_GB2312" w:hAnsi="宋体" w:eastAsia="仿宋_GB2312" w:cs="Times New Roman"/>
          <w:kern w:val="0"/>
          <w:sz w:val="32"/>
          <w:szCs w:val="32"/>
        </w:rPr>
        <w:t>上述要求的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w:t>
      </w:r>
      <w:r>
        <w:rPr>
          <w:rFonts w:ascii="仿宋_GB2312" w:hAnsi="宋体" w:eastAsia="仿宋_GB2312" w:cs="Times New Roman"/>
          <w:kern w:val="0"/>
          <w:sz w:val="32"/>
          <w:szCs w:val="32"/>
        </w:rPr>
        <w:t>提出的质疑事项已经明确答复的；</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w:t>
      </w:r>
      <w:r>
        <w:rPr>
          <w:rFonts w:ascii="仿宋_GB2312" w:hAnsi="宋体" w:eastAsia="仿宋_GB2312" w:cs="Times New Roman"/>
          <w:kern w:val="0"/>
          <w:sz w:val="32"/>
          <w:szCs w:val="32"/>
        </w:rPr>
        <w:t>法律法规规定的其他不予受理的条件。</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（八）质疑处理机构</w:t>
      </w:r>
      <w:r>
        <w:rPr>
          <w:rFonts w:ascii="仿宋_GB2312" w:hAnsi="宋体" w:eastAsia="仿宋_GB2312" w:cs="Times New Roman"/>
          <w:kern w:val="0"/>
          <w:sz w:val="32"/>
          <w:szCs w:val="32"/>
        </w:rPr>
        <w:t>应当自质疑签收之日起</w:t>
      </w:r>
      <w:r>
        <w:rPr>
          <w:rFonts w:hint="eastAsia" w:ascii="仿宋_GB2312" w:hAnsi="宋体" w:eastAsia="仿宋_GB2312" w:cs="Times New Roman"/>
          <w:kern w:val="0"/>
          <w:sz w:val="32"/>
          <w:szCs w:val="32"/>
        </w:rPr>
        <w:t>7</w:t>
      </w:r>
      <w:r>
        <w:rPr>
          <w:rFonts w:ascii="仿宋_GB2312" w:hAnsi="宋体" w:eastAsia="仿宋_GB2312" w:cs="Times New Roman"/>
          <w:kern w:val="0"/>
          <w:sz w:val="32"/>
          <w:szCs w:val="32"/>
        </w:rPr>
        <w:t>个工作日内做出书面答复。答复内容同时通知与处理结果有关的供应商，但答复内容不得涉及供应商的商业秘密。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在作出书面答复之前，可以采取现场解答的方式向</w:t>
      </w:r>
      <w:r>
        <w:rPr>
          <w:rFonts w:hint="eastAsia" w:ascii="仿宋_GB2312" w:hAnsi="宋体" w:eastAsia="仿宋_GB2312" w:cs="Times New Roman"/>
          <w:kern w:val="0"/>
          <w:sz w:val="32"/>
          <w:szCs w:val="32"/>
        </w:rPr>
        <w:t>质疑人</w:t>
      </w:r>
      <w:r>
        <w:rPr>
          <w:rFonts w:ascii="仿宋_GB2312" w:hAnsi="宋体" w:eastAsia="仿宋_GB2312" w:cs="Times New Roman"/>
          <w:kern w:val="0"/>
          <w:sz w:val="32"/>
          <w:szCs w:val="32"/>
        </w:rPr>
        <w:t>通报初步处理结果。供应商认可处理结果的，可在出具书面申请后撤回质疑或者放弃质疑，</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不再进行书面答复。</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（九）供应商</w:t>
      </w:r>
      <w:r>
        <w:rPr>
          <w:rFonts w:ascii="仿宋_GB2312" w:hAnsi="宋体" w:eastAsia="仿宋_GB2312" w:cs="Times New Roman"/>
          <w:kern w:val="0"/>
          <w:sz w:val="32"/>
          <w:szCs w:val="32"/>
        </w:rPr>
        <w:t>质疑有下列情形之一的，视为无效质疑，</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应当驳回质疑：</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w:t>
      </w:r>
      <w:r>
        <w:rPr>
          <w:rFonts w:ascii="仿宋_GB2312" w:hAnsi="宋体" w:eastAsia="仿宋_GB2312" w:cs="Times New Roman"/>
          <w:kern w:val="0"/>
          <w:sz w:val="32"/>
          <w:szCs w:val="32"/>
        </w:rPr>
        <w:t>无具体的质疑事项，或者质疑事项缺乏事实和法律依据</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w:t>
      </w:r>
      <w:r>
        <w:rPr>
          <w:rFonts w:ascii="仿宋_GB2312" w:hAnsi="宋体" w:eastAsia="仿宋_GB2312" w:cs="Times New Roman"/>
          <w:kern w:val="0"/>
          <w:sz w:val="32"/>
          <w:szCs w:val="32"/>
        </w:rPr>
        <w:t>质疑内容涉及评审工作细节、其他供应商</w:t>
      </w:r>
      <w:r>
        <w:rPr>
          <w:rFonts w:hint="eastAsia" w:ascii="仿宋_GB2312" w:hAnsi="宋体" w:eastAsia="仿宋_GB2312" w:cs="Times New Roman"/>
          <w:kern w:val="0"/>
          <w:sz w:val="32"/>
          <w:szCs w:val="32"/>
        </w:rPr>
        <w:t>投标</w:t>
      </w:r>
      <w:r>
        <w:rPr>
          <w:rFonts w:ascii="仿宋_GB2312" w:hAnsi="宋体" w:eastAsia="仿宋_GB2312" w:cs="Times New Roman"/>
          <w:kern w:val="0"/>
          <w:sz w:val="32"/>
          <w:szCs w:val="32"/>
        </w:rPr>
        <w:t>资料等保密事项且无法提供信息的合法来源</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w:t>
      </w:r>
      <w:r>
        <w:rPr>
          <w:rFonts w:ascii="仿宋_GB2312" w:hAnsi="宋体" w:eastAsia="仿宋_GB2312" w:cs="Times New Roman"/>
          <w:kern w:val="0"/>
          <w:sz w:val="32"/>
          <w:szCs w:val="32"/>
        </w:rPr>
        <w:t>质疑已经处理并明确答复后，质疑人就同一事项再次提起质疑且未提供新的有效证据</w:t>
      </w:r>
      <w:r>
        <w:rPr>
          <w:rFonts w:hint="eastAsia" w:ascii="仿宋_GB2312" w:hAnsi="宋体" w:eastAsia="仿宋_GB2312" w:cs="Times New Roman"/>
          <w:kern w:val="0"/>
          <w:sz w:val="32"/>
          <w:szCs w:val="32"/>
        </w:rPr>
        <w:t>的</w:t>
      </w:r>
      <w:r>
        <w:rPr>
          <w:rFonts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应当对供应商无效质疑情况记录存档</w:t>
      </w:r>
      <w:r>
        <w:rPr>
          <w:rFonts w:hint="eastAsia"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（十）供应商</w:t>
      </w:r>
      <w:r>
        <w:rPr>
          <w:rFonts w:ascii="仿宋_GB2312" w:hAnsi="宋体" w:eastAsia="仿宋_GB2312" w:cs="Times New Roman"/>
          <w:kern w:val="0"/>
          <w:sz w:val="32"/>
          <w:szCs w:val="32"/>
        </w:rPr>
        <w:t>进行虚假和恶意质疑，干扰</w:t>
      </w:r>
      <w:r>
        <w:rPr>
          <w:rFonts w:hint="eastAsia" w:ascii="仿宋_GB2312" w:hAnsi="宋体" w:eastAsia="仿宋_GB2312" w:cs="Times New Roman"/>
          <w:kern w:val="0"/>
          <w:sz w:val="32"/>
          <w:szCs w:val="32"/>
        </w:rPr>
        <w:t>军队</w:t>
      </w:r>
      <w:r>
        <w:rPr>
          <w:rFonts w:ascii="仿宋_GB2312" w:hAnsi="宋体" w:eastAsia="仿宋_GB2312" w:cs="Times New Roman"/>
          <w:kern w:val="0"/>
          <w:sz w:val="32"/>
          <w:szCs w:val="32"/>
        </w:rPr>
        <w:t>采购活动的，</w:t>
      </w:r>
      <w:r>
        <w:rPr>
          <w:rFonts w:hint="eastAsia" w:ascii="仿宋_GB2312" w:hAnsi="宋体" w:eastAsia="仿宋_GB2312" w:cs="Times New Roman"/>
          <w:kern w:val="0"/>
          <w:sz w:val="32"/>
          <w:szCs w:val="32"/>
        </w:rPr>
        <w:t>质疑处理机构可以申请上级采购管理部门作出处罚。</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（十一）</w:t>
      </w:r>
      <w:r>
        <w:rPr>
          <w:rFonts w:ascii="仿宋_GB2312" w:hAnsi="宋体" w:eastAsia="仿宋_GB2312" w:cs="Times New Roman"/>
          <w:kern w:val="0"/>
          <w:sz w:val="32"/>
          <w:szCs w:val="32"/>
        </w:rPr>
        <w:t>对</w:t>
      </w:r>
      <w:r>
        <w:rPr>
          <w:rFonts w:hint="eastAsia" w:ascii="仿宋_GB2312" w:hAnsi="宋体" w:eastAsia="仿宋_GB2312" w:cs="Times New Roman"/>
          <w:kern w:val="0"/>
          <w:sz w:val="32"/>
          <w:szCs w:val="32"/>
        </w:rPr>
        <w:t>质疑处理机构</w:t>
      </w:r>
      <w:r>
        <w:rPr>
          <w:rFonts w:ascii="仿宋_GB2312" w:hAnsi="宋体" w:eastAsia="仿宋_GB2312" w:cs="Times New Roman"/>
          <w:kern w:val="0"/>
          <w:sz w:val="32"/>
          <w:szCs w:val="32"/>
        </w:rPr>
        <w:t>的书面答复及处理结果不满意，</w:t>
      </w:r>
      <w:r>
        <w:rPr>
          <w:rFonts w:hint="eastAsia" w:ascii="仿宋_GB2312" w:hAnsi="宋体" w:eastAsia="仿宋_GB2312" w:cs="Times New Roman"/>
          <w:kern w:val="0"/>
          <w:sz w:val="32"/>
          <w:szCs w:val="32"/>
        </w:rPr>
        <w:t>或者质疑处理机构未答复以及未在规定期限内作出答复的，</w:t>
      </w:r>
      <w:r>
        <w:rPr>
          <w:rFonts w:ascii="仿宋_GB2312" w:hAnsi="宋体" w:eastAsia="仿宋_GB2312" w:cs="Times New Roman"/>
          <w:kern w:val="0"/>
          <w:sz w:val="32"/>
          <w:szCs w:val="32"/>
        </w:rPr>
        <w:t>质疑人可以在</w:t>
      </w:r>
      <w:r>
        <w:rPr>
          <w:rFonts w:hint="eastAsia" w:ascii="仿宋_GB2312" w:hAnsi="宋体" w:eastAsia="仿宋_GB2312" w:cs="Times New Roman"/>
          <w:kern w:val="0"/>
          <w:sz w:val="32"/>
          <w:szCs w:val="32"/>
        </w:rPr>
        <w:t>质疑</w:t>
      </w:r>
      <w:r>
        <w:rPr>
          <w:rFonts w:ascii="仿宋_GB2312" w:hAnsi="宋体" w:eastAsia="仿宋_GB2312" w:cs="Times New Roman"/>
          <w:kern w:val="0"/>
          <w:sz w:val="32"/>
          <w:szCs w:val="32"/>
        </w:rPr>
        <w:t>答复</w:t>
      </w:r>
      <w:r>
        <w:rPr>
          <w:rFonts w:hint="eastAsia" w:ascii="仿宋_GB2312" w:hAnsi="宋体" w:eastAsia="仿宋_GB2312" w:cs="Times New Roman"/>
          <w:kern w:val="0"/>
          <w:sz w:val="32"/>
          <w:szCs w:val="32"/>
        </w:rPr>
        <w:t>期满</w:t>
      </w:r>
      <w:r>
        <w:rPr>
          <w:rFonts w:ascii="仿宋_GB2312" w:hAnsi="宋体" w:eastAsia="仿宋_GB2312" w:cs="Times New Roman"/>
          <w:kern w:val="0"/>
          <w:sz w:val="32"/>
          <w:szCs w:val="32"/>
        </w:rPr>
        <w:t>之日起</w:t>
      </w:r>
      <w:r>
        <w:rPr>
          <w:rFonts w:hint="eastAsia" w:ascii="仿宋_GB2312" w:hAnsi="宋体" w:eastAsia="仿宋_GB2312" w:cs="Times New Roman"/>
          <w:kern w:val="0"/>
          <w:sz w:val="32"/>
          <w:szCs w:val="32"/>
        </w:rPr>
        <w:t>15</w:t>
      </w:r>
      <w:r>
        <w:rPr>
          <w:rFonts w:ascii="仿宋_GB2312" w:hAnsi="宋体" w:eastAsia="仿宋_GB2312" w:cs="Times New Roman"/>
          <w:kern w:val="0"/>
          <w:sz w:val="32"/>
          <w:szCs w:val="32"/>
        </w:rPr>
        <w:t>个工作日内，向</w:t>
      </w:r>
      <w:r>
        <w:rPr>
          <w:rFonts w:hint="eastAsia" w:ascii="仿宋_GB2312" w:hAnsi="宋体" w:eastAsia="仿宋_GB2312" w:cs="Times New Roman"/>
          <w:kern w:val="0"/>
          <w:sz w:val="32"/>
          <w:szCs w:val="32"/>
        </w:rPr>
        <w:t>陆军后勤部采购供应局物资采购处</w:t>
      </w:r>
      <w:r>
        <w:rPr>
          <w:rFonts w:ascii="仿宋_GB2312" w:hAnsi="宋体" w:eastAsia="仿宋_GB2312" w:cs="Times New Roman"/>
          <w:kern w:val="0"/>
          <w:sz w:val="32"/>
          <w:szCs w:val="32"/>
        </w:rPr>
        <w:t>提出投诉。投诉电话：010-66</w:t>
      </w:r>
      <w:r>
        <w:rPr>
          <w:rFonts w:hint="eastAsia" w:ascii="仿宋_GB2312" w:hAnsi="宋体" w:eastAsia="仿宋_GB2312" w:cs="Times New Roman"/>
          <w:kern w:val="0"/>
          <w:sz w:val="32"/>
          <w:szCs w:val="32"/>
        </w:rPr>
        <w:t>718844</w:t>
      </w:r>
      <w:r>
        <w:rPr>
          <w:rFonts w:ascii="仿宋_GB2312" w:hAnsi="宋体" w:eastAsia="仿宋_GB2312" w:cs="Times New Roman"/>
          <w:kern w:val="0"/>
          <w:sz w:val="32"/>
          <w:szCs w:val="32"/>
        </w:rPr>
        <w:t>，010-</w:t>
      </w:r>
      <w:r>
        <w:rPr>
          <w:rFonts w:hint="eastAsia" w:ascii="仿宋_GB2312" w:hAnsi="宋体" w:eastAsia="仿宋_GB2312" w:cs="Times New Roman"/>
          <w:kern w:val="0"/>
          <w:sz w:val="32"/>
          <w:szCs w:val="32"/>
        </w:rPr>
        <w:t>66718851</w:t>
      </w:r>
      <w:r>
        <w:rPr>
          <w:rFonts w:ascii="仿宋_GB2312" w:hAnsi="宋体" w:eastAsia="仿宋_GB2312" w:cs="Times New Roman"/>
          <w:kern w:val="0"/>
          <w:sz w:val="32"/>
          <w:szCs w:val="32"/>
        </w:rPr>
        <w:t>。</w:t>
      </w:r>
    </w:p>
    <w:p>
      <w:pPr>
        <w:ind w:firstLine="542" w:firstLineChars="200"/>
        <w:rPr>
          <w:rFonts w:ascii="宋体" w:hAnsi="宋体" w:eastAsia="宋体" w:cs="Times New Roman"/>
          <w:snapToGrid w:val="0"/>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七、定标</w:t>
      </w:r>
    </w:p>
    <w:p>
      <w:pPr>
        <w:jc w:val="center"/>
        <w:rPr>
          <w:rFonts w:ascii="Times New Roman" w:hAnsi="Times New Roman" w:eastAsia="黑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w:t>
      </w:r>
      <w:r>
        <w:rPr>
          <w:rFonts w:ascii="仿宋_GB2312" w:hAnsi="宋体" w:eastAsia="仿宋_GB2312" w:cs="Times New Roman"/>
          <w:kern w:val="0"/>
          <w:sz w:val="32"/>
          <w:szCs w:val="32"/>
        </w:rPr>
        <w:t>确定</w:t>
      </w:r>
      <w:r>
        <w:rPr>
          <w:rFonts w:hint="eastAsia" w:ascii="仿宋_GB2312" w:hAnsi="宋体" w:eastAsia="仿宋_GB2312" w:cs="Times New Roman"/>
          <w:kern w:val="0"/>
          <w:sz w:val="32"/>
          <w:szCs w:val="32"/>
        </w:rPr>
        <w:t>中标人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评审结束后3个工作日内，招标人根据评标委员会提出的书面评标报告，在军队采购网（www.plap.cn）上公示评审结果，公示期为3个工作日。在公示期内无异议的，确定排名第一的投标人为招标项目中标人，对按中标比例确定中标人的采购项目，根据招标文件确定的中标人数量，按照评审排序依次确定2家以上投标人为中标人；公示期内有异议的，按照本须知“质疑与投诉”规定的程序处理。</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2.招标人有权根据采购任务变更等实际情况调整中标数量。</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（二）中标</w:t>
      </w:r>
      <w:r>
        <w:rPr>
          <w:rFonts w:ascii="仿宋_GB2312" w:hAnsi="宋体" w:eastAsia="仿宋_GB2312" w:cs="Times New Roman"/>
          <w:kern w:val="0"/>
          <w:sz w:val="32"/>
          <w:szCs w:val="32"/>
        </w:rPr>
        <w:t>通知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1.招标人在确定中标人后3个工作日内，以书面形式向中标人发出《中标通知书》，同时向未中标人发出《未中标通知书》。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2.《中标通知书》是签订合同草案的依据。若合同草案未获批准，招标人有权取消合同草案。</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中标</w:t>
      </w:r>
      <w:r>
        <w:rPr>
          <w:rFonts w:ascii="仿宋_GB2312" w:hAnsi="宋体" w:eastAsia="仿宋_GB2312" w:cs="Times New Roman"/>
          <w:kern w:val="0"/>
          <w:sz w:val="32"/>
          <w:szCs w:val="32"/>
        </w:rPr>
        <w:t>通知书》</w:t>
      </w:r>
      <w:r>
        <w:rPr>
          <w:rFonts w:hint="eastAsia" w:ascii="仿宋_GB2312" w:hAnsi="宋体" w:eastAsia="仿宋_GB2312" w:cs="Times New Roman"/>
          <w:kern w:val="0"/>
          <w:sz w:val="32"/>
          <w:szCs w:val="32"/>
        </w:rPr>
        <w:t>及签订的合同草案不能作为中标人启动生产或备货的依据，应待正式合同签订后再启动生产备货，否则，由此造成的后果由中标人自行承担。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（三）中标服务费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1.中标人须在与招标人签定正式合同前，向招标人交纳中标服务费。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2.中标服务费收取标准：中标合同金额的</w:t>
      </w:r>
      <w:r>
        <w:rPr>
          <w:rFonts w:hint="eastAsia" w:ascii="仿宋_GB2312" w:hAnsi="宋体" w:eastAsia="仿宋_GB2312" w:cs="Times New Roman"/>
          <w:kern w:val="0"/>
          <w:sz w:val="32"/>
          <w:szCs w:val="32"/>
          <w:u w:val="single"/>
        </w:rPr>
        <w:t xml:space="preserve">       </w:t>
      </w:r>
      <w:r>
        <w:rPr>
          <w:rFonts w:ascii="仿宋_GB2312" w:hAnsi="宋体" w:eastAsia="仿宋_GB2312" w:cs="Times New Roman"/>
          <w:kern w:val="0"/>
          <w:sz w:val="32"/>
          <w:szCs w:val="32"/>
          <w:u w:val="single"/>
        </w:rPr>
        <w:t>1.5%</w:t>
      </w:r>
      <w:r>
        <w:rPr>
          <w:rFonts w:hint="eastAsia" w:ascii="仿宋_GB2312" w:hAnsi="宋体" w:eastAsia="仿宋_GB2312" w:cs="Times New Roman"/>
          <w:kern w:val="0"/>
          <w:sz w:val="32"/>
          <w:szCs w:val="32"/>
          <w:u w:val="single"/>
        </w:rPr>
        <w:t xml:space="preserve">         </w:t>
      </w:r>
      <w:r>
        <w:rPr>
          <w:rFonts w:hint="eastAsia" w:ascii="仿宋_GB2312" w:hAnsi="宋体" w:eastAsia="仿宋_GB2312" w:cs="Times New Roman"/>
          <w:kern w:val="0"/>
          <w:sz w:val="32"/>
          <w:szCs w:val="32"/>
        </w:rPr>
        <w:t>。</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3.中标服务费只能以银行转账方式支付。</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4.中标人未按上述规定缴纳中标服务费的，招标人将不予退还投标保证金，且招标人有权取消其中标资格和拒签合同。</w:t>
      </w:r>
    </w:p>
    <w:p>
      <w:pPr>
        <w:ind w:firstLine="622" w:firstLineChars="200"/>
        <w:rPr>
          <w:rFonts w:ascii="仿宋_GB2312" w:hAnsi="宋体" w:eastAsia="仿宋_GB2312" w:cs="Times New Roman"/>
          <w:kern w:val="0"/>
          <w:sz w:val="32"/>
          <w:szCs w:val="32"/>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八、签订</w:t>
      </w:r>
      <w:r>
        <w:rPr>
          <w:rFonts w:ascii="Times New Roman" w:hAnsi="Times New Roman" w:eastAsia="黑体" w:cs="Times New Roman"/>
          <w:kern w:val="0"/>
          <w:sz w:val="32"/>
          <w:szCs w:val="32"/>
        </w:rPr>
        <w:t>合同</w:t>
      </w:r>
    </w:p>
    <w:p>
      <w:pPr>
        <w:jc w:val="center"/>
        <w:rPr>
          <w:rFonts w:ascii="Times New Roman" w:hAnsi="Times New Roman" w:eastAsia="黑体" w:cs="Times New Roman"/>
          <w:kern w:val="0"/>
          <w:sz w:val="32"/>
          <w:szCs w:val="32"/>
        </w:rPr>
      </w:pPr>
    </w:p>
    <w:p>
      <w:pPr>
        <w:ind w:firstLine="622" w:firstLineChars="200"/>
        <w:rPr>
          <w:rFonts w:ascii="仿宋_GB2312" w:hAnsi="宋体" w:eastAsia="仿宋_GB2312" w:cs="Times New Roman"/>
          <w:kern w:val="0"/>
          <w:sz w:val="32"/>
          <w:szCs w:val="32"/>
        </w:rPr>
      </w:pPr>
      <w:r>
        <w:rPr>
          <w:rFonts w:ascii="仿宋_GB2312" w:hAnsi="宋体" w:eastAsia="仿宋_GB2312" w:cs="Times New Roman"/>
          <w:kern w:val="0"/>
          <w:sz w:val="32"/>
          <w:szCs w:val="32"/>
        </w:rPr>
        <w:t>（一）</w:t>
      </w:r>
      <w:r>
        <w:rPr>
          <w:rFonts w:hint="eastAsia" w:ascii="仿宋_GB2312" w:hAnsi="宋体" w:eastAsia="仿宋_GB2312" w:cs="Times New Roman"/>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（二）招标文件、中标人的投标文件、补充投标文件、澄清承诺、说明、补正和《中标通知书》等，均为签订合同的依据。</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（三）所签订的合同不得对招标文件和中标人投标文件作实质性修改。</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（四）中标人应当按照合同约定履行义务，完成中标项目。中标人不得向他人转让中标项目，也不得将中标项目分包向他人转让或委托加工。</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※（五）本次招标不收取合同履约保证金。</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九、</w:t>
      </w:r>
      <w:r>
        <w:rPr>
          <w:rFonts w:ascii="Times New Roman" w:hAnsi="Times New Roman" w:eastAsia="黑体" w:cs="Times New Roman"/>
          <w:kern w:val="0"/>
          <w:sz w:val="32"/>
          <w:szCs w:val="32"/>
        </w:rPr>
        <w:t>产品</w:t>
      </w:r>
      <w:r>
        <w:rPr>
          <w:rFonts w:hint="eastAsia" w:ascii="Times New Roman" w:hAnsi="Times New Roman" w:eastAsia="黑体" w:cs="Times New Roman"/>
          <w:kern w:val="0"/>
          <w:sz w:val="32"/>
          <w:szCs w:val="32"/>
        </w:rPr>
        <w:t>质量</w:t>
      </w:r>
      <w:r>
        <w:rPr>
          <w:rFonts w:ascii="Times New Roman" w:hAnsi="Times New Roman" w:eastAsia="黑体" w:cs="Times New Roman"/>
          <w:kern w:val="0"/>
          <w:sz w:val="32"/>
          <w:szCs w:val="32"/>
        </w:rPr>
        <w:t>检验验收</w:t>
      </w:r>
    </w:p>
    <w:p>
      <w:pPr>
        <w:ind w:firstLine="542" w:firstLineChars="200"/>
        <w:rPr>
          <w:rFonts w:ascii="宋体" w:hAnsi="宋体" w:eastAsia="宋体" w:cs="宋体"/>
          <w:snapToGrid w:val="0"/>
          <w:color w:val="0000FF"/>
          <w:kern w:val="0"/>
          <w:sz w:val="28"/>
          <w:szCs w:val="28"/>
          <w:lang w:val="zh-CN"/>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※（一）中标人未生产过</w:t>
      </w:r>
      <w:r>
        <w:rPr>
          <w:rFonts w:ascii="仿宋_GB2312" w:hAnsi="宋体" w:eastAsia="仿宋_GB2312" w:cs="Times New Roman"/>
          <w:kern w:val="0"/>
          <w:sz w:val="32"/>
          <w:szCs w:val="32"/>
        </w:rPr>
        <w:t>的产品，</w:t>
      </w:r>
      <w:r>
        <w:rPr>
          <w:rFonts w:hint="eastAsia" w:ascii="仿宋_GB2312" w:hAnsi="宋体" w:eastAsia="仿宋_GB2312" w:cs="Times New Roman"/>
          <w:kern w:val="0"/>
          <w:sz w:val="32"/>
          <w:szCs w:val="32"/>
        </w:rPr>
        <w:t>应当</w:t>
      </w:r>
      <w:r>
        <w:rPr>
          <w:rFonts w:ascii="仿宋_GB2312" w:hAnsi="宋体" w:eastAsia="仿宋_GB2312" w:cs="Times New Roman"/>
          <w:kern w:val="0"/>
          <w:sz w:val="32"/>
          <w:szCs w:val="32"/>
        </w:rPr>
        <w:t>进行首</w:t>
      </w:r>
      <w:r>
        <w:rPr>
          <w:rFonts w:hint="eastAsia" w:ascii="仿宋_GB2312" w:hAnsi="宋体" w:eastAsia="仿宋_GB2312" w:cs="Times New Roman"/>
          <w:kern w:val="0"/>
          <w:sz w:val="32"/>
          <w:szCs w:val="32"/>
        </w:rPr>
        <w:t>件或首</w:t>
      </w:r>
      <w:r>
        <w:rPr>
          <w:rFonts w:ascii="仿宋_GB2312" w:hAnsi="宋体" w:eastAsia="仿宋_GB2312" w:cs="Times New Roman"/>
          <w:kern w:val="0"/>
          <w:sz w:val="32"/>
          <w:szCs w:val="32"/>
        </w:rPr>
        <w:t>批产品质量检验</w:t>
      </w:r>
      <w:r>
        <w:rPr>
          <w:rFonts w:hint="eastAsia" w:ascii="仿宋_GB2312" w:hAnsi="宋体" w:eastAsia="仿宋_GB2312" w:cs="Times New Roman"/>
          <w:kern w:val="0"/>
          <w:sz w:val="32"/>
          <w:szCs w:val="32"/>
        </w:rPr>
        <w:t>，即为首检</w:t>
      </w:r>
      <w:r>
        <w:rPr>
          <w:rFonts w:ascii="仿宋_GB2312" w:hAnsi="宋体" w:eastAsia="仿宋_GB2312" w:cs="Times New Roman"/>
          <w:kern w:val="0"/>
          <w:sz w:val="32"/>
          <w:szCs w:val="32"/>
        </w:rPr>
        <w:t>。通过</w:t>
      </w:r>
      <w:r>
        <w:rPr>
          <w:rFonts w:hint="eastAsia" w:ascii="仿宋_GB2312" w:hAnsi="宋体" w:eastAsia="仿宋_GB2312" w:cs="Times New Roman"/>
          <w:kern w:val="0"/>
          <w:sz w:val="32"/>
          <w:szCs w:val="32"/>
        </w:rPr>
        <w:t>首检</w:t>
      </w:r>
      <w:r>
        <w:rPr>
          <w:rFonts w:ascii="仿宋_GB2312" w:hAnsi="宋体" w:eastAsia="仿宋_GB2312" w:cs="Times New Roman"/>
          <w:kern w:val="0"/>
          <w:sz w:val="32"/>
          <w:szCs w:val="32"/>
        </w:rPr>
        <w:t>的产品，方可投入批量生产</w:t>
      </w:r>
      <w:r>
        <w:rPr>
          <w:rFonts w:hint="eastAsia" w:ascii="仿宋_GB2312" w:hAnsi="宋体" w:eastAsia="仿宋_GB2312" w:cs="Times New Roman"/>
          <w:kern w:val="0"/>
          <w:sz w:val="32"/>
          <w:szCs w:val="32"/>
        </w:rPr>
        <w:t>，应预付货款的办理预付款</w:t>
      </w:r>
      <w:r>
        <w:rPr>
          <w:rFonts w:ascii="仿宋_GB2312" w:hAnsi="宋体" w:eastAsia="仿宋_GB2312" w:cs="Times New Roman"/>
          <w:kern w:val="0"/>
          <w:sz w:val="32"/>
          <w:szCs w:val="32"/>
        </w:rPr>
        <w:t>；未通过</w:t>
      </w:r>
      <w:r>
        <w:rPr>
          <w:rFonts w:hint="eastAsia" w:ascii="仿宋_GB2312" w:hAnsi="宋体" w:eastAsia="仿宋_GB2312" w:cs="Times New Roman"/>
          <w:kern w:val="0"/>
          <w:sz w:val="32"/>
          <w:szCs w:val="32"/>
        </w:rPr>
        <w:t>首检</w:t>
      </w:r>
      <w:r>
        <w:rPr>
          <w:rFonts w:ascii="仿宋_GB2312" w:hAnsi="宋体" w:eastAsia="仿宋_GB2312" w:cs="Times New Roman"/>
          <w:kern w:val="0"/>
          <w:sz w:val="32"/>
          <w:szCs w:val="32"/>
        </w:rPr>
        <w:t>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将书面通知</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限期整改，整改后进行第二次检验，检验合格后方可投入批量生产。第二次检验仍未通过的，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不预付货款，并有权取消采购合同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承担。按照采购合同应当进行首检，</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未申请</w:t>
      </w:r>
      <w:r>
        <w:rPr>
          <w:rFonts w:hint="eastAsia" w:ascii="仿宋_GB2312" w:hAnsi="宋体" w:eastAsia="仿宋_GB2312" w:cs="Times New Roman"/>
          <w:kern w:val="0"/>
          <w:sz w:val="32"/>
          <w:szCs w:val="32"/>
        </w:rPr>
        <w:t>首检且</w:t>
      </w:r>
      <w:r>
        <w:rPr>
          <w:rFonts w:ascii="仿宋_GB2312" w:hAnsi="宋体" w:eastAsia="仿宋_GB2312" w:cs="Times New Roman"/>
          <w:kern w:val="0"/>
          <w:sz w:val="32"/>
          <w:szCs w:val="32"/>
        </w:rPr>
        <w:t>直接投入批量生产的，或者首检以及二次检验未通过</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擅自投入批量生产的，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将取消</w:t>
      </w:r>
      <w:r>
        <w:rPr>
          <w:rFonts w:hint="eastAsia" w:ascii="仿宋_GB2312" w:hAnsi="宋体" w:eastAsia="仿宋_GB2312" w:cs="Times New Roman"/>
          <w:kern w:val="0"/>
          <w:sz w:val="32"/>
          <w:szCs w:val="32"/>
        </w:rPr>
        <w:t>或解除</w:t>
      </w:r>
      <w:r>
        <w:rPr>
          <w:rFonts w:ascii="仿宋_GB2312" w:hAnsi="宋体" w:eastAsia="仿宋_GB2312" w:cs="Times New Roman"/>
          <w:kern w:val="0"/>
          <w:sz w:val="32"/>
          <w:szCs w:val="32"/>
        </w:rPr>
        <w:t>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※（二）产品生产过程中，合同甲方代表可组织质量监督检验，中标人应予以积极配合。</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（三）产品</w:t>
      </w:r>
      <w:r>
        <w:rPr>
          <w:rFonts w:ascii="仿宋_GB2312" w:hAnsi="宋体" w:eastAsia="仿宋_GB2312" w:cs="Times New Roman"/>
          <w:kern w:val="0"/>
          <w:sz w:val="32"/>
          <w:szCs w:val="32"/>
        </w:rPr>
        <w:t>出厂前，</w:t>
      </w:r>
      <w:r>
        <w:rPr>
          <w:rFonts w:hint="eastAsia" w:ascii="仿宋_GB2312" w:hAnsi="宋体" w:eastAsia="仿宋_GB2312" w:cs="Times New Roman"/>
          <w:kern w:val="0"/>
          <w:sz w:val="32"/>
          <w:szCs w:val="32"/>
        </w:rPr>
        <w:t>中标人应当进行产品自检，自检合格后</w:t>
      </w:r>
      <w:r>
        <w:rPr>
          <w:rFonts w:ascii="仿宋_GB2312" w:hAnsi="宋体" w:eastAsia="仿宋_GB2312" w:cs="Times New Roman"/>
          <w:kern w:val="0"/>
          <w:sz w:val="32"/>
          <w:szCs w:val="32"/>
        </w:rPr>
        <w:t>向</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申请出厂验收，验收合格后方可出厂。</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（四）产品</w:t>
      </w:r>
      <w:r>
        <w:rPr>
          <w:rFonts w:ascii="仿宋_GB2312" w:hAnsi="宋体" w:eastAsia="仿宋_GB2312" w:cs="Times New Roman"/>
          <w:kern w:val="0"/>
          <w:sz w:val="32"/>
          <w:szCs w:val="32"/>
        </w:rPr>
        <w:t>出厂验收不合格，</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有权拒收货物和</w:t>
      </w:r>
      <w:r>
        <w:rPr>
          <w:rFonts w:hint="eastAsia" w:ascii="仿宋_GB2312" w:hAnsi="宋体" w:eastAsia="仿宋_GB2312" w:cs="Times New Roman"/>
          <w:kern w:val="0"/>
          <w:sz w:val="32"/>
          <w:szCs w:val="32"/>
        </w:rPr>
        <w:t>解除</w:t>
      </w:r>
      <w:r>
        <w:rPr>
          <w:rFonts w:ascii="仿宋_GB2312" w:hAnsi="宋体" w:eastAsia="仿宋_GB2312" w:cs="Times New Roman"/>
          <w:kern w:val="0"/>
          <w:sz w:val="32"/>
          <w:szCs w:val="32"/>
        </w:rPr>
        <w:t>采购合同，由此造成的损失，由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承担。出厂验收</w:t>
      </w:r>
      <w:r>
        <w:rPr>
          <w:rFonts w:hint="eastAsia" w:ascii="仿宋_GB2312" w:hAnsi="宋体" w:eastAsia="仿宋_GB2312" w:cs="Times New Roman"/>
          <w:kern w:val="0"/>
          <w:sz w:val="32"/>
          <w:szCs w:val="32"/>
        </w:rPr>
        <w:t>过程中，中标人可有1次整改机会，若第一次检验未通过，合同甲方</w:t>
      </w:r>
      <w:r>
        <w:rPr>
          <w:rFonts w:ascii="仿宋_GB2312" w:hAnsi="宋体" w:eastAsia="仿宋_GB2312" w:cs="Times New Roman"/>
          <w:kern w:val="0"/>
          <w:sz w:val="32"/>
          <w:szCs w:val="32"/>
        </w:rPr>
        <w:t>将书面通知</w:t>
      </w:r>
      <w:r>
        <w:rPr>
          <w:rFonts w:hint="eastAsia" w:ascii="仿宋_GB2312" w:hAnsi="宋体" w:eastAsia="仿宋_GB2312" w:cs="Times New Roman"/>
          <w:kern w:val="0"/>
          <w:sz w:val="32"/>
          <w:szCs w:val="32"/>
        </w:rPr>
        <w:t>成交供应商</w:t>
      </w:r>
      <w:r>
        <w:rPr>
          <w:rFonts w:ascii="仿宋_GB2312" w:hAnsi="宋体" w:eastAsia="仿宋_GB2312" w:cs="Times New Roman"/>
          <w:kern w:val="0"/>
          <w:sz w:val="32"/>
          <w:szCs w:val="32"/>
        </w:rPr>
        <w:t>限期整改，整改后进行第二次检验，检验合格后方可</w:t>
      </w:r>
      <w:r>
        <w:rPr>
          <w:rFonts w:hint="eastAsia" w:ascii="仿宋_GB2312" w:hAnsi="宋体" w:eastAsia="仿宋_GB2312" w:cs="Times New Roman"/>
          <w:kern w:val="0"/>
          <w:sz w:val="32"/>
          <w:szCs w:val="32"/>
        </w:rPr>
        <w:t>出厂</w:t>
      </w:r>
      <w:r>
        <w:rPr>
          <w:rFonts w:ascii="仿宋_GB2312" w:hAnsi="宋体" w:eastAsia="仿宋_GB2312" w:cs="Times New Roman"/>
          <w:kern w:val="0"/>
          <w:sz w:val="32"/>
          <w:szCs w:val="32"/>
        </w:rPr>
        <w:t>。</w:t>
      </w:r>
      <w:r>
        <w:rPr>
          <w:rFonts w:hint="eastAsia" w:ascii="仿宋_GB2312" w:hAnsi="宋体" w:eastAsia="仿宋_GB2312" w:cs="Times New Roman"/>
          <w:kern w:val="0"/>
          <w:sz w:val="32"/>
          <w:szCs w:val="32"/>
        </w:rPr>
        <w:t>若</w:t>
      </w:r>
      <w:r>
        <w:rPr>
          <w:rFonts w:ascii="仿宋_GB2312" w:hAnsi="宋体" w:eastAsia="仿宋_GB2312" w:cs="Times New Roman"/>
          <w:kern w:val="0"/>
          <w:sz w:val="32"/>
          <w:szCs w:val="32"/>
        </w:rPr>
        <w:t>第二次检验仍未通过的，</w:t>
      </w:r>
      <w:r>
        <w:rPr>
          <w:rFonts w:hint="eastAsia" w:ascii="仿宋_GB2312" w:hAnsi="宋体" w:eastAsia="仿宋_GB2312" w:cs="Times New Roman"/>
          <w:kern w:val="0"/>
          <w:sz w:val="32"/>
          <w:szCs w:val="32"/>
        </w:rPr>
        <w:t>合同甲方</w:t>
      </w:r>
      <w:r>
        <w:rPr>
          <w:rFonts w:ascii="仿宋_GB2312" w:hAnsi="宋体" w:eastAsia="仿宋_GB2312" w:cs="Times New Roman"/>
          <w:kern w:val="0"/>
          <w:sz w:val="32"/>
          <w:szCs w:val="32"/>
        </w:rPr>
        <w:t>有权取消</w:t>
      </w:r>
      <w:r>
        <w:rPr>
          <w:rFonts w:hint="eastAsia" w:ascii="仿宋_GB2312" w:hAnsi="宋体" w:eastAsia="仿宋_GB2312" w:cs="Times New Roman"/>
          <w:kern w:val="0"/>
          <w:sz w:val="32"/>
          <w:szCs w:val="32"/>
        </w:rPr>
        <w:t>或解除</w:t>
      </w:r>
      <w:r>
        <w:rPr>
          <w:rFonts w:ascii="仿宋_GB2312" w:hAnsi="宋体" w:eastAsia="仿宋_GB2312" w:cs="Times New Roman"/>
          <w:kern w:val="0"/>
          <w:sz w:val="32"/>
          <w:szCs w:val="32"/>
        </w:rPr>
        <w:t>采购合同</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由此造成的损失，由</w:t>
      </w:r>
      <w:r>
        <w:rPr>
          <w:rFonts w:hint="eastAsia" w:ascii="仿宋_GB2312" w:hAnsi="宋体" w:eastAsia="仿宋_GB2312" w:cs="Times New Roman"/>
          <w:kern w:val="0"/>
          <w:sz w:val="32"/>
          <w:szCs w:val="32"/>
        </w:rPr>
        <w:t>中标人</w:t>
      </w:r>
      <w:r>
        <w:rPr>
          <w:rFonts w:ascii="仿宋_GB2312" w:hAnsi="宋体" w:eastAsia="仿宋_GB2312" w:cs="Times New Roman"/>
          <w:kern w:val="0"/>
          <w:sz w:val="32"/>
          <w:szCs w:val="32"/>
        </w:rPr>
        <w:t>承担。</w:t>
      </w:r>
    </w:p>
    <w:p>
      <w:pPr>
        <w:ind w:firstLine="542" w:firstLineChars="200"/>
        <w:rPr>
          <w:rFonts w:ascii="宋体" w:hAnsi="宋体" w:eastAsia="宋体" w:cs="Times New Roman"/>
          <w:kern w:val="0"/>
          <w:sz w:val="28"/>
          <w:szCs w:val="28"/>
        </w:rPr>
      </w:pPr>
    </w:p>
    <w:p>
      <w:pPr>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十、</w:t>
      </w:r>
      <w:r>
        <w:rPr>
          <w:rFonts w:ascii="Times New Roman" w:hAnsi="Times New Roman" w:eastAsia="黑体" w:cs="Times New Roman"/>
          <w:kern w:val="0"/>
          <w:sz w:val="32"/>
          <w:szCs w:val="32"/>
        </w:rPr>
        <w:t>解释权限</w:t>
      </w:r>
    </w:p>
    <w:p>
      <w:pPr>
        <w:ind w:firstLine="542" w:firstLineChars="200"/>
        <w:rPr>
          <w:rFonts w:ascii="宋体" w:hAnsi="宋体" w:eastAsia="宋体" w:cs="Times New Roman"/>
          <w:kern w:val="0"/>
          <w:sz w:val="28"/>
          <w:szCs w:val="28"/>
        </w:rPr>
      </w:pPr>
    </w:p>
    <w:p>
      <w:pPr>
        <w:ind w:firstLine="62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92" w:gutter="0"/>
          <w:cols w:space="425" w:num="1"/>
          <w:docGrid w:type="linesAndChars" w:linePitch="579" w:charSpace="-1844"/>
        </w:sectPr>
      </w:pPr>
      <w:r>
        <w:rPr>
          <w:rFonts w:ascii="仿宋_GB2312" w:hAnsi="宋体" w:eastAsia="仿宋_GB2312" w:cs="Times New Roman"/>
          <w:kern w:val="0"/>
          <w:sz w:val="32"/>
          <w:szCs w:val="32"/>
        </w:rPr>
        <w:t>本</w:t>
      </w:r>
      <w:r>
        <w:rPr>
          <w:rFonts w:hint="eastAsia" w:ascii="仿宋_GB2312" w:hAnsi="宋体" w:eastAsia="仿宋_GB2312" w:cs="Times New Roman"/>
          <w:kern w:val="0"/>
          <w:sz w:val="32"/>
          <w:szCs w:val="32"/>
        </w:rPr>
        <w:t>招标</w:t>
      </w:r>
      <w:r>
        <w:rPr>
          <w:rFonts w:ascii="仿宋_GB2312" w:hAnsi="宋体" w:eastAsia="仿宋_GB2312" w:cs="Times New Roman"/>
          <w:kern w:val="0"/>
          <w:sz w:val="32"/>
          <w:szCs w:val="32"/>
        </w:rPr>
        <w:t>文件由</w:t>
      </w:r>
      <w:r>
        <w:rPr>
          <w:rFonts w:hint="eastAsia" w:ascii="仿宋_GB2312" w:hAnsi="宋体" w:eastAsia="仿宋_GB2312" w:cs="Times New Roman"/>
          <w:kern w:val="0"/>
          <w:sz w:val="32"/>
          <w:szCs w:val="32"/>
        </w:rPr>
        <w:t>招标人</w:t>
      </w:r>
      <w:r>
        <w:rPr>
          <w:rFonts w:ascii="仿宋_GB2312" w:hAnsi="宋体" w:eastAsia="仿宋_GB2312" w:cs="Times New Roman"/>
          <w:kern w:val="0"/>
          <w:sz w:val="32"/>
          <w:szCs w:val="32"/>
        </w:rPr>
        <w:t>负责解释。</w:t>
      </w:r>
    </w:p>
    <w:p>
      <w:pPr>
        <w:spacing w:line="560" w:lineRule="exact"/>
        <w:jc w:val="center"/>
        <w:outlineLvl w:val="0"/>
        <w:rPr>
          <w:rFonts w:ascii="Times New Roman" w:hAnsi="Times New Roman" w:eastAsia="方正小标宋简体" w:cs="Times New Roman"/>
          <w:bCs/>
          <w:kern w:val="0"/>
          <w:sz w:val="44"/>
          <w:szCs w:val="44"/>
        </w:rPr>
      </w:pPr>
      <w:bookmarkStart w:id="12" w:name="_Toc285612603"/>
      <w:bookmarkStart w:id="13" w:name="_Toc435540981"/>
      <w:bookmarkStart w:id="14" w:name="_Toc390713969"/>
      <w:r>
        <w:rPr>
          <w:rFonts w:hint="eastAsia" w:ascii="Times New Roman" w:hAnsi="Times New Roman" w:eastAsia="方正小标宋简体" w:cs="Times New Roman"/>
          <w:bCs/>
          <w:kern w:val="0"/>
          <w:sz w:val="44"/>
          <w:szCs w:val="44"/>
        </w:rPr>
        <w:t>第四部分</w:t>
      </w:r>
      <w:r>
        <w:rPr>
          <w:rFonts w:ascii="Times New Roman" w:hAnsi="Times New Roman" w:eastAsia="方正小标宋简体" w:cs="Times New Roman"/>
          <w:bCs/>
          <w:kern w:val="0"/>
          <w:sz w:val="44"/>
          <w:szCs w:val="44"/>
        </w:rPr>
        <w:t xml:space="preserve">  </w:t>
      </w:r>
      <w:r>
        <w:rPr>
          <w:rFonts w:hint="eastAsia" w:ascii="Times New Roman" w:hAnsi="Times New Roman" w:eastAsia="方正小标宋简体" w:cs="Times New Roman"/>
          <w:bCs/>
          <w:kern w:val="0"/>
          <w:sz w:val="44"/>
          <w:szCs w:val="44"/>
        </w:rPr>
        <w:t>合同样本</w:t>
      </w:r>
      <w:bookmarkEnd w:id="12"/>
      <w:bookmarkEnd w:id="13"/>
      <w:bookmarkEnd w:id="14"/>
    </w:p>
    <w:p>
      <w:pPr>
        <w:adjustRightInd w:val="0"/>
        <w:snapToGrid w:val="0"/>
        <w:spacing w:line="560" w:lineRule="exact"/>
        <w:ind w:right="343" w:rightChars="176"/>
        <w:jc w:val="center"/>
        <w:rPr>
          <w:rFonts w:ascii="Times New Roman" w:hAnsi="Times New Roman" w:eastAsia="华文中宋" w:cs="Times New Roman"/>
          <w:b/>
          <w:bCs/>
          <w:sz w:val="48"/>
        </w:rPr>
      </w:pPr>
    </w:p>
    <w:p>
      <w:pPr>
        <w:adjustRightInd w:val="0"/>
        <w:snapToGrid w:val="0"/>
        <w:spacing w:line="560" w:lineRule="exact"/>
        <w:jc w:val="center"/>
        <w:rPr>
          <w:rFonts w:ascii="Times New Roman" w:hAnsi="Times New Roman" w:eastAsia="方正小标宋简体" w:cs="Times New Roman"/>
          <w:bCs/>
          <w:sz w:val="48"/>
        </w:rPr>
      </w:pPr>
      <w:r>
        <w:rPr>
          <w:rFonts w:ascii="Times New Roman" w:hAnsi="Times New Roman" w:eastAsia="华文中宋" w:cs="Times New Roman"/>
          <w:b/>
          <w:bCs/>
          <w:sz w:val="48"/>
        </w:rPr>
        <w:t xml:space="preserve">  </w:t>
      </w:r>
      <w:r>
        <w:rPr>
          <w:rFonts w:ascii="Times New Roman" w:hAnsi="Times New Roman" w:eastAsia="华文中宋" w:cs="Times New Roman"/>
          <w:b/>
          <w:bCs/>
          <w:sz w:val="48"/>
          <w:u w:val="single"/>
        </w:rPr>
        <w:t xml:space="preserve">              </w:t>
      </w:r>
      <w:r>
        <w:rPr>
          <w:rFonts w:hint="eastAsia" w:ascii="Times New Roman" w:hAnsi="Times New Roman" w:eastAsia="方正小标宋简体" w:cs="Times New Roman"/>
          <w:bCs/>
          <w:sz w:val="48"/>
        </w:rPr>
        <w:t>采</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购</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合</w:t>
      </w:r>
      <w:r>
        <w:rPr>
          <w:rFonts w:ascii="Times New Roman" w:hAnsi="Times New Roman" w:eastAsia="方正小标宋简体" w:cs="Times New Roman"/>
          <w:bCs/>
          <w:sz w:val="48"/>
        </w:rPr>
        <w:t xml:space="preserve"> </w:t>
      </w:r>
      <w:r>
        <w:rPr>
          <w:rFonts w:hint="eastAsia" w:ascii="Times New Roman" w:hAnsi="Times New Roman" w:eastAsia="方正小标宋简体" w:cs="Times New Roman"/>
          <w:bCs/>
          <w:sz w:val="48"/>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密级</w:t>
      </w:r>
    </w:p>
    <w:p>
      <w:pPr>
        <w:adjustRightInd w:val="0"/>
        <w:snapToGrid w:val="0"/>
        <w:spacing w:line="300" w:lineRule="exact"/>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2"/>
        <w:gridCol w:w="659"/>
        <w:gridCol w:w="148"/>
        <w:gridCol w:w="1272"/>
        <w:gridCol w:w="849"/>
        <w:gridCol w:w="389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spacing w:line="240" w:lineRule="exact"/>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一、计划任务文号：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合同批准文号：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采购机构资格证号：</w:t>
            </w:r>
            <w:r>
              <w:rPr>
                <w:rFonts w:hint="eastAsia" w:ascii="Times New Roman" w:hAnsi="Times New Roman" w:eastAsia="宋体" w:cs="Times New Roman"/>
                <w:bCs/>
                <w:snapToGrid w:val="0"/>
                <w:spacing w:val="-10"/>
                <w:szCs w:val="21"/>
                <w:u w:val="single"/>
              </w:rPr>
              <w:t xml:space="preserve">                      </w:t>
            </w:r>
          </w:p>
          <w:p>
            <w:pPr>
              <w:adjustRightInd w:val="0"/>
              <w:snapToGrid w:val="0"/>
              <w:spacing w:line="240" w:lineRule="exact"/>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商标</w:t>
            </w: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spacing w:line="240" w:lineRule="exact"/>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spacing w:line="240" w:lineRule="exact"/>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spacing w:line="240" w:lineRule="exact"/>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spacing w:line="240" w:lineRule="exact"/>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8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43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240" w:lineRule="exact"/>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spacing w:line="240" w:lineRule="exact"/>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spacing w:line="240" w:lineRule="exact"/>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spacing w:line="300" w:lineRule="exact"/>
        <w:rPr>
          <w:rFonts w:ascii="Times New Roman" w:hAnsi="Times New Roman" w:eastAsia="华文中宋" w:cs="Times New Roman"/>
          <w:bCs/>
          <w:szCs w:val="21"/>
        </w:rPr>
      </w:pP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spacing w:line="260" w:lineRule="exact"/>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spacing w:line="260" w:lineRule="exact"/>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spacing w:line="260" w:lineRule="exact"/>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spacing w:line="260" w:lineRule="exact"/>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spacing w:line="260" w:lineRule="exact"/>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spacing w:line="260" w:lineRule="exact"/>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spacing w:line="260" w:lineRule="exact"/>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spacing w:line="260" w:lineRule="exact"/>
              <w:ind w:firstLine="248" w:firstLineChars="150"/>
              <w:rPr>
                <w:rFonts w:ascii="宋体" w:hAnsi="宋体" w:eastAsia="宋体" w:cs="Times New Roman"/>
                <w:snapToGrid w:val="0"/>
                <w:sz w:val="18"/>
              </w:rPr>
            </w:pPr>
            <w:r>
              <w:rPr>
                <w:rFonts w:hint="eastAsia" w:ascii="宋体" w:hAnsi="宋体" w:eastAsia="宋体" w:cs="Times New Roman"/>
                <w:snapToGrid w:val="0"/>
                <w:sz w:val="18"/>
              </w:rPr>
              <w:t>正式合同一式</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份，正本两份，甲乙双方各执一份，副本</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份，正副本合同具有同等法律效力。</w:t>
            </w:r>
            <w:r>
              <w:rPr>
                <w:rFonts w:ascii="宋体" w:hAnsi="宋体" w:eastAsia="宋体" w:cs="Times New Roman"/>
                <w:snapToGrid w:val="0"/>
                <w:sz w:val="18"/>
              </w:rPr>
              <w:t>□</w:t>
            </w:r>
            <w:r>
              <w:rPr>
                <w:rFonts w:hint="eastAsia" w:ascii="宋体" w:hAnsi="宋体" w:eastAsia="宋体" w:cs="Times New Roman"/>
                <w:snapToGrid w:val="0"/>
                <w:sz w:val="18"/>
              </w:rPr>
              <w:t>合同有效期限</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spacing w:line="260" w:lineRule="exact"/>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spacing w:line="260" w:lineRule="exact"/>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r>
        <w:rPr>
          <w:rFonts w:hint="eastAsia" w:ascii="宋体" w:hAnsi="宋体" w:eastAsia="宋体" w:cs="Times New Roman"/>
          <w:szCs w:val="21"/>
        </w:rPr>
        <w:t>说明：</w:t>
      </w:r>
      <w:r>
        <w:rPr>
          <w:rFonts w:ascii="宋体" w:hAnsi="宋体" w:eastAsia="宋体" w:cs="Times New Roman"/>
          <w:szCs w:val="21"/>
        </w:rPr>
        <w:t>1.</w:t>
      </w:r>
      <w:r>
        <w:rPr>
          <w:rFonts w:hint="eastAsia" w:ascii="宋体" w:hAnsi="宋体" w:eastAsia="宋体" w:cs="宋体"/>
          <w:snapToGrid w:val="0"/>
          <w:kern w:val="0"/>
          <w:szCs w:val="21"/>
          <w:lang w:val="zh-CN"/>
        </w:rPr>
        <w:t>※本合同依托军队采购网打印。</w:t>
      </w:r>
      <w:r>
        <w:rPr>
          <w:rFonts w:hint="eastAsia" w:ascii="宋体" w:hAnsi="宋体" w:eastAsia="宋体" w:cs="Times New Roman"/>
          <w:szCs w:val="21"/>
        </w:rPr>
        <w:t>在适用的条款</w:t>
      </w:r>
      <w:r>
        <w:rPr>
          <w:rFonts w:ascii="宋体" w:hAnsi="宋体" w:eastAsia="宋体" w:cs="Times New Roman"/>
          <w:szCs w:val="21"/>
        </w:rPr>
        <w:t>“□”</w:t>
      </w:r>
      <w:r>
        <w:rPr>
          <w:rFonts w:hint="eastAsia" w:ascii="宋体" w:hAnsi="宋体" w:eastAsia="宋体" w:cs="Times New Roman"/>
          <w:szCs w:val="21"/>
        </w:rPr>
        <w:t>中打</w:t>
      </w:r>
      <w:r>
        <w:rPr>
          <w:rFonts w:ascii="宋体" w:hAnsi="宋体" w:eastAsia="宋体" w:cs="Times New Roman"/>
          <w:szCs w:val="21"/>
        </w:rPr>
        <w:t>“√”</w:t>
      </w:r>
      <w:r>
        <w:rPr>
          <w:rFonts w:hint="eastAsia" w:ascii="宋体" w:hAnsi="宋体" w:eastAsia="宋体" w:cs="Times New Roman"/>
          <w:szCs w:val="21"/>
        </w:rPr>
        <w:t>，未包含内容在</w:t>
      </w:r>
      <w:r>
        <w:rPr>
          <w:rFonts w:ascii="宋体" w:hAnsi="宋体" w:eastAsia="宋体" w:cs="Times New Roman"/>
          <w:szCs w:val="21"/>
        </w:rPr>
        <w:t>“□</w:t>
      </w:r>
      <w:r>
        <w:rPr>
          <w:rFonts w:hint="eastAsia" w:ascii="宋体" w:hAnsi="宋体" w:eastAsia="宋体" w:cs="Times New Roman"/>
          <w:szCs w:val="21"/>
        </w:rPr>
        <w:t>其它</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栏目中填写</w:t>
      </w:r>
      <w:r>
        <w:rPr>
          <w:rFonts w:ascii="宋体" w:hAnsi="宋体" w:eastAsia="宋体" w:cs="Times New Roman"/>
          <w:szCs w:val="21"/>
        </w:rPr>
        <w:t xml:space="preserve"> 2.</w:t>
      </w:r>
      <w:r>
        <w:rPr>
          <w:rFonts w:hint="eastAsia" w:ascii="宋体" w:hAnsi="宋体" w:eastAsia="宋体" w:cs="Times New Roman"/>
          <w:szCs w:val="21"/>
        </w:rPr>
        <w:t>本合同依据《中华人民共和国合同法》制定。</w:t>
      </w: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3337"/>
        <w:gridCol w:w="2114"/>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33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注：含备品备件。</w:t>
      </w:r>
    </w:p>
    <w:p>
      <w:pPr>
        <w:rPr>
          <w:rFonts w:ascii="黑体" w:hAnsi="Times New Roman" w:eastAsia="黑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spacing w:line="400" w:lineRule="exact"/>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spacing w:line="560" w:lineRule="exact"/>
        <w:jc w:val="center"/>
        <w:outlineLvl w:val="0"/>
        <w:rPr>
          <w:rFonts w:ascii="方正小标宋简体" w:hAnsi="Times New Roman" w:eastAsia="方正小标宋简体" w:cs="Times New Roman"/>
          <w:kern w:val="0"/>
          <w:sz w:val="44"/>
          <w:szCs w:val="44"/>
        </w:rPr>
      </w:pPr>
      <w:bookmarkStart w:id="15" w:name="_Toc285612604"/>
      <w:bookmarkStart w:id="16" w:name="_Toc435540982"/>
      <w:bookmarkStart w:id="17" w:name="_Toc390713970"/>
      <w:bookmarkStart w:id="18" w:name="_Toc240432233"/>
      <w:r>
        <w:rPr>
          <w:rFonts w:hint="eastAsia" w:ascii="方正小标宋简体" w:hAnsi="Times New Roman" w:eastAsia="方正小标宋简体" w:cs="Times New Roman"/>
          <w:kern w:val="0"/>
          <w:sz w:val="44"/>
          <w:szCs w:val="44"/>
        </w:rPr>
        <w:t>第五部分  附件/投标文件格式</w:t>
      </w:r>
      <w:bookmarkEnd w:id="15"/>
      <w:bookmarkEnd w:id="16"/>
      <w:bookmarkEnd w:id="17"/>
      <w:bookmarkEnd w:id="18"/>
    </w:p>
    <w:p>
      <w:pPr>
        <w:spacing w:line="580" w:lineRule="exact"/>
        <w:rPr>
          <w:rFonts w:ascii="Times New Roman" w:hAnsi="Times New Roman" w:eastAsia="宋体" w:cs="Times New Roman"/>
          <w:kern w:val="0"/>
          <w:sz w:val="28"/>
          <w:szCs w:val="28"/>
        </w:rPr>
      </w:pP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附件1：开标一览表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※附件2：价格构成表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※附件3：货物材料、部件、工具价格明细表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附件4：投标函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附件5：货物简要说明一览表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附件6：主要技术性能参数表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附件7：技术指标参数响应偏离表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附件8：主要商务条款响应偏离表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附件9：交货清单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※附件10：易损易耗备件清单</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※附件11：技术方案</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附件12：售后服务承诺</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附件13：保密承诺书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※附件14：近3年中标成交案例及同类项目案例</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※附件15：主要股东或出资人信息</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※附件16：投标保证金保函</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附件17：法定代表人资格证明书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※附件18：法定代表人授权书</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※附件19：投标人基本情况表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※附件20：技术评审表（采用综合评分法、性价比法评审时须编制此表）</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※附件21：商务评审表（采用综合评分法、性价比法评审时须编制此表）</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Times New Roman" w:hAnsi="Times New Roman" w:cs="Times New Roman"/>
          <w:kern w:val="0"/>
          <w:sz w:val="24"/>
          <w:szCs w:val="24"/>
        </w:rPr>
        <w:t>GZBC19FG11005</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7"/>
        <w:gridCol w:w="2049"/>
        <w:gridCol w:w="1402"/>
        <w:gridCol w:w="2162"/>
        <w:gridCol w:w="1178"/>
        <w:gridCol w:w="1146"/>
        <w:gridCol w:w="1145"/>
        <w:gridCol w:w="1186"/>
        <w:gridCol w:w="16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spacing w:line="300" w:lineRule="exact"/>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20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1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p>
        </w:tc>
        <w:tc>
          <w:tcPr>
            <w:tcW w:w="2040"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21"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Cs/>
                <w:spacing w:val="-4"/>
                <w:kern w:val="0"/>
                <w:sz w:val="24"/>
                <w:szCs w:val="24"/>
              </w:rPr>
            </w:pPr>
          </w:p>
        </w:tc>
        <w:tc>
          <w:tcPr>
            <w:tcW w:w="2076"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bCs/>
                <w:spacing w:val="-4"/>
                <w:kern w:val="0"/>
                <w:sz w:val="24"/>
                <w:szCs w:val="24"/>
              </w:rPr>
            </w:pPr>
          </w:p>
        </w:tc>
        <w:tc>
          <w:tcPr>
            <w:tcW w:w="11889"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数量，投标总价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价格构成表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2"/>
          <w:lang w:eastAsia="zh-CN"/>
          <w14:textFill>
            <w14:solidFill>
              <w14:schemeClr w14:val="tx1"/>
            </w14:solidFill>
          </w14:textFill>
        </w:rPr>
        <w:t>医疗质量监管与安全预警管理平台实施及数据生产服务项目</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hint="eastAsia" w:ascii="Times New Roman" w:hAnsi="Times New Roman" w:cs="Times New Roman"/>
          <w:kern w:val="0"/>
          <w:sz w:val="24"/>
          <w:szCs w:val="24"/>
        </w:rPr>
        <w:t>GZBC19FG11005</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37"/>
        <w:gridCol w:w="837"/>
        <w:gridCol w:w="837"/>
        <w:gridCol w:w="732"/>
        <w:gridCol w:w="740"/>
        <w:gridCol w:w="863"/>
        <w:gridCol w:w="740"/>
        <w:gridCol w:w="740"/>
        <w:gridCol w:w="740"/>
        <w:gridCol w:w="863"/>
        <w:gridCol w:w="740"/>
        <w:gridCol w:w="740"/>
        <w:gridCol w:w="740"/>
        <w:gridCol w:w="863"/>
        <w:gridCol w:w="863"/>
        <w:gridCol w:w="74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规格</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型号</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量</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格</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组</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11</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12</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13</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14</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16</w:t>
            </w: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17</w:t>
            </w: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ascii="宋体" w:hAnsi="宋体" w:eastAsia="宋体" w:cs="Times New Roman"/>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31" w:type="dxa"/>
            <w:gridSpan w:val="18"/>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项</w:t>
      </w:r>
      <w:r>
        <w:rPr>
          <w:rFonts w:ascii="宋体" w:hAnsi="宋体" w:eastAsia="宋体" w:cs="Times New Roman"/>
          <w:kern w:val="0"/>
          <w:sz w:val="24"/>
          <w:szCs w:val="24"/>
        </w:rPr>
        <w:t>5=</w:t>
      </w:r>
      <w:r>
        <w:rPr>
          <w:rFonts w:hint="eastAsia" w:ascii="宋体" w:hAnsi="宋体" w:eastAsia="宋体" w:cs="Times New Roman"/>
          <w:kern w:val="0"/>
          <w:sz w:val="24"/>
          <w:szCs w:val="24"/>
        </w:rPr>
        <w:t>项</w:t>
      </w:r>
      <w:r>
        <w:rPr>
          <w:rFonts w:ascii="宋体" w:hAnsi="宋体" w:eastAsia="宋体" w:cs="Times New Roman"/>
          <w:kern w:val="0"/>
          <w:sz w:val="24"/>
          <w:szCs w:val="24"/>
        </w:rPr>
        <w:t>6×</w:t>
      </w:r>
      <w:r>
        <w:rPr>
          <w:rFonts w:hint="eastAsia" w:ascii="宋体" w:hAnsi="宋体" w:eastAsia="宋体" w:cs="Times New Roman"/>
          <w:kern w:val="0"/>
          <w:sz w:val="24"/>
          <w:szCs w:val="24"/>
        </w:rPr>
        <w:t>项</w:t>
      </w:r>
      <w:r>
        <w:rPr>
          <w:rFonts w:ascii="宋体" w:hAnsi="宋体" w:eastAsia="宋体" w:cs="Times New Roman"/>
          <w:kern w:val="0"/>
          <w:sz w:val="24"/>
          <w:szCs w:val="24"/>
        </w:rPr>
        <w:t>4</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2.</w:t>
      </w:r>
      <w:r>
        <w:rPr>
          <w:rFonts w:hint="eastAsia" w:ascii="宋体" w:hAnsi="宋体" w:eastAsia="宋体" w:cs="Times New Roman"/>
          <w:kern w:val="0"/>
          <w:sz w:val="24"/>
          <w:szCs w:val="24"/>
        </w:rPr>
        <w:t>项</w:t>
      </w:r>
      <w:r>
        <w:rPr>
          <w:rFonts w:ascii="宋体" w:hAnsi="宋体" w:eastAsia="宋体" w:cs="Times New Roman"/>
          <w:kern w:val="0"/>
          <w:sz w:val="24"/>
          <w:szCs w:val="24"/>
        </w:rPr>
        <w:t>6=</w:t>
      </w:r>
      <w:r>
        <w:rPr>
          <w:rFonts w:hint="eastAsia" w:ascii="宋体" w:hAnsi="宋体" w:eastAsia="宋体" w:cs="Times New Roman"/>
          <w:kern w:val="0"/>
          <w:sz w:val="24"/>
          <w:szCs w:val="24"/>
        </w:rPr>
        <w:t>项</w:t>
      </w:r>
      <w:r>
        <w:rPr>
          <w:rFonts w:ascii="宋体" w:hAnsi="宋体" w:eastAsia="宋体" w:cs="Times New Roman"/>
          <w:kern w:val="0"/>
          <w:sz w:val="24"/>
          <w:szCs w:val="24"/>
        </w:rPr>
        <w:t>7+</w:t>
      </w:r>
      <w:r>
        <w:rPr>
          <w:rFonts w:hint="eastAsia" w:ascii="宋体" w:hAnsi="宋体" w:eastAsia="宋体" w:cs="Times New Roman"/>
          <w:kern w:val="0"/>
          <w:sz w:val="24"/>
          <w:szCs w:val="24"/>
        </w:rPr>
        <w:t>项</w:t>
      </w:r>
      <w:r>
        <w:rPr>
          <w:rFonts w:ascii="宋体" w:hAnsi="宋体" w:eastAsia="宋体" w:cs="Times New Roman"/>
          <w:kern w:val="0"/>
          <w:sz w:val="24"/>
          <w:szCs w:val="24"/>
        </w:rPr>
        <w:t>8+</w:t>
      </w:r>
      <w:r>
        <w:rPr>
          <w:rFonts w:hint="eastAsia" w:ascii="宋体" w:hAnsi="宋体" w:eastAsia="宋体" w:cs="Times New Roman"/>
          <w:kern w:val="0"/>
          <w:sz w:val="24"/>
          <w:szCs w:val="24"/>
        </w:rPr>
        <w:t>项</w:t>
      </w:r>
      <w:r>
        <w:rPr>
          <w:rFonts w:ascii="宋体" w:hAnsi="宋体" w:eastAsia="宋体" w:cs="Times New Roman"/>
          <w:kern w:val="0"/>
          <w:sz w:val="24"/>
          <w:szCs w:val="24"/>
        </w:rPr>
        <w:t>9+</w:t>
      </w:r>
      <w:r>
        <w:rPr>
          <w:rFonts w:hint="eastAsia" w:ascii="宋体" w:hAnsi="宋体" w:eastAsia="宋体" w:cs="Times New Roman"/>
          <w:kern w:val="0"/>
          <w:sz w:val="24"/>
          <w:szCs w:val="24"/>
        </w:rPr>
        <w:t>项</w:t>
      </w:r>
      <w:r>
        <w:rPr>
          <w:rFonts w:ascii="宋体" w:hAnsi="宋体" w:eastAsia="宋体" w:cs="Times New Roman"/>
          <w:kern w:val="0"/>
          <w:sz w:val="24"/>
          <w:szCs w:val="24"/>
        </w:rPr>
        <w:t>10+</w:t>
      </w:r>
      <w:r>
        <w:rPr>
          <w:rFonts w:hint="eastAsia" w:ascii="宋体" w:hAnsi="宋体" w:eastAsia="宋体" w:cs="Times New Roman"/>
          <w:kern w:val="0"/>
          <w:sz w:val="24"/>
          <w:szCs w:val="24"/>
        </w:rPr>
        <w:t>项</w:t>
      </w:r>
      <w:r>
        <w:rPr>
          <w:rFonts w:ascii="宋体" w:hAnsi="宋体" w:eastAsia="宋体" w:cs="Times New Roman"/>
          <w:kern w:val="0"/>
          <w:sz w:val="24"/>
          <w:szCs w:val="24"/>
        </w:rPr>
        <w:t>11+</w:t>
      </w:r>
      <w:r>
        <w:rPr>
          <w:rFonts w:hint="eastAsia" w:ascii="宋体" w:hAnsi="宋体" w:eastAsia="宋体" w:cs="Times New Roman"/>
          <w:kern w:val="0"/>
          <w:sz w:val="24"/>
          <w:szCs w:val="24"/>
        </w:rPr>
        <w:t>项</w:t>
      </w:r>
      <w:r>
        <w:rPr>
          <w:rFonts w:ascii="宋体" w:hAnsi="宋体" w:eastAsia="宋体" w:cs="Times New Roman"/>
          <w:kern w:val="0"/>
          <w:sz w:val="24"/>
          <w:szCs w:val="24"/>
        </w:rPr>
        <w:t>12+</w:t>
      </w:r>
      <w:r>
        <w:rPr>
          <w:rFonts w:hint="eastAsia" w:ascii="宋体" w:hAnsi="宋体" w:eastAsia="宋体" w:cs="Times New Roman"/>
          <w:kern w:val="0"/>
          <w:sz w:val="24"/>
          <w:szCs w:val="24"/>
        </w:rPr>
        <w:t>项</w:t>
      </w:r>
      <w:r>
        <w:rPr>
          <w:rFonts w:ascii="宋体" w:hAnsi="宋体" w:eastAsia="宋体" w:cs="Times New Roman"/>
          <w:kern w:val="0"/>
          <w:sz w:val="24"/>
          <w:szCs w:val="24"/>
        </w:rPr>
        <w:t>13+</w:t>
      </w:r>
      <w:r>
        <w:rPr>
          <w:rFonts w:hint="eastAsia" w:ascii="宋体" w:hAnsi="宋体" w:eastAsia="宋体" w:cs="Times New Roman"/>
          <w:kern w:val="0"/>
          <w:sz w:val="24"/>
          <w:szCs w:val="24"/>
        </w:rPr>
        <w:t>项</w:t>
      </w:r>
      <w:r>
        <w:rPr>
          <w:rFonts w:ascii="宋体" w:hAnsi="宋体" w:eastAsia="宋体" w:cs="Times New Roman"/>
          <w:kern w:val="0"/>
          <w:sz w:val="24"/>
          <w:szCs w:val="24"/>
        </w:rPr>
        <w:t>14+</w:t>
      </w:r>
      <w:r>
        <w:rPr>
          <w:rFonts w:hint="eastAsia" w:ascii="宋体" w:hAnsi="宋体" w:eastAsia="宋体" w:cs="Times New Roman"/>
          <w:kern w:val="0"/>
          <w:sz w:val="24"/>
          <w:szCs w:val="24"/>
        </w:rPr>
        <w:t>项</w:t>
      </w:r>
      <w:r>
        <w:rPr>
          <w:rFonts w:ascii="宋体" w:hAnsi="宋体" w:eastAsia="宋体" w:cs="Times New Roman"/>
          <w:kern w:val="0"/>
          <w:sz w:val="24"/>
          <w:szCs w:val="24"/>
        </w:rPr>
        <w:t>15+</w:t>
      </w:r>
      <w:r>
        <w:rPr>
          <w:rFonts w:hint="eastAsia" w:ascii="宋体" w:hAnsi="宋体" w:eastAsia="宋体" w:cs="Times New Roman"/>
          <w:kern w:val="0"/>
          <w:sz w:val="24"/>
          <w:szCs w:val="24"/>
        </w:rPr>
        <w:t>项</w:t>
      </w:r>
      <w:r>
        <w:rPr>
          <w:rFonts w:ascii="宋体" w:hAnsi="宋体" w:eastAsia="宋体" w:cs="Times New Roman"/>
          <w:kern w:val="0"/>
          <w:sz w:val="24"/>
          <w:szCs w:val="24"/>
        </w:rPr>
        <w:t>16+</w:t>
      </w:r>
      <w:r>
        <w:rPr>
          <w:rFonts w:hint="eastAsia" w:ascii="宋体" w:hAnsi="宋体" w:eastAsia="宋体" w:cs="Times New Roman"/>
          <w:kern w:val="0"/>
          <w:sz w:val="24"/>
          <w:szCs w:val="24"/>
        </w:rPr>
        <w:t>项</w:t>
      </w:r>
      <w:r>
        <w:rPr>
          <w:rFonts w:ascii="宋体" w:hAnsi="宋体" w:eastAsia="宋体" w:cs="Times New Roman"/>
          <w:kern w:val="0"/>
          <w:sz w:val="24"/>
          <w:szCs w:val="24"/>
        </w:rPr>
        <w:t>17+</w:t>
      </w:r>
      <w:r>
        <w:rPr>
          <w:rFonts w:hint="eastAsia" w:ascii="宋体" w:hAnsi="宋体" w:eastAsia="宋体" w:cs="Times New Roman"/>
          <w:kern w:val="0"/>
          <w:sz w:val="24"/>
          <w:szCs w:val="24"/>
        </w:rPr>
        <w:t>项</w:t>
      </w:r>
      <w:r>
        <w:rPr>
          <w:rFonts w:ascii="宋体" w:hAnsi="宋体" w:eastAsia="宋体" w:cs="Times New Roman"/>
          <w:kern w:val="0"/>
          <w:sz w:val="24"/>
          <w:szCs w:val="24"/>
        </w:rPr>
        <w:t xml:space="preserve">18 </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19" w:name="_Toc285612606"/>
      <w:r>
        <w:rPr>
          <w:rFonts w:hint="eastAsia" w:ascii="黑体" w:hAnsi="黑体" w:eastAsia="黑体" w:cs="Times New Roman"/>
          <w:kern w:val="0"/>
          <w:sz w:val="32"/>
          <w:szCs w:val="32"/>
        </w:rPr>
        <w:t>※附件3</w:t>
      </w:r>
    </w:p>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货物材料、部件、工具价格明细表</w:t>
      </w:r>
      <w:bookmarkEnd w:id="19"/>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宋体"/>
          <w:kern w:val="0"/>
          <w:sz w:val="24"/>
          <w:szCs w:val="24"/>
        </w:rPr>
        <w:t xml:space="preserve">                       项目编号：</w:t>
      </w:r>
      <w:r>
        <w:rPr>
          <w:rFonts w:hint="eastAsia" w:ascii="Times New Roman" w:hAnsi="Times New Roman" w:cs="Times New Roman"/>
          <w:kern w:val="0"/>
          <w:sz w:val="24"/>
          <w:szCs w:val="24"/>
        </w:rPr>
        <w:t>GZBC19FG11005</w:t>
      </w:r>
      <w:r>
        <w:rPr>
          <w:rFonts w:hint="eastAsia" w:ascii="宋体" w:hAnsi="宋体" w:eastAsia="宋体" w:cs="宋体"/>
          <w:kern w:val="0"/>
          <w:sz w:val="24"/>
          <w:szCs w:val="24"/>
        </w:rPr>
        <w:t xml:space="preserve">                     包号：   </w:t>
      </w:r>
    </w:p>
    <w:tbl>
      <w:tblPr>
        <w:tblStyle w:val="16"/>
        <w:tblW w:w="5000" w:type="pct"/>
        <w:jc w:val="center"/>
        <w:tblLayout w:type="fixed"/>
        <w:tblCellMar>
          <w:top w:w="0" w:type="dxa"/>
          <w:left w:w="108" w:type="dxa"/>
          <w:bottom w:w="0" w:type="dxa"/>
          <w:right w:w="108" w:type="dxa"/>
        </w:tblCellMar>
      </w:tblPr>
      <w:tblGrid>
        <w:gridCol w:w="572"/>
        <w:gridCol w:w="1505"/>
        <w:gridCol w:w="955"/>
        <w:gridCol w:w="982"/>
        <w:gridCol w:w="772"/>
        <w:gridCol w:w="1158"/>
        <w:gridCol w:w="726"/>
        <w:gridCol w:w="1083"/>
        <w:gridCol w:w="1307"/>
      </w:tblGrid>
      <w:tr>
        <w:tblPrEx>
          <w:tblCellMar>
            <w:top w:w="0" w:type="dxa"/>
            <w:left w:w="108" w:type="dxa"/>
            <w:bottom w:w="0" w:type="dxa"/>
            <w:right w:w="108" w:type="dxa"/>
          </w:tblCellMar>
        </w:tblPrEx>
        <w:trPr>
          <w:trHeight w:val="567" w:hRule="exact"/>
          <w:jc w:val="center"/>
        </w:trPr>
        <w:tc>
          <w:tcPr>
            <w:tcW w:w="572" w:type="dxa"/>
            <w:vMerge w:val="restart"/>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序号</w:t>
            </w:r>
          </w:p>
        </w:tc>
        <w:tc>
          <w:tcPr>
            <w:tcW w:w="15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项目</w:t>
            </w:r>
          </w:p>
        </w:tc>
        <w:tc>
          <w:tcPr>
            <w:tcW w:w="9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规格</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型号</w:t>
            </w:r>
          </w:p>
        </w:tc>
        <w:tc>
          <w:tcPr>
            <w:tcW w:w="98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执行</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标准</w:t>
            </w:r>
          </w:p>
        </w:tc>
        <w:tc>
          <w:tcPr>
            <w:tcW w:w="77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计量</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单位</w:t>
            </w:r>
          </w:p>
        </w:tc>
        <w:tc>
          <w:tcPr>
            <w:tcW w:w="115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定额/</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消耗数量</w:t>
            </w:r>
          </w:p>
        </w:tc>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单价</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(元)</w:t>
            </w:r>
          </w:p>
        </w:tc>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金额</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(元)</w:t>
            </w:r>
          </w:p>
        </w:tc>
        <w:tc>
          <w:tcPr>
            <w:tcW w:w="1307" w:type="dxa"/>
            <w:vMerge w:val="restart"/>
            <w:tcBorders>
              <w:top w:val="single" w:color="auto" w:sz="4" w:space="0"/>
              <w:left w:val="single" w:color="auto" w:sz="4" w:space="0"/>
              <w:bottom w:val="single" w:color="000000" w:sz="4" w:space="0"/>
              <w:right w:val="single" w:color="auto" w:sz="8" w:space="0"/>
            </w:tcBorders>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产地或</w:t>
            </w:r>
          </w:p>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生产企业</w:t>
            </w:r>
          </w:p>
        </w:tc>
      </w:tr>
      <w:tr>
        <w:tblPrEx>
          <w:tblCellMar>
            <w:top w:w="0" w:type="dxa"/>
            <w:left w:w="108" w:type="dxa"/>
            <w:bottom w:w="0" w:type="dxa"/>
            <w:right w:w="108" w:type="dxa"/>
          </w:tblCellMar>
        </w:tblPrEx>
        <w:trPr>
          <w:trHeight w:val="311" w:hRule="atLeast"/>
          <w:jc w:val="center"/>
        </w:trPr>
        <w:tc>
          <w:tcPr>
            <w:tcW w:w="572"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98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sz w:val="24"/>
                <w:szCs w:val="24"/>
              </w:rPr>
            </w:pPr>
          </w:p>
        </w:tc>
        <w:tc>
          <w:tcPr>
            <w:tcW w:w="1307" w:type="dxa"/>
            <w:vMerge w:val="continue"/>
            <w:tcBorders>
              <w:top w:val="single" w:color="auto" w:sz="4" w:space="0"/>
              <w:left w:val="single" w:color="auto" w:sz="4" w:space="0"/>
              <w:bottom w:val="single" w:color="000000" w:sz="4" w:space="0"/>
              <w:right w:val="single" w:color="auto" w:sz="8" w:space="0"/>
            </w:tcBorders>
            <w:vAlign w:val="center"/>
          </w:tcPr>
          <w:p>
            <w:pPr>
              <w:widowControl/>
              <w:spacing w:line="300" w:lineRule="exact"/>
              <w:jc w:val="left"/>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一</w:t>
            </w:r>
          </w:p>
        </w:tc>
        <w:tc>
          <w:tcPr>
            <w:tcW w:w="1505"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直接材料费</w:t>
            </w:r>
          </w:p>
        </w:tc>
        <w:tc>
          <w:tcPr>
            <w:tcW w:w="955"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2"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2"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single" w:color="auto" w:sz="2" w:space="0"/>
              <w:left w:val="single" w:color="auto" w:sz="8" w:space="0"/>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505"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955"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982"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772"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158"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726"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083" w:type="dxa"/>
            <w:tcBorders>
              <w:top w:val="single" w:color="auto" w:sz="2" w:space="0"/>
              <w:left w:val="nil"/>
              <w:bottom w:val="single" w:color="auto" w:sz="4" w:space="0"/>
              <w:right w:val="single" w:color="auto" w:sz="4" w:space="0"/>
            </w:tcBorders>
            <w:noWrap/>
            <w:vAlign w:val="center"/>
          </w:tcPr>
          <w:p>
            <w:pPr>
              <w:spacing w:line="300" w:lineRule="exact"/>
              <w:jc w:val="center"/>
              <w:rPr>
                <w:rFonts w:ascii="宋体" w:hAnsi="宋体" w:eastAsia="宋体" w:cs="宋体"/>
                <w:sz w:val="24"/>
                <w:szCs w:val="24"/>
              </w:rPr>
            </w:pPr>
          </w:p>
        </w:tc>
        <w:tc>
          <w:tcPr>
            <w:tcW w:w="1307" w:type="dxa"/>
            <w:tcBorders>
              <w:top w:val="single" w:color="auto" w:sz="2" w:space="0"/>
              <w:left w:val="nil"/>
              <w:bottom w:val="single" w:color="auto" w:sz="4" w:space="0"/>
              <w:right w:val="single" w:color="auto" w:sz="8" w:space="0"/>
            </w:tcBorders>
            <w:noWrap/>
            <w:vAlign w:val="center"/>
          </w:tcPr>
          <w:p>
            <w:pPr>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二</w:t>
            </w: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外购成件费</w:t>
            </w: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三</w:t>
            </w: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备件工具费</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955"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宋体"/>
                <w:sz w:val="24"/>
                <w:szCs w:val="24"/>
              </w:rPr>
            </w:pPr>
          </w:p>
        </w:tc>
      </w:tr>
      <w:tr>
        <w:tblPrEx>
          <w:tblCellMar>
            <w:top w:w="0" w:type="dxa"/>
            <w:left w:w="108" w:type="dxa"/>
            <w:bottom w:w="0" w:type="dxa"/>
            <w:right w:w="108" w:type="dxa"/>
          </w:tblCellMar>
        </w:tblPrEx>
        <w:trPr>
          <w:trHeight w:val="454" w:hRule="exact"/>
          <w:jc w:val="center"/>
        </w:trPr>
        <w:tc>
          <w:tcPr>
            <w:tcW w:w="572" w:type="dxa"/>
            <w:tcBorders>
              <w:top w:val="nil"/>
              <w:left w:val="single" w:color="auto" w:sz="8" w:space="0"/>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505"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r>
              <w:rPr>
                <w:rFonts w:hint="eastAsia" w:ascii="宋体" w:hAnsi="宋体" w:eastAsia="宋体" w:cs="宋体"/>
                <w:kern w:val="0"/>
                <w:sz w:val="24"/>
                <w:szCs w:val="24"/>
              </w:rPr>
              <w:t>合计</w:t>
            </w:r>
          </w:p>
        </w:tc>
        <w:tc>
          <w:tcPr>
            <w:tcW w:w="955"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982"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72"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158"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726"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083" w:type="dxa"/>
            <w:tcBorders>
              <w:top w:val="nil"/>
              <w:left w:val="nil"/>
              <w:bottom w:val="single" w:color="auto" w:sz="8" w:space="0"/>
              <w:right w:val="single" w:color="auto" w:sz="4" w:space="0"/>
            </w:tcBorders>
            <w:noWrap/>
            <w:vAlign w:val="center"/>
          </w:tcPr>
          <w:p>
            <w:pPr>
              <w:widowControl/>
              <w:spacing w:line="300" w:lineRule="exact"/>
              <w:jc w:val="center"/>
              <w:rPr>
                <w:rFonts w:ascii="宋体" w:hAnsi="宋体" w:eastAsia="宋体" w:cs="宋体"/>
                <w:sz w:val="24"/>
                <w:szCs w:val="24"/>
              </w:rPr>
            </w:pPr>
          </w:p>
        </w:tc>
        <w:tc>
          <w:tcPr>
            <w:tcW w:w="1307" w:type="dxa"/>
            <w:tcBorders>
              <w:top w:val="nil"/>
              <w:left w:val="nil"/>
              <w:bottom w:val="single" w:color="auto" w:sz="8" w:space="0"/>
              <w:right w:val="single" w:color="auto" w:sz="8" w:space="0"/>
            </w:tcBorders>
            <w:noWrap/>
            <w:vAlign w:val="center"/>
          </w:tcPr>
          <w:p>
            <w:pPr>
              <w:widowControl/>
              <w:spacing w:line="300" w:lineRule="exact"/>
              <w:jc w:val="center"/>
              <w:rPr>
                <w:rFonts w:ascii="宋体" w:hAnsi="宋体" w:eastAsia="宋体" w:cs="宋体"/>
                <w:sz w:val="24"/>
                <w:szCs w:val="24"/>
              </w:rPr>
            </w:pPr>
          </w:p>
        </w:tc>
      </w:tr>
    </w:tbl>
    <w:p>
      <w:pPr>
        <w:widowControl/>
        <w:jc w:val="left"/>
        <w:rPr>
          <w:rFonts w:ascii="宋体" w:hAnsi="宋体" w:eastAsia="宋体" w:cs="宋体"/>
          <w:sz w:val="24"/>
          <w:szCs w:val="24"/>
        </w:rPr>
      </w:pPr>
      <w:r>
        <w:rPr>
          <w:rFonts w:hint="eastAsia" w:ascii="宋体" w:hAnsi="宋体" w:eastAsia="宋体" w:cs="宋体"/>
          <w:kern w:val="0"/>
          <w:sz w:val="24"/>
          <w:szCs w:val="24"/>
        </w:rPr>
        <w:t>说明：以一套货物的所用材料为基本单位，项目填列直接材料明细。</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投  标  函</w:t>
      </w:r>
    </w:p>
    <w:p>
      <w:pPr>
        <w:spacing w:line="420" w:lineRule="exact"/>
        <w:rPr>
          <w:rFonts w:ascii="Times New Roman" w:hAnsi="Times New Roman" w:eastAsia="宋体" w:cs="Times New Roman"/>
          <w:kern w:val="0"/>
          <w:sz w:val="28"/>
          <w:szCs w:val="28"/>
        </w:rPr>
      </w:pPr>
    </w:p>
    <w:p>
      <w:pPr>
        <w:spacing w:line="400" w:lineRule="exac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（采购机构名称）：</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我方参加贵部组织的</w:t>
      </w:r>
      <w:r>
        <w:rPr>
          <w:rFonts w:hint="eastAsia" w:ascii="仿宋_GB2312" w:hAnsi="仿宋" w:eastAsia="仿宋_GB2312" w:cs="Times New Roman"/>
          <w:kern w:val="0"/>
          <w:sz w:val="32"/>
          <w:szCs w:val="32"/>
          <w:u w:val="single"/>
        </w:rPr>
        <w:t>（项目编号、项目名称）</w:t>
      </w:r>
      <w:r>
        <w:rPr>
          <w:rFonts w:hint="eastAsia" w:ascii="仿宋_GB2312" w:hAnsi="仿宋" w:eastAsia="仿宋_GB2312" w:cs="Times New Roman"/>
          <w:kern w:val="0"/>
          <w:sz w:val="32"/>
          <w:szCs w:val="32"/>
        </w:rPr>
        <w:t>招标采购活动，并对</w:t>
      </w:r>
      <w:r>
        <w:rPr>
          <w:rFonts w:hint="eastAsia" w:ascii="仿宋_GB2312" w:hAnsi="仿宋" w:eastAsia="仿宋_GB2312" w:cs="Times New Roman"/>
          <w:kern w:val="0"/>
          <w:sz w:val="32"/>
          <w:szCs w:val="32"/>
          <w:u w:val="single"/>
        </w:rPr>
        <w:t>（包号或货物名称）</w:t>
      </w:r>
      <w:r>
        <w:rPr>
          <w:rFonts w:hint="eastAsia" w:ascii="仿宋_GB2312" w:hAnsi="仿宋" w:eastAsia="仿宋_GB2312" w:cs="Times New Roman"/>
          <w:kern w:val="0"/>
          <w:sz w:val="32"/>
          <w:szCs w:val="32"/>
        </w:rPr>
        <w:t>进行投标。</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一、按照招标文件规定递交投标文件正本</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份和副本</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份，电子版投标文件</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份。其中，《价格文件》3份单独密封提交。</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二、我方已完全理解招标文件的全部内容，自愿接受并执行招标文件的全部条款。</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三、本投标文件有效期自开标之日起180日内有效。</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四、我方在参与投标前已仔细研究了招标文件和所有相关资料，同意招标文件的相关条款。</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五、我方声明投标文件及所提供的一切资料均真实有效。由于我方提供资料不实而造成的责任和后果由我方承担。我方同意按照贵部要求，提供与招标有关数据或信息。</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六、我方承诺自愿遵守、执行军队采购管理法规制度及政策规定。</w:t>
      </w:r>
    </w:p>
    <w:p>
      <w:pPr>
        <w:spacing w:line="400" w:lineRule="exact"/>
        <w:ind w:firstLine="622"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七、联系方式</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联 系 人：        电话：          传    真：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地    址：                        邮政编码：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开户名称：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开户银行：                       </w:t>
      </w:r>
    </w:p>
    <w:p>
      <w:pPr>
        <w:spacing w:line="400" w:lineRule="exact"/>
        <w:ind w:firstLine="1244" w:firstLineChars="4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银行账号：                        </w:t>
      </w:r>
    </w:p>
    <w:p>
      <w:pPr>
        <w:spacing w:line="400" w:lineRule="exact"/>
        <w:ind w:firstLine="1524" w:firstLineChars="490"/>
        <w:rPr>
          <w:rFonts w:ascii="仿宋_GB2312" w:hAnsi="仿宋" w:eastAsia="仿宋_GB2312" w:cs="Times New Roman"/>
          <w:kern w:val="0"/>
          <w:sz w:val="32"/>
          <w:szCs w:val="32"/>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项目名称：</w:t>
      </w:r>
      <w:r>
        <w:rPr>
          <w:rFonts w:hint="eastAsia" w:ascii="宋体" w:hAnsi="宋体" w:eastAsia="宋体" w:cs="宋体"/>
          <w:b/>
          <w:bCs/>
          <w:color w:val="000000" w:themeColor="text1"/>
          <w:sz w:val="28"/>
          <w:szCs w:val="28"/>
          <w:lang w:eastAsia="zh-CN"/>
          <w14:textFill>
            <w14:solidFill>
              <w14:schemeClr w14:val="tx1"/>
            </w14:solidFill>
          </w14:textFill>
        </w:rPr>
        <w:t>医疗质量监管与安全预警管理平台实施及数据生产服务项目</w:t>
      </w:r>
      <w:r>
        <w:rPr>
          <w:rFonts w:hint="eastAsia" w:cs="Times New Roman" w:asciiTheme="minorEastAsia" w:hAnsiTheme="minorEastAsia"/>
          <w:kern w:val="0"/>
          <w:sz w:val="24"/>
          <w:szCs w:val="24"/>
        </w:rPr>
        <w:t xml:space="preserve">                       项目编号：</w:t>
      </w:r>
      <w:r>
        <w:rPr>
          <w:rFonts w:hint="eastAsia" w:ascii="Times New Roman" w:hAnsi="Times New Roman" w:cs="Times New Roman"/>
          <w:kern w:val="0"/>
          <w:sz w:val="24"/>
          <w:szCs w:val="24"/>
        </w:rPr>
        <w:t>GZBC19FG11005</w:t>
      </w:r>
      <w:r>
        <w:rPr>
          <w:rFonts w:hint="eastAsia" w:cs="Times New Roman" w:asciiTheme="minorEastAsia" w:hAnsiTheme="minorEastAsia"/>
          <w:kern w:val="0"/>
          <w:sz w:val="24"/>
          <w:szCs w:val="24"/>
        </w:rPr>
        <w:t xml:space="preserve">                     包号：   </w:t>
      </w:r>
    </w:p>
    <w:tbl>
      <w:tblPr>
        <w:tblStyle w:val="16"/>
        <w:tblW w:w="5000" w:type="pct"/>
        <w:jc w:val="center"/>
        <w:tblLayout w:type="autofit"/>
        <w:tblCellMar>
          <w:top w:w="0" w:type="dxa"/>
          <w:left w:w="0" w:type="dxa"/>
          <w:bottom w:w="0" w:type="dxa"/>
          <w:right w:w="0" w:type="dxa"/>
        </w:tblCellMar>
      </w:tblPr>
      <w:tblGrid>
        <w:gridCol w:w="648"/>
        <w:gridCol w:w="2666"/>
        <w:gridCol w:w="677"/>
        <w:gridCol w:w="1007"/>
        <w:gridCol w:w="2563"/>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spacing w:line="30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spacing w:line="30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8"/>
          <w:szCs w:val="28"/>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spacing w:line="300" w:lineRule="exact"/>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spacing w:line="300" w:lineRule="exact"/>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spacing w:line="30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00" w:lineRule="exact"/>
              <w:rPr>
                <w:rFonts w:cs="Times New Roman" w:asciiTheme="minorEastAsia" w:hAnsiTheme="minorEastAsia"/>
                <w:sz w:val="24"/>
                <w:szCs w:val="24"/>
              </w:rPr>
            </w:pPr>
          </w:p>
        </w:tc>
      </w:tr>
    </w:tbl>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snapToGrid w:val="0"/>
          <w:kern w:val="0"/>
          <w:sz w:val="32"/>
          <w:szCs w:val="32"/>
          <w:lang w:val="zh-CN"/>
        </w:rPr>
      </w:pP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641"/>
        <w:gridCol w:w="1143"/>
        <w:gridCol w:w="1819"/>
        <w:gridCol w:w="1046"/>
        <w:gridCol w:w="96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6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87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9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autoSpaceDE w:val="0"/>
        <w:autoSpaceDN w:val="0"/>
        <w:adjustRightInd w:val="0"/>
        <w:ind w:firstLine="388" w:firstLineChars="168"/>
        <w:rPr>
          <w:rFonts w:ascii="Times New Roman" w:hAnsi="Times New Roman" w:eastAsia="宋体" w:cs="Times New Roman"/>
          <w:snapToGrid w:val="0"/>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ascii="Times New Roman" w:hAnsi="Times New Roman" w:eastAsia="宋体" w:cs="Times New Roman"/>
          <w:kern w:val="0"/>
          <w:sz w:val="28"/>
          <w:szCs w:val="28"/>
          <w:lang w:val="zh-CN"/>
        </w:rPr>
        <w:br w:type="page"/>
      </w:r>
      <w:r>
        <w:rPr>
          <w:rFonts w:hint="eastAsia" w:ascii="黑体" w:hAnsi="黑体" w:eastAsia="黑体" w:cs="Times New Roman"/>
          <w:kern w:val="0"/>
          <w:sz w:val="32"/>
          <w:szCs w:val="32"/>
        </w:rPr>
        <w:t>※附件10</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宋体"/>
          <w:b/>
          <w:bCs/>
          <w:color w:val="000000" w:themeColor="text1"/>
          <w:sz w:val="24"/>
          <w:szCs w:val="24"/>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860"/>
        <w:gridCol w:w="864"/>
        <w:gridCol w:w="860"/>
        <w:gridCol w:w="120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 w:val="24"/>
                <w:szCs w:val="24"/>
              </w:rPr>
            </w:pPr>
          </w:p>
        </w:tc>
      </w:tr>
    </w:tbl>
    <w:p>
      <w:pPr>
        <w:ind w:firstLine="542" w:firstLineChars="200"/>
        <w:rPr>
          <w:rFonts w:ascii="Times New Roman" w:hAnsi="Times New Roman" w:eastAsia="宋体" w:cs="Times New Roman"/>
          <w:b/>
          <w:kern w:val="0"/>
          <w:sz w:val="28"/>
          <w:szCs w:val="28"/>
        </w:rPr>
      </w:pPr>
    </w:p>
    <w:p>
      <w:pPr>
        <w:ind w:firstLine="542" w:firstLineChars="200"/>
        <w:rPr>
          <w:rFonts w:ascii="Times New Roman" w:hAnsi="Times New Roman" w:eastAsia="宋体" w:cs="Times New Roman"/>
          <w:b/>
          <w:kern w:val="0"/>
          <w:sz w:val="28"/>
          <w:szCs w:val="28"/>
        </w:rPr>
      </w:pPr>
    </w:p>
    <w:p>
      <w:pPr>
        <w:tabs>
          <w:tab w:val="left" w:pos="804"/>
        </w:tabs>
        <w:rPr>
          <w:rFonts w:ascii="Times New Roman" w:hAnsi="Times New Roman" w:eastAsia="宋体" w:cs="Times New Roman"/>
          <w:kern w:val="0"/>
          <w:sz w:val="28"/>
          <w:szCs w:val="28"/>
        </w:rPr>
      </w:pPr>
      <w:r>
        <w:rPr>
          <w:rFonts w:ascii="Times New Roman" w:hAnsi="Times New Roman" w:eastAsia="宋体" w:cs="Times New Roman"/>
          <w:kern w:val="0"/>
          <w:sz w:val="28"/>
          <w:szCs w:val="28"/>
        </w:rPr>
        <w:tab/>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spacing w:line="560" w:lineRule="exact"/>
        <w:jc w:val="center"/>
        <w:rPr>
          <w:rFonts w:ascii="方正小标宋简体" w:hAnsi="Times New Roman" w:eastAsia="方正小标宋简体" w:cs="Times New Roman"/>
          <w:kern w:val="0"/>
          <w:sz w:val="44"/>
          <w:szCs w:val="44"/>
        </w:rPr>
      </w:pPr>
      <w:bookmarkStart w:id="20" w:name="_Toc285612608"/>
      <w:r>
        <w:rPr>
          <w:rFonts w:hint="eastAsia" w:ascii="方正小标宋简体" w:hAnsi="Times New Roman" w:eastAsia="方正小标宋简体" w:cs="Times New Roman"/>
          <w:kern w:val="0"/>
          <w:sz w:val="44"/>
          <w:szCs w:val="44"/>
        </w:rPr>
        <w:t>技术方案</w:t>
      </w:r>
      <w:bookmarkEnd w:id="20"/>
    </w:p>
    <w:p>
      <w:pPr>
        <w:ind w:firstLine="542" w:firstLineChars="200"/>
        <w:rPr>
          <w:rFonts w:ascii="Times New Roman" w:hAnsi="Times New Roman" w:eastAsia="宋体" w:cs="Times New Roman"/>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（由</w:t>
      </w:r>
      <w:r>
        <w:rPr>
          <w:rFonts w:hint="eastAsia" w:ascii="仿宋_GB2312" w:hAnsi="Times New Roman" w:eastAsia="仿宋_GB2312" w:cs="Times New Roman"/>
          <w:snapToGrid w:val="0"/>
          <w:kern w:val="0"/>
          <w:sz w:val="32"/>
          <w:szCs w:val="32"/>
          <w:lang w:val="zh-CN"/>
        </w:rPr>
        <w:t>投标人</w:t>
      </w:r>
      <w:r>
        <w:rPr>
          <w:rFonts w:hint="eastAsia" w:ascii="仿宋_GB2312" w:hAnsi="Times New Roman" w:eastAsia="仿宋_GB2312" w:cs="Times New Roman"/>
          <w:kern w:val="0"/>
          <w:sz w:val="32"/>
          <w:szCs w:val="32"/>
          <w:lang w:val="zh-CN"/>
        </w:rPr>
        <w:t>自行拟制技术方案，包括生产、加工、制造、工艺控制及质量控制等）</w:t>
      </w: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售后服务承诺</w:t>
      </w:r>
    </w:p>
    <w:p>
      <w:pPr>
        <w:ind w:firstLine="542" w:firstLineChars="200"/>
        <w:rPr>
          <w:rFonts w:ascii="Times New Roman" w:hAnsi="Times New Roman" w:eastAsia="宋体" w:cs="Times New Roman"/>
          <w:snapToGrid w:val="0"/>
          <w:kern w:val="0"/>
          <w:sz w:val="28"/>
          <w:szCs w:val="28"/>
          <w:lang w:val="zh-CN"/>
        </w:rPr>
      </w:pPr>
    </w:p>
    <w:p>
      <w:pPr>
        <w:ind w:firstLine="622" w:firstLineChars="200"/>
        <w:rPr>
          <w:rFonts w:ascii="仿宋_GB2312" w:hAnsi="Times New Roman" w:eastAsia="仿宋_GB2312" w:cs="Times New Roman"/>
          <w:kern w:val="0"/>
          <w:sz w:val="32"/>
          <w:szCs w:val="32"/>
          <w:lang w:val="zh-CN"/>
        </w:rPr>
      </w:pPr>
      <w:r>
        <w:rPr>
          <w:rFonts w:hint="eastAsia" w:ascii="仿宋_GB2312" w:hAnsi="Times New Roman" w:eastAsia="仿宋_GB2312" w:cs="Times New Roman"/>
          <w:kern w:val="0"/>
          <w:sz w:val="32"/>
          <w:szCs w:val="32"/>
          <w:lang w:val="zh-CN"/>
        </w:rPr>
        <w:t>（投标人对照商务评审表中售后服务评审项自行编制。）</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保密承诺书</w:t>
      </w:r>
    </w:p>
    <w:p>
      <w:pPr>
        <w:spacing w:line="240" w:lineRule="exact"/>
        <w:rPr>
          <w:rFonts w:ascii="Times New Roman" w:hAnsi="Times New Roman" w:eastAsia="宋体" w:cs="Times New Roman"/>
          <w:kern w:val="0"/>
          <w:sz w:val="32"/>
          <w:szCs w:val="32"/>
        </w:rPr>
      </w:pPr>
    </w:p>
    <w:p>
      <w:pPr>
        <w:spacing w:line="520" w:lineRule="exact"/>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（采购机构名称）：</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lang w:val="zh-CN"/>
        </w:rPr>
        <w:t>我方参加贵部组织的编号为</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项目采购活动，根据有关保密法规制度，知悉应当承担的保密义务和法律责任，承诺如下：</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一、严格遵守国家和军队的保密法律法规和规章制度，履行保密义务。</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二、不以任何方式泄露或传播本次采购项目相关信息。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三、不违规记录、存储、复制本次采购项目相关信息。</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四、招标文件以及相关技术文件专室放置、专盘存储、专人管理。</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五、未经招标人审查批准，不得擅自在互联网、通讯媒体等发表涉及此次采购项目相关内容或资讯。 </w:t>
      </w:r>
    </w:p>
    <w:p>
      <w:pPr>
        <w:autoSpaceDE w:val="0"/>
        <w:autoSpaceDN w:val="0"/>
        <w:adjustRightInd w:val="0"/>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违反上述承诺，愿承担一切法律责任，接受军队采购管理部门和招标人按国家和军队规定作出的相关处罚。</w:t>
      </w:r>
    </w:p>
    <w:p>
      <w:pPr>
        <w:spacing w:line="560" w:lineRule="exact"/>
        <w:ind w:firstLine="1089" w:firstLineChars="402"/>
        <w:rPr>
          <w:rFonts w:ascii="Times New Roman" w:hAnsi="Times New Roman" w:eastAsia="宋体" w:cs="Times New Roman"/>
          <w:kern w:val="0"/>
          <w:sz w:val="28"/>
          <w:szCs w:val="28"/>
        </w:rPr>
      </w:pPr>
    </w:p>
    <w:p>
      <w:pPr>
        <w:spacing w:line="560" w:lineRule="exact"/>
        <w:ind w:firstLine="1089" w:firstLineChars="402"/>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hint="eastAsia" w:ascii="宋体" w:hAnsi="宋体" w:eastAsia="宋体" w:cs="Times New Roman"/>
          <w:kern w:val="0"/>
          <w:sz w:val="15"/>
          <w:szCs w:val="15"/>
        </w:rPr>
        <w:t xml:space="preserve"> </w:t>
      </w:r>
      <w:r>
        <w:rPr>
          <w:rFonts w:hint="eastAsia" w:ascii="宋体" w:hAnsi="宋体" w:eastAsia="宋体" w:cs="宋体"/>
          <w:b/>
          <w:bCs/>
          <w:color w:val="000000" w:themeColor="text1"/>
          <w:szCs w:val="21"/>
          <w:lang w:eastAsia="zh-CN"/>
          <w14:textFill>
            <w14:solidFill>
              <w14:schemeClr w14:val="tx1"/>
            </w14:solidFill>
          </w14:textFill>
        </w:rPr>
        <w:t>医疗质量监管与安全预警管理平台实施及数据生产服务项目</w:t>
      </w:r>
      <w:r>
        <w:rPr>
          <w:rFonts w:hint="eastAsia" w:ascii="宋体" w:hAnsi="宋体" w:eastAsia="宋体" w:cs="Times New Roman"/>
          <w:kern w:val="0"/>
          <w:sz w:val="28"/>
          <w:szCs w:val="28"/>
        </w:rPr>
        <w:t xml:space="preserve">                 </w:t>
      </w:r>
      <w:r>
        <w:rPr>
          <w:rFonts w:hint="eastAsia" w:ascii="宋体" w:hAnsi="宋体" w:eastAsia="宋体" w:cs="Times New Roman"/>
          <w:kern w:val="0"/>
          <w:sz w:val="24"/>
          <w:szCs w:val="24"/>
        </w:rPr>
        <w:t xml:space="preserve">     项目编号： </w:t>
      </w:r>
      <w:r>
        <w:rPr>
          <w:rFonts w:hint="eastAsia" w:ascii="Times New Roman" w:hAnsi="Times New Roman" w:cs="Times New Roman"/>
          <w:kern w:val="0"/>
          <w:sz w:val="24"/>
          <w:szCs w:val="24"/>
        </w:rPr>
        <w:t>GZBC19FG11005</w:t>
      </w:r>
      <w:r>
        <w:rPr>
          <w:rFonts w:hint="eastAsia" w:ascii="宋体" w:hAnsi="宋体" w:eastAsia="宋体" w:cs="Times New Roman"/>
          <w:kern w:val="0"/>
          <w:sz w:val="24"/>
          <w:szCs w:val="24"/>
        </w:rPr>
        <w:t xml:space="preserve">                    包号：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841"/>
        <w:gridCol w:w="977"/>
        <w:gridCol w:w="1682"/>
        <w:gridCol w:w="1393"/>
        <w:gridCol w:w="1055"/>
        <w:gridCol w:w="14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4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用户</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53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92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（包括同类项目，产品名称、型号等）</w:t>
            </w:r>
          </w:p>
        </w:tc>
        <w:tc>
          <w:tcPr>
            <w:tcW w:w="7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合同有效</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金额（万元）</w:t>
            </w:r>
          </w:p>
        </w:tc>
        <w:tc>
          <w:tcPr>
            <w:tcW w:w="5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签订</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日期</w:t>
            </w:r>
          </w:p>
        </w:tc>
        <w:tc>
          <w:tcPr>
            <w:tcW w:w="8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用户联系</w:t>
            </w:r>
          </w:p>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人及电话</w:t>
            </w: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464"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r>
              <w:rPr>
                <w:rFonts w:hint="eastAsia" w:ascii="宋体" w:hAnsi="宋体" w:eastAsia="宋体" w:cs="Times New Roman"/>
                <w:sz w:val="24"/>
                <w:szCs w:val="24"/>
              </w:rPr>
              <w:t>合计</w:t>
            </w:r>
          </w:p>
        </w:tc>
        <w:tc>
          <w:tcPr>
            <w:tcW w:w="4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3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928"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7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8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c>
          <w:tcPr>
            <w:tcW w:w="5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Times New Roman"/>
                <w:sz w:val="24"/>
                <w:szCs w:val="24"/>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jc w:val="center"/>
        <w:rPr>
          <w:rFonts w:ascii="Times New Roman" w:hAnsi="Times New Roman" w:eastAsia="宋体" w:cs="Times New Roman"/>
          <w:kern w:val="0"/>
          <w:sz w:val="28"/>
          <w:szCs w:val="28"/>
          <w:lang w:val="zh-CN"/>
        </w:rPr>
      </w:pPr>
    </w:p>
    <w:p>
      <w:pPr>
        <w:jc w:val="center"/>
        <w:rPr>
          <w:rFonts w:ascii="Times New Roman" w:hAnsi="Times New Roman" w:eastAsia="宋体" w:cs="Times New Roman"/>
          <w:kern w:val="0"/>
          <w:sz w:val="28"/>
          <w:szCs w:val="28"/>
          <w:lang w:val="zh-CN"/>
        </w:rPr>
      </w:pP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主要股东或出资人信息</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24"/>
                <w:szCs w:val="24"/>
              </w:rPr>
            </w:pPr>
          </w:p>
        </w:tc>
      </w:tr>
    </w:tbl>
    <w:p>
      <w:pPr>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我方承诺，以上信息真实可靠；如填报的股东出资额、出资比例等与实际不符，视为放弃中标资格。</w:t>
      </w:r>
    </w:p>
    <w:p>
      <w:pPr>
        <w:rPr>
          <w:rFonts w:ascii="仿宋_GB2312" w:hAnsi="宋体" w:eastAsia="仿宋_GB2312" w:cs="Times New Roman"/>
          <w:kern w:val="0"/>
          <w:sz w:val="32"/>
          <w:szCs w:val="32"/>
        </w:rPr>
      </w:pPr>
    </w:p>
    <w:p>
      <w:pPr>
        <w:ind w:left="914" w:hanging="914" w:hangingChars="294"/>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注：1.主要股东或出资人为法人的，填写法人全称及统一社会信用代码（尚未办理三证合一的填写组织机构代码）；为自然人的，填写自然人姓名和身份证号。</w:t>
      </w:r>
    </w:p>
    <w:p>
      <w:pPr>
        <w:ind w:left="924" w:leftChars="308" w:hanging="305" w:hangingChars="98"/>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2.出资方式填写货币、实物、工艺产权和非专利技术、土地使用权等。</w:t>
      </w:r>
    </w:p>
    <w:p>
      <w:pPr>
        <w:ind w:left="924" w:leftChars="308" w:hanging="305" w:hangingChars="98"/>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3.投标人应按照占全部股份比例从大到小依次逐个股东填写，股东数量多于10个的，填写前10名，不足10个的全部填写。</w:t>
      </w:r>
    </w:p>
    <w:p>
      <w:pPr>
        <w:ind w:firstLine="1866" w:firstLineChars="6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投标人全称：（盖章）</w:t>
      </w:r>
    </w:p>
    <w:p>
      <w:pPr>
        <w:ind w:firstLine="1866" w:firstLineChars="60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 xml:space="preserve">法定代表人（或授权代表）：（签字）  </w:t>
      </w:r>
      <w:r>
        <w:rPr>
          <w:rFonts w:hint="eastAsia" w:ascii="仿宋_GB2312" w:hAnsi="宋体" w:eastAsia="仿宋_GB2312" w:cs="宋体"/>
          <w:kern w:val="0"/>
          <w:sz w:val="32"/>
          <w:szCs w:val="32"/>
        </w:rPr>
        <w:t xml:space="preserve"> </w:t>
      </w:r>
    </w:p>
    <w:p>
      <w:pPr>
        <w:ind w:firstLine="4354" w:firstLineChars="14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年  月  日</w:t>
      </w:r>
    </w:p>
    <w:p>
      <w:pPr>
        <w:rPr>
          <w:rFonts w:ascii="仿宋_GB2312" w:hAnsi="Times New Roman" w:eastAsia="仿宋_GB2312" w:cs="Times New Roman"/>
          <w:kern w:val="0"/>
          <w:sz w:val="32"/>
          <w:szCs w:val="32"/>
        </w:rPr>
      </w:pPr>
      <w:r>
        <w:rPr>
          <w:rFonts w:ascii="Times New Roman" w:hAnsi="Times New Roman" w:eastAsia="宋体" w:cs="Times New Roman"/>
          <w:kern w:val="0"/>
          <w:sz w:val="28"/>
          <w:szCs w:val="28"/>
          <w:lang w:val="zh-CN"/>
        </w:rPr>
        <w:br w:type="page"/>
      </w:r>
      <w:r>
        <w:rPr>
          <w:rFonts w:hint="eastAsia" w:ascii="黑体" w:hAnsi="黑体" w:eastAsia="黑体" w:cs="Times New Roman"/>
          <w:kern w:val="0"/>
          <w:sz w:val="32"/>
          <w:szCs w:val="32"/>
        </w:rPr>
        <w:t xml:space="preserve">※附件16                                 </w:t>
      </w:r>
      <w:r>
        <w:rPr>
          <w:rFonts w:hint="eastAsia" w:ascii="仿宋_GB2312" w:hAnsi="Times New Roman" w:eastAsia="仿宋_GB2312" w:cs="Times New Roman"/>
          <w:kern w:val="0"/>
          <w:sz w:val="32"/>
          <w:szCs w:val="32"/>
        </w:rPr>
        <w:t>保函编号：</w:t>
      </w:r>
      <w:r>
        <w:rPr>
          <w:rFonts w:ascii="仿宋_GB2312" w:hAnsi="Times New Roman" w:eastAsia="仿宋_GB2312" w:cs="Times New Roman"/>
          <w:kern w:val="0"/>
          <w:sz w:val="32"/>
          <w:szCs w:val="32"/>
        </w:rPr>
        <w:t xml:space="preserve">     </w:t>
      </w:r>
    </w:p>
    <w:p>
      <w:pPr>
        <w:rPr>
          <w:rFonts w:ascii="Times New Roman" w:hAnsi="Times New Roman" w:eastAsia="黑体" w:cs="Times New Roman"/>
          <w:kern w:val="0"/>
          <w:sz w:val="24"/>
          <w:szCs w:val="2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投标保证金保函</w:t>
      </w:r>
    </w:p>
    <w:p>
      <w:pPr>
        <w:rPr>
          <w:rFonts w:ascii="Times New Roman" w:hAnsi="Times New Roman" w:eastAsia="宋体" w:cs="Times New Roman"/>
          <w:kern w:val="0"/>
          <w:sz w:val="24"/>
          <w:szCs w:val="24"/>
        </w:rPr>
      </w:pPr>
    </w:p>
    <w:p>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（采购机构名称）：</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本函是</w:t>
      </w:r>
      <w:r>
        <w:rPr>
          <w:rFonts w:hint="eastAsia" w:ascii="仿宋_GB2312" w:hAnsi="Times New Roman" w:eastAsia="仿宋_GB2312" w:cs="Times New Roman"/>
          <w:kern w:val="0"/>
          <w:sz w:val="32"/>
          <w:szCs w:val="32"/>
          <w:u w:val="single"/>
        </w:rPr>
        <w:t>（银行全称）</w:t>
      </w:r>
      <w:r>
        <w:rPr>
          <w:rFonts w:hint="eastAsia" w:ascii="仿宋_GB2312" w:hAnsi="Times New Roman" w:eastAsia="仿宋_GB2312" w:cs="Times New Roman"/>
          <w:kern w:val="0"/>
          <w:sz w:val="32"/>
          <w:szCs w:val="32"/>
        </w:rPr>
        <w:t>为</w:t>
      </w:r>
      <w:r>
        <w:rPr>
          <w:rFonts w:hint="eastAsia" w:ascii="仿宋_GB2312" w:hAnsi="Times New Roman" w:eastAsia="仿宋_GB2312" w:cs="Times New Roman"/>
          <w:kern w:val="0"/>
          <w:sz w:val="32"/>
          <w:szCs w:val="32"/>
          <w:u w:val="single"/>
        </w:rPr>
        <w:t>（投标人全称）</w:t>
      </w:r>
      <w:r>
        <w:rPr>
          <w:rFonts w:hint="eastAsia" w:ascii="仿宋_GB2312" w:hAnsi="Times New Roman" w:eastAsia="仿宋_GB2312" w:cs="Times New Roman"/>
          <w:kern w:val="0"/>
          <w:sz w:val="32"/>
          <w:szCs w:val="32"/>
        </w:rPr>
        <w:t>参加贵部组织</w:t>
      </w:r>
      <w:r>
        <w:rPr>
          <w:rFonts w:hint="eastAsia" w:ascii="仿宋_GB2312" w:hAnsi="Times New Roman" w:eastAsia="仿宋_GB2312" w:cs="Times New Roman"/>
          <w:kern w:val="0"/>
          <w:sz w:val="32"/>
          <w:szCs w:val="32"/>
          <w:u w:val="single"/>
        </w:rPr>
        <w:t>（项目编号）</w:t>
      </w:r>
      <w:r>
        <w:rPr>
          <w:rFonts w:hint="eastAsia" w:ascii="仿宋_GB2312" w:hAnsi="Times New Roman" w:eastAsia="仿宋_GB2312" w:cs="Times New Roman"/>
          <w:kern w:val="0"/>
          <w:sz w:val="32"/>
          <w:szCs w:val="32"/>
        </w:rPr>
        <w:t>项目</w:t>
      </w:r>
      <w:r>
        <w:rPr>
          <w:rFonts w:hint="eastAsia" w:ascii="仿宋_GB2312" w:hAnsi="Times New Roman" w:eastAsia="仿宋_GB2312" w:cs="Times New Roman"/>
          <w:kern w:val="0"/>
          <w:sz w:val="32"/>
          <w:szCs w:val="32"/>
          <w:u w:val="single"/>
        </w:rPr>
        <w:t>（项目名称）</w:t>
      </w:r>
      <w:r>
        <w:rPr>
          <w:rFonts w:hint="eastAsia" w:ascii="仿宋_GB2312" w:hAnsi="Times New Roman" w:eastAsia="仿宋_GB2312" w:cs="Times New Roman"/>
          <w:kern w:val="0"/>
          <w:sz w:val="32"/>
          <w:szCs w:val="32"/>
        </w:rPr>
        <w:t>招标的投标担保。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一、保证金额（大写）</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bCs/>
          <w:spacing w:val="-4"/>
          <w:kern w:val="0"/>
          <w:sz w:val="32"/>
          <w:szCs w:val="32"/>
        </w:rPr>
        <w:t>¥：</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二、在担保期内，我行收到贵部通知，说明投标人有下列情形之一的，无条件向贵部支付保证金。</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（一）投标人在投标文件有效期内撤回投标的；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（二）投标人虚假投标、串通投标的；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（三）中标人在收到《中标通知书》后，未按照规定签订合同的；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（四）投标人在开标、评标期间干扰招标人活动造成严重影响和后果的；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（五）违反国家和军队有关法律法规的。</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三、本保函自开标之日起生效，投标文件有效期内有效。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四、本保函有效期满后自动失效。</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银行名称：（盖章）</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银行地址：</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联系电话：</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开 具 人：（签字）</w:t>
      </w:r>
    </w:p>
    <w:p>
      <w:pPr>
        <w:spacing w:line="5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开具日期：</w:t>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法定代表人资格证明书</w:t>
      </w:r>
    </w:p>
    <w:p>
      <w:pPr>
        <w:ind w:firstLine="542" w:firstLineChars="200"/>
        <w:rPr>
          <w:rFonts w:ascii="Times New Roman" w:hAnsi="Times New Roman" w:eastAsia="楷体_GB2312" w:cs="Times New Roman"/>
          <w:sz w:val="28"/>
          <w:szCs w:val="28"/>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u w:val="single"/>
        </w:rPr>
        <w:t>（法定代表人姓名）</w:t>
      </w:r>
      <w:r>
        <w:rPr>
          <w:rFonts w:hint="eastAsia" w:ascii="仿宋_GB2312" w:hAnsi="Times New Roman" w:eastAsia="仿宋_GB2312" w:cs="Times New Roman"/>
          <w:sz w:val="32"/>
          <w:szCs w:val="32"/>
        </w:rPr>
        <w:t>系</w:t>
      </w:r>
      <w:r>
        <w:rPr>
          <w:rFonts w:hint="eastAsia" w:ascii="仿宋_GB2312" w:hAnsi="Times New Roman" w:eastAsia="仿宋_GB2312" w:cs="Times New Roman"/>
          <w:sz w:val="32"/>
          <w:szCs w:val="32"/>
          <w:u w:val="single"/>
        </w:rPr>
        <w:t>（投标人全称）</w:t>
      </w:r>
      <w:r>
        <w:rPr>
          <w:rFonts w:hint="eastAsia" w:ascii="仿宋_GB2312" w:hAnsi="Times New Roman" w:eastAsia="仿宋_GB2312" w:cs="Times New Roman"/>
          <w:sz w:val="32"/>
          <w:szCs w:val="32"/>
        </w:rPr>
        <w:t>的法定代表人。</w:t>
      </w:r>
    </w:p>
    <w:p>
      <w:pPr>
        <w:ind w:firstLine="622" w:firstLineChars="200"/>
        <w:rPr>
          <w:rFonts w:ascii="仿宋_GB2312" w:hAnsi="Times New Roman" w:eastAsia="仿宋_GB2312" w:cs="Times New Roman"/>
          <w:sz w:val="32"/>
          <w:szCs w:val="32"/>
        </w:rPr>
      </w:pPr>
    </w:p>
    <w:p>
      <w:pPr>
        <w:ind w:firstLine="62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特此证明</w:t>
      </w:r>
    </w:p>
    <w:p>
      <w:pPr>
        <w:rPr>
          <w:rFonts w:ascii="Times New Roman" w:hAnsi="Times New Roman" w:eastAsia="宋体" w:cs="Times New Roman"/>
          <w:sz w:val="28"/>
          <w:szCs w:val="28"/>
        </w:rPr>
      </w:pPr>
      <w:r>
        <w:rPr>
          <w:rFonts w:ascii="Times New Roman" w:hAnsi="Times New Roman"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5408;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HNamg1wAAAAoBAAAPAAAAAAAAAAEAIAAAACIAAABkcnMvZG93bnJldi54&#10;bWxQSwECFAAUAAAACACHTuJAjp/bkT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4384;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QTjTezQCAABU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h6IjNwNLIZ+&#10;3R8as4bqlihFGAabFpEuDeBHzjoa6pL7D1uBijPzwlJbFuPJJG5BEibTp5FQPNasjzXCSoIquQzI&#10;2SBchmF3tg71pqFYwyhYuKBm1jrRHLs+5HXInEY3sX9Ys7gbx3Ky+vEzWH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gRBMNUAAAAIAQAADwAAAAAAAAABACAAAAAiAAAAZHJzL2Rvd25yZXYueG1s&#10;UEsBAhQAFAAAAAgAh07iQEE403s0AgAAVAQAAA4AAAAAAAAAAQAgAAAAJAEAAGRycy9lMm9Eb2Mu&#10;eG1sUEsFBgAAAAAGAAYAWQEAAMo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ind w:firstLine="4743" w:firstLineChars="1750"/>
        <w:rPr>
          <w:rFonts w:ascii="Times New Roman" w:hAnsi="Times New Roman" w:eastAsia="宋体" w:cs="Times New Roman"/>
          <w:sz w:val="28"/>
          <w:szCs w:val="28"/>
        </w:rPr>
      </w:pPr>
    </w:p>
    <w:p>
      <w:pPr>
        <w:rPr>
          <w:rFonts w:ascii="Times New Roman" w:hAnsi="Times New Roman" w:eastAsia="宋体" w:cs="Times New Roman"/>
          <w:kern w:val="0"/>
          <w:sz w:val="28"/>
          <w:szCs w:val="28"/>
        </w:rPr>
      </w:pPr>
    </w:p>
    <w:p>
      <w:pPr>
        <w:ind w:firstLine="5443" w:firstLineChars="1750"/>
        <w:rPr>
          <w:rFonts w:ascii="仿宋_GB2312" w:hAnsi="Times New Roman" w:eastAsia="仿宋_GB2312" w:cs="Times New Roman"/>
          <w:kern w:val="0"/>
          <w:sz w:val="32"/>
          <w:szCs w:val="32"/>
        </w:rPr>
      </w:pPr>
    </w:p>
    <w:p>
      <w:pPr>
        <w:ind w:firstLine="3732" w:firstLineChars="1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投标人全称：（盖章）</w:t>
      </w:r>
    </w:p>
    <w:p>
      <w:pPr>
        <w:ind w:firstLine="4420" w:firstLineChars="1421"/>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年  月  日</w:t>
      </w:r>
    </w:p>
    <w:p>
      <w:pPr>
        <w:rPr>
          <w:rFonts w:ascii="Times New Roman" w:hAnsi="Times New Roman" w:eastAsia="宋体" w:cs="Times New Roman"/>
          <w:kern w:val="0"/>
          <w:sz w:val="32"/>
          <w:szCs w:val="32"/>
        </w:rPr>
      </w:pPr>
    </w:p>
    <w:p>
      <w:pPr>
        <w:rPr>
          <w:rFonts w:ascii="Times New Roman" w:hAnsi="Times New Roman" w:eastAsia="宋体" w:cs="Times New Roman"/>
          <w:kern w:val="0"/>
          <w:sz w:val="24"/>
          <w:szCs w:val="24"/>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法定代表人授权书</w:t>
      </w:r>
    </w:p>
    <w:p>
      <w:pPr>
        <w:rPr>
          <w:rFonts w:ascii="Times New Roman" w:hAnsi="Times New Roman" w:eastAsia="宋体" w:cs="Times New Roman"/>
          <w:kern w:val="0"/>
          <w:sz w:val="28"/>
          <w:szCs w:val="28"/>
        </w:rPr>
      </w:pPr>
    </w:p>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（采购机构名称）：</w:t>
      </w:r>
    </w:p>
    <w:p>
      <w:pPr>
        <w:ind w:firstLine="622"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u w:val="single"/>
        </w:rPr>
        <w:t>（投标人全称）</w:t>
      </w:r>
      <w:r>
        <w:rPr>
          <w:rFonts w:hint="eastAsia" w:ascii="仿宋_GB2312" w:hAnsi="宋体" w:eastAsia="仿宋_GB2312" w:cs="Times New Roman"/>
          <w:kern w:val="0"/>
          <w:sz w:val="32"/>
          <w:szCs w:val="32"/>
        </w:rPr>
        <w:t>法定代表人</w:t>
      </w:r>
      <w:r>
        <w:rPr>
          <w:rFonts w:hint="eastAsia" w:ascii="仿宋_GB2312" w:hAnsi="宋体" w:eastAsia="仿宋_GB2312" w:cs="Times New Roman"/>
          <w:kern w:val="0"/>
          <w:sz w:val="32"/>
          <w:szCs w:val="32"/>
          <w:u w:val="single"/>
        </w:rPr>
        <w:t>（姓名、职务）</w:t>
      </w:r>
      <w:r>
        <w:rPr>
          <w:rFonts w:hint="eastAsia" w:ascii="仿宋_GB2312" w:hAnsi="宋体" w:eastAsia="仿宋_GB2312" w:cs="Times New Roman"/>
          <w:kern w:val="0"/>
          <w:sz w:val="32"/>
          <w:szCs w:val="32"/>
        </w:rPr>
        <w:t xml:space="preserve"> 授权</w:t>
      </w:r>
      <w:r>
        <w:rPr>
          <w:rFonts w:hint="eastAsia" w:ascii="仿宋_GB2312" w:hAnsi="宋体" w:eastAsia="仿宋_GB2312" w:cs="Times New Roman"/>
          <w:kern w:val="0"/>
          <w:sz w:val="32"/>
          <w:szCs w:val="32"/>
          <w:u w:val="single"/>
        </w:rPr>
        <w:t>（授权代表姓名、职务）</w:t>
      </w:r>
      <w:r>
        <w:rPr>
          <w:rFonts w:hint="eastAsia" w:ascii="仿宋_GB2312" w:hAnsi="宋体" w:eastAsia="仿宋_GB2312" w:cs="Times New Roman"/>
          <w:kern w:val="0"/>
          <w:sz w:val="32"/>
          <w:szCs w:val="32"/>
        </w:rPr>
        <w:t>为全权代表，参加贵部组织的项目编号为</w:t>
      </w:r>
      <w:r>
        <w:rPr>
          <w:rFonts w:hint="eastAsia" w:ascii="仿宋_GB2312" w:hAnsi="宋体" w:eastAsia="仿宋_GB2312" w:cs="Times New Roman"/>
          <w:kern w:val="0"/>
          <w:sz w:val="32"/>
          <w:szCs w:val="32"/>
          <w:u w:val="single"/>
        </w:rPr>
        <w:t>（项目编号）</w:t>
      </w:r>
      <w:r>
        <w:rPr>
          <w:rFonts w:hint="eastAsia" w:ascii="仿宋_GB2312" w:hAnsi="宋体" w:eastAsia="仿宋_GB2312" w:cs="Times New Roman"/>
          <w:kern w:val="0"/>
          <w:sz w:val="32"/>
          <w:szCs w:val="32"/>
        </w:rPr>
        <w:t>的</w:t>
      </w:r>
      <w:r>
        <w:rPr>
          <w:rFonts w:hint="eastAsia" w:ascii="仿宋_GB2312" w:hAnsi="宋体" w:eastAsia="仿宋_GB2312" w:cs="Times New Roman"/>
          <w:kern w:val="0"/>
          <w:sz w:val="32"/>
          <w:szCs w:val="32"/>
          <w:u w:val="single"/>
        </w:rPr>
        <w:t>（项目名称）</w:t>
      </w:r>
      <w:r>
        <w:rPr>
          <w:rFonts w:hint="eastAsia" w:ascii="仿宋_GB2312" w:hAnsi="宋体" w:eastAsia="仿宋_GB2312" w:cs="Times New Roman"/>
          <w:kern w:val="0"/>
          <w:sz w:val="32"/>
          <w:szCs w:val="32"/>
        </w:rPr>
        <w:t>采购活动，全权处理采购活动中的一切事宜。</w:t>
      </w:r>
    </w:p>
    <w:p>
      <w:pPr>
        <w:ind w:firstLine="600"/>
        <w:rPr>
          <w:rFonts w:ascii="仿宋_GB2312" w:hAnsi="宋体" w:eastAsia="仿宋_GB2312" w:cs="Times New Roman"/>
          <w:kern w:val="0"/>
          <w:sz w:val="32"/>
          <w:szCs w:val="32"/>
        </w:rPr>
      </w:pPr>
    </w:p>
    <w:p>
      <w:pPr>
        <w:ind w:firstLine="3732" w:firstLineChars="1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投标人全称：（盖章）</w:t>
      </w:r>
    </w:p>
    <w:p>
      <w:pPr>
        <w:ind w:firstLine="3732" w:firstLineChars="1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法定代表人：（签字或盖章）</w:t>
      </w:r>
    </w:p>
    <w:p>
      <w:pPr>
        <w:ind w:firstLine="5334" w:firstLineChars="1715"/>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年  月  日</w:t>
      </w:r>
    </w:p>
    <w:p>
      <w:pPr>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 xml:space="preserve">授权代表姓名：              </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职    务：              电    话：</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传    真：              邮    编：</w:t>
      </w:r>
    </w:p>
    <w:p>
      <w:pPr>
        <w:ind w:firstLine="573"/>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通讯地址：</w:t>
      </w:r>
    </w:p>
    <w:p>
      <w:pPr>
        <w:spacing w:line="560" w:lineRule="exact"/>
        <w:ind w:firstLine="573"/>
        <w:rPr>
          <w:rFonts w:ascii="Times New Roman" w:hAnsi="Times New Roman" w:eastAsia="宋体" w:cs="Times New Roman"/>
          <w:kern w:val="0"/>
          <w:sz w:val="24"/>
          <w:szCs w:val="24"/>
        </w:rPr>
      </w:pPr>
      <w:r>
        <w:rPr>
          <w:rFonts w:ascii="Times New Roman" w:hAnsi="Times New Roman"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9504;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aFnwY1wAAAAoBAAAPAAAAAAAAAAEAIAAAACIAAABkcnMvZG93bnJldi54&#10;bWxQSwECFAAUAAAACACHTuJAkeu/aDQCAABUBAAADgAAAAAAAAABACAAAAAm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745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d2uiUMQIAAFQ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u6JjNwNLIZ+3ZNP&#10;ZHcN1Q1RijAMNi0iXRrAT5x1NNQl9x+3AhVn5qWltpxNptO4BUmYHp9GQvFQsz7UCCsJquQyIGeD&#10;sAzD7mwd6k1DsYZRsHBBzax1ovkxr33mNLqpUfs1i7txKCerx5/B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sOnb1AAAAAgBAAAPAAAAAAAAAAEAIAAAACIAAABkcnMvZG93bnJldi54bWxQSwEC&#10;FAAUAAAACACHTuJA3drolDECAABUBAAADgAAAAAAAAABACAAAAAjAQAAZHJzL2Uyb0RvYy54bWxQ&#10;SwUGAAAAAAYABgBZAQAAx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spacing w:line="560" w:lineRule="exact"/>
        <w:ind w:firstLine="573"/>
        <w:rPr>
          <w:rFonts w:ascii="Times New Roman" w:hAnsi="Times New Roman" w:eastAsia="宋体" w:cs="Times New Roman"/>
          <w:kern w:val="0"/>
          <w:sz w:val="24"/>
          <w:szCs w:val="24"/>
        </w:rPr>
      </w:pPr>
    </w:p>
    <w:p>
      <w:pPr>
        <w:rPr>
          <w:rFonts w:ascii="黑体" w:hAnsi="黑体" w:eastAsia="黑体" w:cs="Times New Roman"/>
          <w:kern w:val="0"/>
          <w:sz w:val="32"/>
          <w:szCs w:val="32"/>
        </w:rPr>
      </w:pPr>
      <w:r>
        <w:rPr>
          <w:rFonts w:ascii="Times New Roman" w:hAnsi="Times New Roman" w:eastAsia="黑体" w:cs="Times New Roman"/>
          <w:kern w:val="0"/>
          <w:sz w:val="28"/>
          <w:szCs w:val="28"/>
        </w:rPr>
        <w:br w:type="page"/>
      </w:r>
      <w:r>
        <w:rPr>
          <w:rFonts w:hint="eastAsia" w:ascii="黑体" w:hAnsi="黑体" w:eastAsia="黑体" w:cs="Times New Roman"/>
          <w:kern w:val="0"/>
          <w:sz w:val="32"/>
          <w:szCs w:val="32"/>
        </w:rPr>
        <w:t>※附件19</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投标人基本情况表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055"/>
        <w:gridCol w:w="710"/>
        <w:gridCol w:w="359"/>
        <w:gridCol w:w="533"/>
        <w:gridCol w:w="534"/>
        <w:gridCol w:w="355"/>
        <w:gridCol w:w="715"/>
        <w:gridCol w:w="178"/>
        <w:gridCol w:w="710"/>
        <w:gridCol w:w="715"/>
        <w:gridCol w:w="17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投标人全称</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详细地址</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主管部门</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法定代表人</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职务</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企业性质</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授权代表</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职务</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邮政编码</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电</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话</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传真</w:t>
            </w:r>
          </w:p>
        </w:tc>
        <w:tc>
          <w:tcPr>
            <w:tcW w:w="1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单位简介</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及</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机</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构</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单位优势</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及</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特</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长</w:t>
            </w:r>
          </w:p>
        </w:tc>
        <w:tc>
          <w:tcPr>
            <w:tcW w:w="7645"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单</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位</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概</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况</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职工</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总数</w:t>
            </w:r>
          </w:p>
        </w:tc>
        <w:tc>
          <w:tcPr>
            <w:tcW w:w="2520"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人</w:t>
            </w:r>
          </w:p>
        </w:tc>
        <w:tc>
          <w:tcPr>
            <w:tcW w:w="406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产</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工</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406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工程技术人员</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流动</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w:t>
            </w:r>
          </w:p>
        </w:tc>
        <w:tc>
          <w:tcPr>
            <w:tcW w:w="2520"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资金来源</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自有资金</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银行贷款</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固定</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资产</w:t>
            </w:r>
          </w:p>
        </w:tc>
        <w:tc>
          <w:tcPr>
            <w:tcW w:w="252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原值</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万元</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资金性质</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产</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性</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252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宋体" w:cs="Times New Roman"/>
                <w:kern w:val="0"/>
                <w:szCs w:val="21"/>
              </w:rPr>
            </w:pPr>
            <w:r>
              <w:rPr>
                <w:rFonts w:hint="eastAsia" w:ascii="Times New Roman" w:hAnsi="Times New Roman" w:eastAsia="宋体" w:cs="Times New Roman"/>
                <w:kern w:val="0"/>
                <w:szCs w:val="21"/>
              </w:rPr>
              <w:t>净值</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万元</w:t>
            </w: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非生产性</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214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主要设施</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设备情况</w:t>
            </w:r>
          </w:p>
        </w:tc>
        <w:tc>
          <w:tcPr>
            <w:tcW w:w="5498"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企</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业</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财</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务</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情</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况</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年度</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收入总额</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利润总额</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税后利润</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要</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货</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物</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状</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况</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货物</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名称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上年产量</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上年销售值</w:t>
            </w:r>
          </w:p>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（万元）</w:t>
            </w:r>
          </w:p>
        </w:tc>
        <w:tc>
          <w:tcPr>
            <w:tcW w:w="33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主要用户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宋体" w:cs="Times New Roman"/>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c>
          <w:tcPr>
            <w:tcW w:w="33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宋体" w:cs="Times New Roman"/>
                <w:kern w:val="0"/>
                <w:szCs w:val="21"/>
              </w:rPr>
            </w:pPr>
          </w:p>
        </w:tc>
      </w:tr>
    </w:tbl>
    <w:p>
      <w:pPr>
        <w:ind w:firstLine="6096" w:firstLineChars="2639"/>
        <w:jc w:val="right"/>
      </w:pPr>
      <w:r>
        <w:rPr>
          <w:rFonts w:hint="eastAsia" w:ascii="Times New Roman" w:hAnsi="Times New Roman" w:eastAsia="宋体" w:cs="Times New Roman"/>
          <w:kern w:val="0"/>
          <w:sz w:val="24"/>
          <w:szCs w:val="24"/>
        </w:rPr>
        <w:t>纸面不敷时，可以另加页</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w:t>
    </w:r>
    <w:r>
      <w:rPr>
        <w:rStyle w:val="19"/>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41</w:t>
    </w:r>
    <w:r>
      <w:rPr>
        <w:rStyle w:val="19"/>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19"/>
        <w:sz w:val="24"/>
        <w:szCs w:val="24"/>
      </w:rPr>
      <w:fldChar w:fldCharType="begin"/>
    </w:r>
    <w:r>
      <w:rPr>
        <w:rStyle w:val="19"/>
        <w:sz w:val="24"/>
        <w:szCs w:val="24"/>
      </w:rPr>
      <w:instrText xml:space="preserve"> PAGE </w:instrText>
    </w:r>
    <w:r>
      <w:rPr>
        <w:rStyle w:val="19"/>
        <w:sz w:val="24"/>
        <w:szCs w:val="24"/>
      </w:rPr>
      <w:fldChar w:fldCharType="separate"/>
    </w:r>
    <w:r>
      <w:rPr>
        <w:rStyle w:val="19"/>
        <w:sz w:val="24"/>
        <w:szCs w:val="24"/>
      </w:rPr>
      <w:t>49</w:t>
    </w:r>
    <w:r>
      <w:rPr>
        <w:rStyle w:val="19"/>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201"/>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EE"/>
    <w:rsid w:val="0001562D"/>
    <w:rsid w:val="00085564"/>
    <w:rsid w:val="000879CB"/>
    <w:rsid w:val="00094D66"/>
    <w:rsid w:val="000A47EE"/>
    <w:rsid w:val="000B0A52"/>
    <w:rsid w:val="000E203F"/>
    <w:rsid w:val="000F19EE"/>
    <w:rsid w:val="0011792C"/>
    <w:rsid w:val="001179D2"/>
    <w:rsid w:val="00154A37"/>
    <w:rsid w:val="00156746"/>
    <w:rsid w:val="0016323B"/>
    <w:rsid w:val="00187DDD"/>
    <w:rsid w:val="001A3D7B"/>
    <w:rsid w:val="001B77E3"/>
    <w:rsid w:val="001E193A"/>
    <w:rsid w:val="00214820"/>
    <w:rsid w:val="002579DE"/>
    <w:rsid w:val="002A4C33"/>
    <w:rsid w:val="002B0A3B"/>
    <w:rsid w:val="002B202E"/>
    <w:rsid w:val="002B38DD"/>
    <w:rsid w:val="002B6049"/>
    <w:rsid w:val="002C0F66"/>
    <w:rsid w:val="002C6A11"/>
    <w:rsid w:val="002D331A"/>
    <w:rsid w:val="002E0A0C"/>
    <w:rsid w:val="002E3D9F"/>
    <w:rsid w:val="002F1927"/>
    <w:rsid w:val="003027C7"/>
    <w:rsid w:val="00342A28"/>
    <w:rsid w:val="00353505"/>
    <w:rsid w:val="003839B9"/>
    <w:rsid w:val="00384C3A"/>
    <w:rsid w:val="00392277"/>
    <w:rsid w:val="003923F1"/>
    <w:rsid w:val="003C19BC"/>
    <w:rsid w:val="003D05A0"/>
    <w:rsid w:val="003F4981"/>
    <w:rsid w:val="00406BC5"/>
    <w:rsid w:val="0041496A"/>
    <w:rsid w:val="004350C6"/>
    <w:rsid w:val="00441D08"/>
    <w:rsid w:val="00443086"/>
    <w:rsid w:val="004556C3"/>
    <w:rsid w:val="00455BD3"/>
    <w:rsid w:val="0045635E"/>
    <w:rsid w:val="004569F6"/>
    <w:rsid w:val="0046063F"/>
    <w:rsid w:val="00463F09"/>
    <w:rsid w:val="00464557"/>
    <w:rsid w:val="004A51A4"/>
    <w:rsid w:val="004D09D9"/>
    <w:rsid w:val="004E18EC"/>
    <w:rsid w:val="00501BD3"/>
    <w:rsid w:val="00506678"/>
    <w:rsid w:val="00517248"/>
    <w:rsid w:val="005559FC"/>
    <w:rsid w:val="005A4B8A"/>
    <w:rsid w:val="005F4A22"/>
    <w:rsid w:val="00627EB1"/>
    <w:rsid w:val="00647C90"/>
    <w:rsid w:val="0066462B"/>
    <w:rsid w:val="0069676E"/>
    <w:rsid w:val="006979A0"/>
    <w:rsid w:val="006A7511"/>
    <w:rsid w:val="006C1CF4"/>
    <w:rsid w:val="007264A9"/>
    <w:rsid w:val="007302D1"/>
    <w:rsid w:val="00737466"/>
    <w:rsid w:val="0077103A"/>
    <w:rsid w:val="00772B5D"/>
    <w:rsid w:val="007876EF"/>
    <w:rsid w:val="00794DFB"/>
    <w:rsid w:val="007B376E"/>
    <w:rsid w:val="007C28FA"/>
    <w:rsid w:val="007E05D4"/>
    <w:rsid w:val="00810E36"/>
    <w:rsid w:val="00813A34"/>
    <w:rsid w:val="00820413"/>
    <w:rsid w:val="00835412"/>
    <w:rsid w:val="008557A0"/>
    <w:rsid w:val="008642CB"/>
    <w:rsid w:val="008879B2"/>
    <w:rsid w:val="00892407"/>
    <w:rsid w:val="008A0E95"/>
    <w:rsid w:val="008A5296"/>
    <w:rsid w:val="008B5BC4"/>
    <w:rsid w:val="008B5D3A"/>
    <w:rsid w:val="008D2301"/>
    <w:rsid w:val="008E43CB"/>
    <w:rsid w:val="008F7856"/>
    <w:rsid w:val="009058E6"/>
    <w:rsid w:val="0092784F"/>
    <w:rsid w:val="00932621"/>
    <w:rsid w:val="00934050"/>
    <w:rsid w:val="009478E9"/>
    <w:rsid w:val="009554D8"/>
    <w:rsid w:val="00962E40"/>
    <w:rsid w:val="00977E68"/>
    <w:rsid w:val="009A1A23"/>
    <w:rsid w:val="009B02ED"/>
    <w:rsid w:val="009B6C69"/>
    <w:rsid w:val="009F315B"/>
    <w:rsid w:val="00A1300A"/>
    <w:rsid w:val="00A15AF7"/>
    <w:rsid w:val="00A37843"/>
    <w:rsid w:val="00A416F4"/>
    <w:rsid w:val="00A522F8"/>
    <w:rsid w:val="00A56B19"/>
    <w:rsid w:val="00A73616"/>
    <w:rsid w:val="00A94AB9"/>
    <w:rsid w:val="00AA43E5"/>
    <w:rsid w:val="00AC1106"/>
    <w:rsid w:val="00AE024F"/>
    <w:rsid w:val="00AE4417"/>
    <w:rsid w:val="00AF1771"/>
    <w:rsid w:val="00B05091"/>
    <w:rsid w:val="00B07ACA"/>
    <w:rsid w:val="00B14E99"/>
    <w:rsid w:val="00B24395"/>
    <w:rsid w:val="00B2575B"/>
    <w:rsid w:val="00B57556"/>
    <w:rsid w:val="00B63207"/>
    <w:rsid w:val="00B74539"/>
    <w:rsid w:val="00BB380A"/>
    <w:rsid w:val="00BC21AC"/>
    <w:rsid w:val="00BE4874"/>
    <w:rsid w:val="00BE4D46"/>
    <w:rsid w:val="00BF1317"/>
    <w:rsid w:val="00C0287F"/>
    <w:rsid w:val="00C116BF"/>
    <w:rsid w:val="00C17C0C"/>
    <w:rsid w:val="00C2649A"/>
    <w:rsid w:val="00C3022B"/>
    <w:rsid w:val="00C475A2"/>
    <w:rsid w:val="00C5456B"/>
    <w:rsid w:val="00C7014A"/>
    <w:rsid w:val="00C840DC"/>
    <w:rsid w:val="00C91F60"/>
    <w:rsid w:val="00C930A6"/>
    <w:rsid w:val="00CA4F44"/>
    <w:rsid w:val="00CB2ECF"/>
    <w:rsid w:val="00CD3A99"/>
    <w:rsid w:val="00CD46E0"/>
    <w:rsid w:val="00D10DF2"/>
    <w:rsid w:val="00D16290"/>
    <w:rsid w:val="00D51588"/>
    <w:rsid w:val="00D600C6"/>
    <w:rsid w:val="00D6206D"/>
    <w:rsid w:val="00D75EF5"/>
    <w:rsid w:val="00D91FBB"/>
    <w:rsid w:val="00DA36FA"/>
    <w:rsid w:val="00DE45D1"/>
    <w:rsid w:val="00DF28D9"/>
    <w:rsid w:val="00DF6112"/>
    <w:rsid w:val="00E14E70"/>
    <w:rsid w:val="00E50B6E"/>
    <w:rsid w:val="00E52986"/>
    <w:rsid w:val="00E763C3"/>
    <w:rsid w:val="00E9244B"/>
    <w:rsid w:val="00EB77AB"/>
    <w:rsid w:val="00EC4B43"/>
    <w:rsid w:val="00F34D85"/>
    <w:rsid w:val="00F63A7D"/>
    <w:rsid w:val="00F66CCE"/>
    <w:rsid w:val="00F76262"/>
    <w:rsid w:val="00F7755E"/>
    <w:rsid w:val="00FA4E4F"/>
    <w:rsid w:val="00FC33D8"/>
    <w:rsid w:val="00FF119D"/>
    <w:rsid w:val="21654218"/>
    <w:rsid w:val="274A326C"/>
    <w:rsid w:val="535B4C50"/>
    <w:rsid w:val="54D13FEE"/>
    <w:rsid w:val="63AA64AA"/>
    <w:rsid w:val="74CC0D74"/>
    <w:rsid w:val="76ED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5"/>
    <w:link w:val="22"/>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rPr>
      <w:rFonts w:ascii="Times New Roman" w:hAnsi="Times New Roman" w:eastAsia="宋体" w:cs="Times New Roman"/>
      <w:kern w:val="0"/>
      <w:szCs w:val="24"/>
    </w:r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6">
    <w:name w:val="Document Map"/>
    <w:basedOn w:val="1"/>
    <w:link w:val="33"/>
    <w:semiHidden/>
    <w:qFormat/>
    <w:uiPriority w:val="0"/>
    <w:pPr>
      <w:shd w:val="clear" w:color="auto" w:fill="000080"/>
    </w:pPr>
    <w:rPr>
      <w:rFonts w:ascii="Times New Roman" w:hAnsi="Times New Roman" w:eastAsia="宋体" w:cs="Times New Roman"/>
      <w:kern w:val="0"/>
      <w:sz w:val="24"/>
      <w:szCs w:val="24"/>
    </w:rPr>
  </w:style>
  <w:style w:type="paragraph" w:styleId="7">
    <w:name w:val="Body Text Indent"/>
    <w:basedOn w:val="1"/>
    <w:link w:val="27"/>
    <w:qFormat/>
    <w:uiPriority w:val="0"/>
    <w:pPr>
      <w:ind w:firstLine="555"/>
    </w:pPr>
    <w:rPr>
      <w:rFonts w:ascii="Times New Roman" w:hAnsi="Times New Roman" w:eastAsia="宋体" w:cs="Times New Roman"/>
      <w:kern w:val="0"/>
      <w:sz w:val="24"/>
      <w:szCs w:val="24"/>
    </w:rPr>
  </w:style>
  <w:style w:type="paragraph" w:styleId="8">
    <w:name w:val="Plain Text"/>
    <w:basedOn w:val="1"/>
    <w:link w:val="34"/>
    <w:qFormat/>
    <w:uiPriority w:val="0"/>
    <w:rPr>
      <w:rFonts w:ascii="宋体" w:hAnsi="Courier New" w:eastAsia="宋体" w:cs="Courier New"/>
      <w:sz w:val="24"/>
      <w:szCs w:val="21"/>
    </w:rPr>
  </w:style>
  <w:style w:type="paragraph" w:styleId="9">
    <w:name w:val="Body Text Indent 2"/>
    <w:basedOn w:val="1"/>
    <w:link w:val="26"/>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5"/>
    <w:semiHidden/>
    <w:qFormat/>
    <w:uiPriority w:val="0"/>
    <w:rPr>
      <w:rFonts w:ascii="Times New Roman" w:hAnsi="Times New Roman" w:eastAsia="宋体" w:cs="Times New Roman"/>
      <w:kern w:val="0"/>
      <w:sz w:val="18"/>
      <w:szCs w:val="18"/>
    </w:rPr>
  </w:style>
  <w:style w:type="paragraph" w:styleId="11">
    <w:name w:val="footer"/>
    <w:basedOn w:val="1"/>
    <w:link w:val="24"/>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semiHidden/>
    <w:qFormat/>
    <w:uiPriority w:val="0"/>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29"/>
    <w:qFormat/>
    <w:uiPriority w:val="0"/>
    <w:pPr>
      <w:jc w:val="center"/>
    </w:pPr>
    <w:rPr>
      <w:rFonts w:ascii="Times New Roman" w:hAnsi="Times New Roman" w:eastAsia="宋体" w:cs="Times New Roman"/>
      <w:kern w:val="0"/>
      <w:szCs w:val="24"/>
    </w:rPr>
  </w:style>
  <w:style w:type="paragraph" w:styleId="15">
    <w:name w:val="index 1"/>
    <w:basedOn w:val="1"/>
    <w:next w:val="1"/>
    <w:semiHidden/>
    <w:qFormat/>
    <w:uiPriority w:val="0"/>
    <w:rPr>
      <w:rFonts w:ascii="Times New Roman" w:hAnsi="Times New Roman" w:eastAsia="宋体" w:cs="Times New Roman"/>
      <w:kern w:val="0"/>
      <w:sz w:val="24"/>
      <w:szCs w:val="24"/>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rPr>
      <w:rFonts w:cs="Times New Roman"/>
    </w:rPr>
  </w:style>
  <w:style w:type="character" w:styleId="20">
    <w:name w:val="Hyperlink"/>
    <w:basedOn w:val="18"/>
    <w:qFormat/>
    <w:uiPriority w:val="0"/>
    <w:rPr>
      <w:rFonts w:cs="Times New Roman"/>
      <w:color w:val="0000FF"/>
      <w:u w:val="single"/>
    </w:rPr>
  </w:style>
  <w:style w:type="character" w:customStyle="1" w:styleId="21">
    <w:name w:val="标题 1 Char"/>
    <w:basedOn w:val="18"/>
    <w:link w:val="3"/>
    <w:uiPriority w:val="0"/>
    <w:rPr>
      <w:rFonts w:ascii="Times New Roman" w:hAnsi="Times New Roman" w:eastAsia="宋体" w:cs="Times New Roman"/>
      <w:b/>
      <w:bCs/>
      <w:kern w:val="44"/>
      <w:sz w:val="44"/>
      <w:szCs w:val="44"/>
    </w:rPr>
  </w:style>
  <w:style w:type="character" w:customStyle="1" w:styleId="22">
    <w:name w:val="标题 2 Char"/>
    <w:basedOn w:val="18"/>
    <w:link w:val="4"/>
    <w:qFormat/>
    <w:uiPriority w:val="0"/>
    <w:rPr>
      <w:rFonts w:ascii="Arial" w:hAnsi="Arial" w:eastAsia="黑体" w:cs="Times New Roman"/>
      <w:b/>
      <w:kern w:val="0"/>
      <w:sz w:val="32"/>
      <w:szCs w:val="20"/>
    </w:rPr>
  </w:style>
  <w:style w:type="character" w:customStyle="1" w:styleId="23">
    <w:name w:val="页眉 Char"/>
    <w:basedOn w:val="18"/>
    <w:link w:val="12"/>
    <w:qFormat/>
    <w:uiPriority w:val="0"/>
    <w:rPr>
      <w:rFonts w:ascii="Times New Roman" w:hAnsi="Times New Roman" w:eastAsia="宋体" w:cs="Times New Roman"/>
      <w:kern w:val="0"/>
      <w:sz w:val="18"/>
      <w:szCs w:val="18"/>
    </w:rPr>
  </w:style>
  <w:style w:type="character" w:customStyle="1" w:styleId="24">
    <w:name w:val="页脚 Char"/>
    <w:basedOn w:val="18"/>
    <w:link w:val="11"/>
    <w:qFormat/>
    <w:uiPriority w:val="0"/>
    <w:rPr>
      <w:rFonts w:ascii="Times New Roman" w:hAnsi="Times New Roman" w:eastAsia="宋体" w:cs="Times New Roman"/>
      <w:kern w:val="0"/>
      <w:sz w:val="18"/>
      <w:szCs w:val="18"/>
    </w:rPr>
  </w:style>
  <w:style w:type="paragraph" w:customStyle="1" w:styleId="25">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6">
    <w:name w:val="正文文本缩进 2 Char"/>
    <w:basedOn w:val="18"/>
    <w:link w:val="9"/>
    <w:qFormat/>
    <w:uiPriority w:val="0"/>
    <w:rPr>
      <w:rFonts w:ascii="Times New Roman" w:hAnsi="Times New Roman" w:eastAsia="宋体" w:cs="Times New Roman"/>
      <w:kern w:val="0"/>
      <w:sz w:val="24"/>
      <w:szCs w:val="24"/>
    </w:rPr>
  </w:style>
  <w:style w:type="character" w:customStyle="1" w:styleId="27">
    <w:name w:val="正文文本缩进 Char"/>
    <w:basedOn w:val="18"/>
    <w:link w:val="7"/>
    <w:qFormat/>
    <w:uiPriority w:val="0"/>
    <w:rPr>
      <w:rFonts w:ascii="Times New Roman" w:hAnsi="Times New Roman" w:eastAsia="宋体" w:cs="Times New Roman"/>
      <w:kern w:val="0"/>
      <w:sz w:val="24"/>
      <w:szCs w:val="24"/>
    </w:rPr>
  </w:style>
  <w:style w:type="character" w:customStyle="1" w:styleId="28">
    <w:name w:val="正文文本 Char"/>
    <w:basedOn w:val="18"/>
    <w:link w:val="2"/>
    <w:qFormat/>
    <w:uiPriority w:val="0"/>
    <w:rPr>
      <w:rFonts w:ascii="Times New Roman" w:hAnsi="Times New Roman" w:eastAsia="宋体" w:cs="Times New Roman"/>
      <w:kern w:val="0"/>
      <w:szCs w:val="24"/>
    </w:rPr>
  </w:style>
  <w:style w:type="character" w:customStyle="1" w:styleId="29">
    <w:name w:val="正文文本 2 Char"/>
    <w:basedOn w:val="18"/>
    <w:link w:val="14"/>
    <w:qFormat/>
    <w:uiPriority w:val="0"/>
    <w:rPr>
      <w:rFonts w:ascii="Times New Roman" w:hAnsi="Times New Roman" w:eastAsia="宋体" w:cs="Times New Roman"/>
      <w:kern w:val="0"/>
      <w:szCs w:val="24"/>
    </w:rPr>
  </w:style>
  <w:style w:type="paragraph" w:customStyle="1" w:styleId="30">
    <w:name w:val="样式1"/>
    <w:basedOn w:val="3"/>
    <w:qFormat/>
    <w:uiPriority w:val="0"/>
    <w:pPr>
      <w:spacing w:line="640" w:lineRule="exact"/>
      <w:jc w:val="center"/>
    </w:pPr>
    <w:rPr>
      <w:rFonts w:ascii="方正小标宋简体" w:hAnsi="华文中宋" w:eastAsia="方正小标宋简体"/>
      <w:b w:val="0"/>
    </w:rPr>
  </w:style>
  <w:style w:type="paragraph" w:customStyle="1" w:styleId="31">
    <w:name w:val="样式2"/>
    <w:basedOn w:val="3"/>
    <w:qFormat/>
    <w:uiPriority w:val="0"/>
    <w:pPr>
      <w:spacing w:line="640" w:lineRule="exact"/>
      <w:jc w:val="center"/>
    </w:pPr>
    <w:rPr>
      <w:rFonts w:ascii="方正小标宋简体" w:hAnsi="华文中宋" w:eastAsia="方正小标宋简体"/>
      <w:b w:val="0"/>
    </w:rPr>
  </w:style>
  <w:style w:type="paragraph" w:customStyle="1" w:styleId="32">
    <w:name w:val="样式3"/>
    <w:basedOn w:val="3"/>
    <w:qFormat/>
    <w:uiPriority w:val="0"/>
    <w:pPr>
      <w:spacing w:line="640" w:lineRule="exact"/>
      <w:jc w:val="center"/>
    </w:pPr>
    <w:rPr>
      <w:rFonts w:ascii="方正小标宋简体" w:hAnsi="华文中宋" w:eastAsia="方正小标宋简体"/>
      <w:b w:val="0"/>
    </w:rPr>
  </w:style>
  <w:style w:type="character" w:customStyle="1" w:styleId="33">
    <w:name w:val="文档结构图 Char"/>
    <w:basedOn w:val="18"/>
    <w:link w:val="6"/>
    <w:semiHidden/>
    <w:qFormat/>
    <w:uiPriority w:val="0"/>
    <w:rPr>
      <w:rFonts w:ascii="Times New Roman" w:hAnsi="Times New Roman" w:eastAsia="宋体" w:cs="Times New Roman"/>
      <w:kern w:val="0"/>
      <w:sz w:val="24"/>
      <w:szCs w:val="24"/>
      <w:shd w:val="clear" w:color="auto" w:fill="000080"/>
    </w:rPr>
  </w:style>
  <w:style w:type="character" w:customStyle="1" w:styleId="34">
    <w:name w:val="纯文本 Char"/>
    <w:basedOn w:val="18"/>
    <w:link w:val="8"/>
    <w:uiPriority w:val="0"/>
    <w:rPr>
      <w:rFonts w:ascii="宋体" w:hAnsi="Courier New" w:eastAsia="宋体" w:cs="Courier New"/>
      <w:sz w:val="24"/>
      <w:szCs w:val="21"/>
    </w:rPr>
  </w:style>
  <w:style w:type="character" w:customStyle="1" w:styleId="35">
    <w:name w:val="批注框文本 Char"/>
    <w:basedOn w:val="18"/>
    <w:link w:val="10"/>
    <w:semiHidden/>
    <w:qFormat/>
    <w:uiPriority w:val="0"/>
    <w:rPr>
      <w:rFonts w:ascii="Times New Roman" w:hAnsi="Times New Roman" w:eastAsia="宋体" w:cs="Times New Roman"/>
      <w:kern w:val="0"/>
      <w:sz w:val="18"/>
      <w:szCs w:val="18"/>
    </w:rPr>
  </w:style>
  <w:style w:type="paragraph" w:customStyle="1" w:styleId="36">
    <w:name w:val="列出段落1"/>
    <w:basedOn w:val="1"/>
    <w:link w:val="40"/>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7">
    <w:name w:val="1111111199999"/>
    <w:basedOn w:val="1"/>
    <w:link w:val="38"/>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rPr>
  </w:style>
  <w:style w:type="character" w:customStyle="1" w:styleId="38">
    <w:name w:val="1111111199999 Char"/>
    <w:link w:val="37"/>
    <w:qFormat/>
    <w:locked/>
    <w:uiPriority w:val="0"/>
    <w:rPr>
      <w:rFonts w:ascii="Times New Roman" w:hAnsi="Times New Roman" w:eastAsia="宋体" w:cs="Times New Roman"/>
      <w:kern w:val="0"/>
      <w:szCs w:val="20"/>
      <w:lang w:val="zh-CN" w:eastAsia="zh-CN"/>
    </w:rPr>
  </w:style>
  <w:style w:type="character" w:customStyle="1" w:styleId="39">
    <w:name w:val="apple-style-span"/>
    <w:qFormat/>
    <w:uiPriority w:val="0"/>
  </w:style>
  <w:style w:type="character" w:customStyle="1" w:styleId="40">
    <w:name w:val="List Paragraph Char"/>
    <w:link w:val="36"/>
    <w:qFormat/>
    <w:locked/>
    <w:uiPriority w:val="0"/>
    <w:rPr>
      <w:rFonts w:ascii="Calibri" w:hAnsi="Calibri" w:eastAsia="宋体" w:cs="Times New Roman"/>
      <w:kern w:val="0"/>
      <w:sz w:val="22"/>
      <w:szCs w:val="20"/>
      <w:lang w:val="zh-CN" w:eastAsia="en-US"/>
    </w:rPr>
  </w:style>
  <w:style w:type="paragraph" w:customStyle="1" w:styleId="41">
    <w:name w:val="Char Char Char Char"/>
    <w:basedOn w:val="1"/>
    <w:qFormat/>
    <w:uiPriority w:val="0"/>
    <w:rPr>
      <w:rFonts w:ascii="Times New Roman" w:hAnsi="Times New Roman" w:eastAsia="宋体" w:cs="Times New Roman"/>
      <w:sz w:val="24"/>
      <w:szCs w:val="36"/>
    </w:rPr>
  </w:style>
  <w:style w:type="character" w:customStyle="1" w:styleId="42">
    <w:name w:val="Char Char4"/>
    <w:qFormat/>
    <w:locked/>
    <w:uiPriority w:val="0"/>
    <w:rPr>
      <w:rFonts w:ascii="宋体" w:hAnsi="Courier New" w:eastAsia="宋体"/>
      <w:kern w:val="2"/>
      <w:sz w:val="21"/>
      <w:lang w:val="zh-CN" w:eastAsia="zh-CN" w:bidi="ar-SA"/>
    </w:rPr>
  </w:style>
  <w:style w:type="character" w:customStyle="1" w:styleId="43">
    <w:name w:val="样式 (中文) 仿宋_GB2312 三号"/>
    <w:basedOn w:val="18"/>
    <w:qFormat/>
    <w:uiPriority w:val="0"/>
    <w:rPr>
      <w:rFonts w:hint="eastAsia" w:ascii="仿宋_GB2312" w:eastAsia="仿宋_GB2312"/>
      <w:sz w:val="32"/>
    </w:rPr>
  </w:style>
  <w:style w:type="character" w:customStyle="1" w:styleId="44">
    <w:name w:val="Char Char3"/>
    <w:basedOn w:val="18"/>
    <w:qFormat/>
    <w:locked/>
    <w:uiPriority w:val="0"/>
    <w:rPr>
      <w:rFonts w:ascii="宋体" w:hAnsi="宋体" w:eastAsia="宋体"/>
      <w:sz w:val="18"/>
      <w:szCs w:val="18"/>
      <w:lang w:val="en-US" w:eastAsia="zh-CN" w:bidi="ar-SA"/>
    </w:rPr>
  </w:style>
  <w:style w:type="character" w:customStyle="1" w:styleId="45">
    <w:name w:val="font3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50A62-95D0-40DE-8AE8-CA03BF2FD6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4936</Words>
  <Characters>28139</Characters>
  <Lines>234</Lines>
  <Paragraphs>66</Paragraphs>
  <TotalTime>12</TotalTime>
  <ScaleCrop>false</ScaleCrop>
  <LinksUpToDate>false</LinksUpToDate>
  <CharactersWithSpaces>33009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2019-11-14T12:14:00Z</dcterms:created>
  <dc:creator>Administrator</dc:creator>
  <cp:lastModifiedBy>Vacancy</cp:lastModifiedBy>
  <cp:lastPrinted>2019-11-21T07:32:00Z</cp:lastPrinted>
  <dcterms:modified xsi:type="dcterms:W3CDTF">2019-11-26T01:44:14Z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