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华文中宋"/>
          <w:b/>
          <w:bCs/>
          <w:sz w:val="72"/>
          <w:szCs w:val="72"/>
          <w:lang w:eastAsia="zh-CN"/>
        </w:rPr>
      </w:pPr>
      <w:r>
        <w:rPr>
          <w:rFonts w:hint="eastAsia" w:ascii="黑体" w:hAnsi="黑体" w:eastAsia="黑体"/>
          <w:color w:val="000000"/>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a:stretch>
                      <a:fillRect/>
                    </a:stretch>
                  </pic:blipFill>
                  <pic:spPr>
                    <a:xfrm>
                      <a:off x="0" y="0"/>
                      <a:ext cx="563880" cy="563880"/>
                    </a:xfrm>
                    <a:prstGeom prst="rect">
                      <a:avLst/>
                    </a:prstGeom>
                    <a:noFill/>
                    <a:ln w="9525">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745" w:firstLineChars="232"/>
        <w:jc w:val="left"/>
        <w:rPr>
          <w:rFonts w:hint="eastAsia" w:ascii="宋体" w:hAnsi="宋体"/>
          <w:b/>
          <w:sz w:val="32"/>
          <w:lang w:eastAsia="zh-CN"/>
        </w:rPr>
      </w:pPr>
      <w:r>
        <w:rPr>
          <w:rFonts w:hint="eastAsia" w:ascii="宋体" w:hAnsi="宋体"/>
          <w:b/>
          <w:sz w:val="32"/>
        </w:rPr>
        <w:t>项目编号：</w:t>
      </w:r>
      <w:r>
        <w:rPr>
          <w:rFonts w:hint="eastAsia" w:ascii="宋体" w:hAnsi="宋体"/>
          <w:b/>
          <w:sz w:val="32"/>
          <w:lang w:eastAsia="zh-CN"/>
        </w:rPr>
        <w:t>GZBC18FG05002</w:t>
      </w:r>
    </w:p>
    <w:p>
      <w:pPr>
        <w:pStyle w:val="4"/>
        <w:spacing w:line="360" w:lineRule="auto"/>
        <w:ind w:firstLine="745" w:firstLineChars="232"/>
        <w:jc w:val="left"/>
        <w:rPr>
          <w:rFonts w:ascii="宋体" w:hAnsi="宋体"/>
          <w:b/>
          <w:sz w:val="32"/>
        </w:rPr>
      </w:pPr>
      <w:r>
        <w:rPr>
          <w:rFonts w:hint="eastAsia" w:ascii="宋体" w:hAnsi="宋体"/>
          <w:b/>
          <w:sz w:val="32"/>
        </w:rPr>
        <w:t>项目名称：</w:t>
      </w:r>
      <w:r>
        <w:rPr>
          <w:rFonts w:hint="eastAsia" w:ascii="宋体" w:hAnsi="宋体"/>
          <w:b/>
          <w:sz w:val="32"/>
          <w:lang w:eastAsia="zh-CN"/>
        </w:rPr>
        <w:t>番禺区水利工程管理设施防雷装置检测服务采购项目</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jc w:val="center"/>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发布日期：201</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6</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27</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至少提前2个工作日转账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填写组织机构代码证号时，如机构代码证上带有“-”情况下请把“-”也填上，三证合一请看首页办事指南。（如发现机构代码跟上传的证件不一致时，一律退回）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hAnsi="宋体"/>
          <w:b/>
          <w:szCs w:val="21"/>
        </w:rPr>
      </w:pPr>
      <w:r>
        <w:rPr>
          <w:rFonts w:hint="eastAsia" w:ascii="宋体" w:hAnsi="宋体"/>
          <w:b/>
          <w:szCs w:val="21"/>
        </w:rPr>
        <w:t xml:space="preserve">办事指南链接： </w:t>
      </w:r>
      <w:r>
        <w:fldChar w:fldCharType="begin"/>
      </w:r>
      <w:r>
        <w:instrText xml:space="preserve"> HYPERLINK "http://www.gdgpo.com/workEnchiridion.html" </w:instrText>
      </w:r>
      <w:r>
        <w:fldChar w:fldCharType="separate"/>
      </w:r>
      <w:r>
        <w:rPr>
          <w:rFonts w:hint="eastAsia" w:ascii="宋体" w:hAnsi="宋体"/>
          <w:b/>
          <w:szCs w:val="21"/>
        </w:rPr>
        <w:t>http://www.gdgpo.com/workEnchiridion.html</w:t>
      </w:r>
      <w:r>
        <w:rPr>
          <w:rFonts w:hint="eastAsia" w:ascii="宋体" w:hAnsi="宋体"/>
          <w:b/>
          <w:szCs w:val="21"/>
        </w:rPr>
        <w:fldChar w:fldCharType="end"/>
      </w:r>
      <w:r>
        <w:rPr>
          <w:rFonts w:hint="eastAsia" w:ascii="宋体" w:hAnsi="宋体"/>
          <w:b/>
          <w:szCs w:val="21"/>
        </w:rPr>
        <w:t xml:space="preserve"> </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jc w:val="both"/>
        <w:rPr>
          <w:rFonts w:hint="eastAsia"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theme="minorBidi"/>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theme="minorBidi"/>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theme="minorBidi"/>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theme="minorBidi"/>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theme="minorBidi"/>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theme="minorBidi"/>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theme="minorBidi"/>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80529433"/>
      <w:bookmarkStart w:id="1" w:name="_Toc463018928"/>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63018929"/>
      <w:bookmarkStart w:id="3" w:name="_Toc480529434"/>
      <w:bookmarkStart w:id="4" w:name="_Toc492302245"/>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广州市番禺区水务局</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番禺区水利工程管理设施防雷装置检测服务采购项目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GZBC18FG05002</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番禺区水利工程管理设施防雷装置检测服务采购项目</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采购项目预算金额（元）：</w:t>
      </w:r>
      <w:r>
        <w:rPr>
          <w:rFonts w:hint="eastAsia" w:ascii="宋体" w:hAnsi="宋体"/>
          <w:bCs/>
          <w:szCs w:val="20"/>
          <w:lang w:val="en-US" w:eastAsia="zh-CN"/>
        </w:rPr>
        <w:t>670000元</w:t>
      </w:r>
      <w:r>
        <w:rPr>
          <w:rFonts w:hint="eastAsia" w:ascii="宋体" w:hAnsi="宋体"/>
          <w:bCs/>
          <w:szCs w:val="21"/>
        </w:rPr>
        <w:t>；</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w:t>
      </w:r>
      <w:r>
        <w:rPr>
          <w:rFonts w:hint="eastAsia" w:ascii="宋体" w:hAnsi="宋体"/>
          <w:bCs/>
          <w:szCs w:val="20"/>
        </w:rPr>
        <w:t>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rPr>
              <w:t>番禺区水利工程管理设施防雷装置检测服务</w:t>
            </w:r>
          </w:p>
        </w:tc>
        <w:tc>
          <w:tcPr>
            <w:tcW w:w="3126"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合同签订之日起至2018年8月5日</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rPr>
              <w:t>人民币</w:t>
            </w:r>
            <w:r>
              <w:rPr>
                <w:rFonts w:ascii="宋体" w:hAnsi="宋体"/>
              </w:rPr>
              <w:t>67</w:t>
            </w:r>
            <w:r>
              <w:rPr>
                <w:rFonts w:hint="eastAsia" w:ascii="宋体" w:hAnsi="宋体"/>
              </w:rPr>
              <w:t>万元</w:t>
            </w:r>
          </w:p>
        </w:tc>
      </w:tr>
    </w:tbl>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4"/>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lang w:eastAsia="zh-CN"/>
        </w:rPr>
        <w:tab/>
      </w:r>
    </w:p>
    <w:p>
      <w:pPr>
        <w:numPr>
          <w:ilvl w:val="0"/>
          <w:numId w:val="6"/>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p>
      <w:pPr>
        <w:spacing w:line="360" w:lineRule="auto"/>
        <w:rPr>
          <w:rFonts w:hint="eastAsia" w:ascii="宋体" w:hAnsi="宋体" w:cs="宋体"/>
          <w:bCs/>
          <w:color w:val="auto"/>
          <w:kern w:val="0"/>
          <w:szCs w:val="21"/>
        </w:rPr>
      </w:pPr>
      <w:r>
        <w:rPr>
          <w:rFonts w:hint="eastAsia" w:ascii="宋体" w:hAnsi="宋体" w:cs="新宋体"/>
          <w:color w:val="auto"/>
          <w:lang w:val="en-US" w:eastAsia="zh-CN"/>
        </w:rPr>
        <w:t xml:space="preserve">2.   </w:t>
      </w:r>
      <w:r>
        <w:rPr>
          <w:rFonts w:hint="eastAsia" w:ascii="宋体" w:hAnsi="宋体" w:cs="新宋体"/>
          <w:color w:val="auto"/>
        </w:rPr>
        <w:t>提供</w:t>
      </w:r>
      <w:r>
        <w:rPr>
          <w:rFonts w:hint="eastAsia" w:ascii="宋体" w:hAnsi="宋体" w:cs="宋体"/>
          <w:bCs/>
          <w:color w:val="auto"/>
          <w:kern w:val="0"/>
          <w:szCs w:val="21"/>
        </w:rPr>
        <w:t>《公平竞争承诺书》原件和</w:t>
      </w:r>
      <w:r>
        <w:rPr>
          <w:rFonts w:hint="eastAsia" w:ascii="宋体" w:hAnsi="宋体" w:cs="新宋体"/>
          <w:color w:val="auto"/>
        </w:rPr>
        <w:t>提供人民检察院出具的《无行贿犯罪档案记录证明》复印件</w:t>
      </w:r>
      <w:r>
        <w:rPr>
          <w:rFonts w:hint="eastAsia" w:ascii="宋体" w:hAnsi="宋体" w:cs="宋体"/>
          <w:bCs/>
          <w:color w:val="auto"/>
          <w:kern w:val="0"/>
          <w:szCs w:val="21"/>
        </w:rPr>
        <w:t>。</w:t>
      </w:r>
    </w:p>
    <w:p>
      <w:pPr>
        <w:numPr>
          <w:ilvl w:val="0"/>
          <w:numId w:val="0"/>
        </w:numPr>
        <w:adjustRightInd w:val="0"/>
        <w:snapToGrid w:val="0"/>
        <w:spacing w:line="360" w:lineRule="auto"/>
        <w:ind w:leftChars="0"/>
        <w:rPr>
          <w:rFonts w:ascii="宋体" w:hAnsi="宋体" w:cs="宋体"/>
          <w:bCs/>
          <w:kern w:val="0"/>
          <w:szCs w:val="21"/>
        </w:rPr>
      </w:pPr>
      <w:r>
        <w:rPr>
          <w:rFonts w:hint="eastAsia" w:ascii="宋体" w:hAnsi="宋体" w:cs="宋体"/>
          <w:bCs/>
          <w:kern w:val="0"/>
          <w:szCs w:val="21"/>
          <w:lang w:val="en-US" w:eastAsia="zh-CN"/>
        </w:rPr>
        <w:t xml:space="preserve">3.   </w:t>
      </w:r>
      <w:r>
        <w:rPr>
          <w:rFonts w:hint="eastAsia" w:ascii="宋体" w:hAnsi="宋体" w:cs="宋体"/>
          <w:bCs/>
          <w:kern w:val="0"/>
          <w:szCs w:val="21"/>
        </w:rPr>
        <w:t>本项目不接受联合体投标。</w:t>
      </w:r>
    </w:p>
    <w:p>
      <w:pPr>
        <w:numPr>
          <w:ilvl w:val="0"/>
          <w:numId w:val="0"/>
        </w:numPr>
        <w:adjustRightInd w:val="0"/>
        <w:snapToGrid w:val="0"/>
        <w:spacing w:line="360" w:lineRule="auto"/>
        <w:ind w:leftChars="0"/>
        <w:rPr>
          <w:rFonts w:hint="eastAsia" w:ascii="宋体" w:hAnsi="宋体" w:cs="宋体"/>
          <w:bCs/>
          <w:kern w:val="0"/>
          <w:szCs w:val="21"/>
        </w:rPr>
      </w:pPr>
      <w:r>
        <w:rPr>
          <w:rFonts w:hint="eastAsia" w:ascii="宋体" w:hAnsi="宋体" w:cs="宋体"/>
          <w:bCs/>
          <w:kern w:val="0"/>
          <w:szCs w:val="21"/>
          <w:lang w:val="en-US" w:eastAsia="zh-CN"/>
        </w:rPr>
        <w:t xml:space="preserve">4.   </w:t>
      </w:r>
      <w:r>
        <w:rPr>
          <w:rFonts w:hint="eastAsia" w:ascii="宋体" w:hAnsi="宋体" w:cs="宋体"/>
          <w:bCs/>
          <w:kern w:val="0"/>
          <w:szCs w:val="21"/>
        </w:rPr>
        <w:t>已办理报名及登记手续购买本招标文件的供应商。</w:t>
      </w:r>
    </w:p>
    <w:p>
      <w:pPr>
        <w:pStyle w:val="19"/>
        <w:rPr>
          <w:rFonts w:hint="eastAsia" w:asciiTheme="minorEastAsia" w:hAnsiTheme="minorEastAsia" w:eastAsiaTheme="minorEastAsia" w:cstheme="minorEastAsia"/>
          <w:color w:val="FF0000"/>
          <w:kern w:val="28"/>
          <w:sz w:val="21"/>
          <w:szCs w:val="21"/>
          <w:lang w:val="en-US" w:eastAsia="zh-CN"/>
        </w:rPr>
      </w:pPr>
      <w:r>
        <w:rPr>
          <w:rFonts w:hint="eastAsia" w:ascii="宋体" w:hAnsi="宋体" w:cs="宋体"/>
          <w:bCs/>
          <w:color w:val="FF0000"/>
          <w:kern w:val="0"/>
          <w:szCs w:val="21"/>
          <w:lang w:val="en-US" w:eastAsia="zh-CN"/>
        </w:rPr>
        <w:t xml:space="preserve">5.  </w:t>
      </w:r>
      <w:r>
        <w:rPr>
          <w:rFonts w:hint="eastAsia" w:hAnsi="宋体"/>
          <w:color w:val="FF0000"/>
          <w:kern w:val="2"/>
          <w:sz w:val="21"/>
          <w:szCs w:val="21"/>
        </w:rPr>
        <w:t>供应商必须具备气象主管部门颁发的雷电防护装置检测乙级或以上资质证书，且经</w:t>
      </w:r>
      <w:r>
        <w:rPr>
          <w:rFonts w:hint="eastAsia" w:hAnsi="宋体"/>
          <w:color w:val="FF0000"/>
          <w:kern w:val="2"/>
          <w:sz w:val="21"/>
          <w:szCs w:val="21"/>
          <w:highlight w:val="yellow"/>
        </w:rPr>
        <w:t>计量</w:t>
      </w:r>
      <w:r>
        <w:rPr>
          <w:rFonts w:hint="eastAsia" w:hAnsi="宋体"/>
          <w:color w:val="FF0000"/>
          <w:kern w:val="2"/>
          <w:sz w:val="21"/>
          <w:szCs w:val="21"/>
        </w:rPr>
        <w:t>行政主管部门计量认证；</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下载，填写好后与下列文件加盖公章后一并提交。</w:t>
      </w:r>
    </w:p>
    <w:p>
      <w:pPr>
        <w:numPr>
          <w:ilvl w:val="0"/>
          <w:numId w:val="8"/>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r>
        <w:rPr>
          <w:rFonts w:hint="eastAsia" w:ascii="宋体" w:hAnsi="宋体"/>
          <w:bCs/>
          <w:color w:val="auto"/>
          <w:szCs w:val="21"/>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《公平竞争承诺书》复印件；人民检察院出具的《无行贿犯罪档案记录证明》复印件（原件备查）；</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numPr>
          <w:ilvl w:val="0"/>
          <w:numId w:val="8"/>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bCs w:val="0"/>
          <w:color w:val="FF0000"/>
          <w:szCs w:val="21"/>
          <w:u w:val="single"/>
        </w:rPr>
        <w:t>信用中国</w:t>
      </w:r>
      <w:r>
        <w:rPr>
          <w:rFonts w:ascii="宋体" w:hAnsi="宋体"/>
          <w:bCs/>
          <w:color w:val="auto"/>
          <w:szCs w:val="21"/>
        </w:rPr>
        <w:t>”（www.creditchina.gov.cn）</w:t>
      </w:r>
      <w:r>
        <w:rPr>
          <w:rFonts w:hint="eastAsia" w:ascii="宋体" w:hAnsi="宋体"/>
          <w:b/>
          <w:bCs w:val="0"/>
          <w:color w:val="auto"/>
          <w:sz w:val="28"/>
          <w:szCs w:val="28"/>
          <w:lang w:eastAsia="zh-CN"/>
        </w:rPr>
        <w:t>和</w:t>
      </w:r>
      <w:r>
        <w:rPr>
          <w:rFonts w:hint="eastAsia" w:ascii="宋体" w:hAnsi="宋体"/>
          <w:b/>
          <w:bCs w:val="0"/>
          <w:color w:val="FF0000"/>
          <w:szCs w:val="21"/>
          <w:u w:val="single"/>
          <w:lang w:eastAsia="zh-CN"/>
        </w:rPr>
        <w:t>“</w:t>
      </w:r>
      <w:r>
        <w:rPr>
          <w:rFonts w:ascii="宋体" w:hAnsi="宋体"/>
          <w:b/>
          <w:bCs w:val="0"/>
          <w:color w:val="FF0000"/>
          <w:szCs w:val="21"/>
          <w:u w:val="single"/>
        </w:rPr>
        <w:t>中国政府采购网</w:t>
      </w:r>
      <w:r>
        <w:rPr>
          <w:rFonts w:hint="eastAsia" w:ascii="宋体" w:hAnsi="宋体"/>
          <w:b/>
          <w:bCs w:val="0"/>
          <w:color w:val="FF0000"/>
          <w:szCs w:val="21"/>
          <w:u w:val="single"/>
          <w:lang w:eastAsia="zh-CN"/>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r>
        <w:rPr>
          <w:rFonts w:hint="eastAsia" w:ascii="宋体" w:hAnsi="宋体"/>
          <w:b/>
          <w:bCs w:val="0"/>
          <w:color w:val="auto"/>
          <w:szCs w:val="21"/>
          <w:lang w:eastAsia="zh-CN"/>
        </w:rPr>
        <w:t>供应商须提供页面截图。</w:t>
      </w:r>
    </w:p>
    <w:p>
      <w:pPr>
        <w:numPr>
          <w:ilvl w:val="0"/>
          <w:numId w:val="8"/>
        </w:numPr>
        <w:tabs>
          <w:tab w:val="left" w:pos="426"/>
        </w:tabs>
        <w:adjustRightInd w:val="0"/>
        <w:snapToGrid w:val="0"/>
        <w:spacing w:line="360" w:lineRule="auto"/>
        <w:rPr>
          <w:rFonts w:ascii="宋体" w:hAnsi="宋体"/>
          <w:b/>
          <w:color w:val="auto"/>
          <w:szCs w:val="21"/>
        </w:rPr>
      </w:pPr>
      <w:r>
        <w:rPr>
          <w:rFonts w:hint="eastAsia" w:asciiTheme="minorEastAsia" w:hAnsiTheme="minorEastAsia" w:eastAsiaTheme="minorEastAsia" w:cstheme="minorEastAsia"/>
          <w:color w:val="FF0000"/>
          <w:kern w:val="28"/>
          <w:sz w:val="21"/>
          <w:szCs w:val="21"/>
          <w:lang w:eastAsia="zh-CN"/>
        </w:rPr>
        <w:t>供应商必须具备气象主管部门颁发的雷电防护装置检测乙级或以上资质证书，且经计量行政主管部门计量认证。</w:t>
      </w:r>
    </w:p>
    <w:p>
      <w:pPr>
        <w:pStyle w:val="1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w:t>
      </w:r>
      <w:r>
        <w:rPr>
          <w:rFonts w:ascii="宋体" w:hAnsi="宋体"/>
          <w:b/>
          <w:szCs w:val="21"/>
        </w:rPr>
        <w:t>行贿犯罪档案查询申请书</w:t>
      </w:r>
      <w:r>
        <w:rPr>
          <w:rFonts w:hint="eastAsia" w:ascii="宋体" w:hAnsi="宋体"/>
          <w:b/>
          <w:szCs w:val="21"/>
        </w:rPr>
        <w:t>》及《公平竞争承诺书》详见采购代理机构网站（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b/>
          <w:bCs/>
          <w:color w:val="FF0000"/>
          <w:szCs w:val="21"/>
          <w:highlight w:val="none"/>
          <w:u w:val="single"/>
        </w:rPr>
        <w:t>201</w:t>
      </w:r>
      <w:r>
        <w:rPr>
          <w:rFonts w:hint="eastAsia" w:ascii="宋体" w:hAnsi="宋体"/>
          <w:b/>
          <w:bCs/>
          <w:color w:val="FF0000"/>
          <w:szCs w:val="21"/>
          <w:highlight w:val="none"/>
          <w:u w:val="single"/>
          <w:lang w:val="en-US" w:eastAsia="zh-CN"/>
        </w:rPr>
        <w:t>8</w:t>
      </w:r>
      <w:r>
        <w:rPr>
          <w:rFonts w:hint="eastAsia" w:ascii="宋体" w:hAnsi="宋体"/>
          <w:b/>
          <w:bCs/>
          <w:color w:val="FF0000"/>
          <w:szCs w:val="21"/>
          <w:highlight w:val="none"/>
          <w:u w:val="single"/>
        </w:rPr>
        <w:t>年</w:t>
      </w:r>
      <w:r>
        <w:rPr>
          <w:rFonts w:hint="eastAsia" w:ascii="宋体" w:hAnsi="宋体"/>
          <w:b/>
          <w:bCs/>
          <w:color w:val="FF0000"/>
          <w:szCs w:val="21"/>
          <w:highlight w:val="none"/>
          <w:u w:val="single"/>
          <w:lang w:val="en-US" w:eastAsia="zh-CN"/>
        </w:rPr>
        <w:t>6</w:t>
      </w:r>
      <w:r>
        <w:rPr>
          <w:rFonts w:hint="eastAsia" w:ascii="宋体" w:hAnsi="宋体"/>
          <w:b/>
          <w:bCs/>
          <w:color w:val="FF0000"/>
          <w:szCs w:val="21"/>
          <w:highlight w:val="none"/>
          <w:u w:val="single"/>
        </w:rPr>
        <w:t>月</w:t>
      </w:r>
      <w:r>
        <w:rPr>
          <w:rFonts w:hint="eastAsia" w:ascii="宋体" w:hAnsi="宋体"/>
          <w:b/>
          <w:bCs/>
          <w:color w:val="FF0000"/>
          <w:szCs w:val="21"/>
          <w:highlight w:val="none"/>
          <w:u w:val="single"/>
          <w:lang w:val="en-US" w:eastAsia="zh-CN"/>
        </w:rPr>
        <w:t>28</w:t>
      </w:r>
      <w:r>
        <w:rPr>
          <w:rFonts w:hint="eastAsia" w:ascii="宋体" w:hAnsi="宋体"/>
          <w:b/>
          <w:bCs/>
          <w:color w:val="FF0000"/>
          <w:szCs w:val="21"/>
          <w:highlight w:val="none"/>
          <w:u w:val="single"/>
        </w:rPr>
        <w:t>日至201</w:t>
      </w:r>
      <w:r>
        <w:rPr>
          <w:rFonts w:hint="eastAsia" w:ascii="宋体" w:hAnsi="宋体"/>
          <w:b/>
          <w:bCs/>
          <w:color w:val="FF0000"/>
          <w:szCs w:val="21"/>
          <w:highlight w:val="none"/>
          <w:u w:val="single"/>
          <w:lang w:val="en-US" w:eastAsia="zh-CN"/>
        </w:rPr>
        <w:t>8</w:t>
      </w:r>
      <w:r>
        <w:rPr>
          <w:rFonts w:hint="eastAsia" w:ascii="宋体" w:hAnsi="宋体"/>
          <w:b/>
          <w:bCs/>
          <w:color w:val="FF0000"/>
          <w:szCs w:val="21"/>
          <w:highlight w:val="none"/>
          <w:u w:val="single"/>
        </w:rPr>
        <w:t>年</w:t>
      </w:r>
      <w:r>
        <w:rPr>
          <w:rFonts w:hint="eastAsia" w:ascii="宋体" w:hAnsi="宋体"/>
          <w:b/>
          <w:bCs/>
          <w:color w:val="FF0000"/>
          <w:szCs w:val="21"/>
          <w:highlight w:val="none"/>
          <w:u w:val="single"/>
          <w:lang w:val="en-US" w:eastAsia="zh-CN"/>
        </w:rPr>
        <w:t>7</w:t>
      </w:r>
      <w:r>
        <w:rPr>
          <w:rFonts w:hint="eastAsia" w:ascii="宋体" w:hAnsi="宋体"/>
          <w:b/>
          <w:bCs/>
          <w:color w:val="FF0000"/>
          <w:szCs w:val="21"/>
          <w:highlight w:val="none"/>
          <w:u w:val="single"/>
        </w:rPr>
        <w:t>月</w:t>
      </w:r>
      <w:r>
        <w:rPr>
          <w:rFonts w:hint="eastAsia" w:ascii="宋体" w:hAnsi="宋体"/>
          <w:b/>
          <w:bCs/>
          <w:color w:val="FF0000"/>
          <w:szCs w:val="21"/>
          <w:highlight w:val="none"/>
          <w:u w:val="single"/>
          <w:lang w:val="en-US" w:eastAsia="zh-CN"/>
        </w:rPr>
        <w:t>17</w:t>
      </w:r>
      <w:r>
        <w:rPr>
          <w:rFonts w:hint="eastAsia" w:ascii="宋体" w:hAnsi="宋体"/>
          <w:b/>
          <w:bCs/>
          <w:color w:val="FF0000"/>
          <w:szCs w:val="21"/>
          <w:highlight w:val="none"/>
          <w:u w:val="singl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16</w:t>
      </w:r>
      <w:r>
        <w:rPr>
          <w:rFonts w:hint="eastAsia" w:ascii="宋体" w:hAnsi="宋体"/>
          <w:szCs w:val="21"/>
          <w:highlight w:val="none"/>
        </w:rPr>
        <w:t>：00，法定节假日除外，不少于5个工作日）到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szCs w:val="21"/>
          <w:highlight w:val="none"/>
        </w:rPr>
        <w:t>）购买招标文件，招标文件每套售价人民币300.00元，售后不退。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highlight w:val="none"/>
        </w:rPr>
      </w:pPr>
      <w:r>
        <w:rPr>
          <w:rFonts w:hint="eastAsia" w:ascii="宋体" w:hAnsi="宋体"/>
          <w:bCs/>
          <w:color w:val="FF0000"/>
          <w:szCs w:val="20"/>
          <w:highlight w:val="none"/>
        </w:rPr>
        <w:t>投标截止时间：</w:t>
      </w:r>
      <w:r>
        <w:rPr>
          <w:rFonts w:hint="eastAsia" w:ascii="宋体" w:hAnsi="宋体"/>
          <w:b/>
          <w:bCs w:val="0"/>
          <w:color w:val="FF0000"/>
          <w:szCs w:val="20"/>
          <w:highlight w:val="none"/>
          <w:u w:val="single"/>
        </w:rPr>
        <w:t>201</w:t>
      </w:r>
      <w:r>
        <w:rPr>
          <w:rFonts w:hint="eastAsia" w:ascii="宋体" w:hAnsi="宋体"/>
          <w:b/>
          <w:bCs w:val="0"/>
          <w:color w:val="FF0000"/>
          <w:szCs w:val="20"/>
          <w:highlight w:val="none"/>
          <w:u w:val="single"/>
          <w:lang w:val="en-US" w:eastAsia="zh-CN"/>
        </w:rPr>
        <w:t>8</w:t>
      </w:r>
      <w:r>
        <w:rPr>
          <w:rFonts w:hint="eastAsia" w:ascii="宋体" w:hAnsi="宋体"/>
          <w:b/>
          <w:bCs w:val="0"/>
          <w:color w:val="FF0000"/>
          <w:szCs w:val="20"/>
          <w:highlight w:val="none"/>
          <w:u w:val="single"/>
        </w:rPr>
        <w:t>年</w:t>
      </w:r>
      <w:r>
        <w:rPr>
          <w:rFonts w:hint="eastAsia" w:ascii="宋体" w:hAnsi="宋体"/>
          <w:b/>
          <w:bCs w:val="0"/>
          <w:color w:val="FF0000"/>
          <w:szCs w:val="20"/>
          <w:highlight w:val="none"/>
          <w:u w:val="single"/>
          <w:lang w:val="en-US" w:eastAsia="zh-CN"/>
        </w:rPr>
        <w:t>7</w:t>
      </w:r>
      <w:r>
        <w:rPr>
          <w:rFonts w:hint="eastAsia" w:ascii="宋体" w:hAnsi="宋体"/>
          <w:b/>
          <w:bCs w:val="0"/>
          <w:color w:val="FF0000"/>
          <w:szCs w:val="20"/>
          <w:highlight w:val="none"/>
          <w:u w:val="single"/>
        </w:rPr>
        <w:t>月</w:t>
      </w:r>
      <w:r>
        <w:rPr>
          <w:rFonts w:hint="eastAsia" w:ascii="宋体" w:hAnsi="宋体"/>
          <w:b/>
          <w:bCs w:val="0"/>
          <w:color w:val="FF0000"/>
          <w:szCs w:val="20"/>
          <w:highlight w:val="none"/>
          <w:u w:val="single"/>
          <w:lang w:val="en-US" w:eastAsia="zh-CN"/>
        </w:rPr>
        <w:t>20</w:t>
      </w:r>
      <w:r>
        <w:rPr>
          <w:rFonts w:hint="eastAsia" w:ascii="宋体" w:hAnsi="宋体"/>
          <w:b/>
          <w:bCs w:val="0"/>
          <w:color w:val="FF0000"/>
          <w:szCs w:val="20"/>
          <w:highlight w:val="none"/>
          <w:u w:val="single"/>
        </w:rPr>
        <w:t>日</w:t>
      </w:r>
      <w:r>
        <w:rPr>
          <w:rFonts w:hint="eastAsia" w:ascii="宋体" w:hAnsi="宋体"/>
          <w:b/>
          <w:bCs w:val="0"/>
          <w:color w:val="FF0000"/>
          <w:szCs w:val="20"/>
          <w:highlight w:val="none"/>
          <w:u w:val="single"/>
          <w:lang w:val="en-US" w:eastAsia="zh-CN"/>
        </w:rPr>
        <w:t>10</w:t>
      </w:r>
      <w:r>
        <w:rPr>
          <w:rFonts w:hint="eastAsia" w:ascii="宋体" w:hAnsi="宋体"/>
          <w:b/>
          <w:bCs w:val="0"/>
          <w:color w:val="FF0000"/>
          <w:szCs w:val="20"/>
          <w:highlight w:val="none"/>
          <w:u w:val="single"/>
        </w:rPr>
        <w:t>时</w:t>
      </w:r>
      <w:r>
        <w:rPr>
          <w:rFonts w:hint="eastAsia" w:ascii="宋体" w:hAnsi="宋体"/>
          <w:b/>
          <w:bCs w:val="0"/>
          <w:color w:val="FF0000"/>
          <w:szCs w:val="20"/>
          <w:highlight w:val="none"/>
          <w:u w:val="single"/>
          <w:lang w:val="en-US" w:eastAsia="zh-CN"/>
        </w:rPr>
        <w:t>0</w:t>
      </w:r>
      <w:r>
        <w:rPr>
          <w:rFonts w:hint="eastAsia" w:ascii="宋体" w:hAnsi="宋体"/>
          <w:b/>
          <w:bCs w:val="0"/>
          <w:color w:val="FF0000"/>
          <w:szCs w:val="20"/>
          <w:highlight w:val="none"/>
          <w:u w:val="single"/>
        </w:rPr>
        <w:t>0分</w:t>
      </w:r>
      <w:r>
        <w:rPr>
          <w:rFonts w:hint="eastAsia" w:ascii="宋体" w:hAnsi="宋体"/>
          <w:bCs/>
          <w:color w:val="FF0000"/>
          <w:szCs w:val="20"/>
          <w:highlight w:val="none"/>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cs="宋体"/>
          <w:bCs/>
          <w:kern w:val="0"/>
          <w:szCs w:val="21"/>
          <w:highlight w:val="none"/>
          <w:lang w:eastAsia="zh-CN"/>
        </w:rPr>
        <w:t>广州市天河区天源路700号卓粤大厦6层内(长湴地铁站A出口顺车流方向400米左右，加油站旁警备区大院内，进门往右走。)广州宝诚招标代理咨询有限公司</w:t>
      </w:r>
      <w:r>
        <w:rPr>
          <w:rFonts w:hint="eastAsia" w:ascii="宋体" w:hAnsi="宋体" w:cs="宋体"/>
          <w:bCs/>
          <w:kern w:val="0"/>
          <w:szCs w:val="21"/>
          <w:highlight w:val="none"/>
        </w:rPr>
        <w:t>会议室。</w:t>
      </w:r>
    </w:p>
    <w:p>
      <w:pPr>
        <w:numPr>
          <w:ilvl w:val="0"/>
          <w:numId w:val="4"/>
        </w:numPr>
        <w:tabs>
          <w:tab w:val="left" w:pos="567"/>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color w:val="FF0000"/>
          <w:szCs w:val="20"/>
          <w:highlight w:val="none"/>
        </w:rPr>
        <w:t>开标时间：</w:t>
      </w:r>
      <w:r>
        <w:rPr>
          <w:rFonts w:hint="eastAsia" w:ascii="宋体" w:hAnsi="宋体"/>
          <w:b/>
          <w:bCs w:val="0"/>
          <w:color w:val="FF0000"/>
          <w:szCs w:val="20"/>
          <w:highlight w:val="none"/>
          <w:u w:val="single"/>
        </w:rPr>
        <w:t>201</w:t>
      </w:r>
      <w:r>
        <w:rPr>
          <w:rFonts w:hint="eastAsia" w:ascii="宋体" w:hAnsi="宋体"/>
          <w:b/>
          <w:bCs w:val="0"/>
          <w:color w:val="FF0000"/>
          <w:szCs w:val="20"/>
          <w:highlight w:val="none"/>
          <w:u w:val="single"/>
          <w:lang w:val="en-US" w:eastAsia="zh-CN"/>
        </w:rPr>
        <w:t>8</w:t>
      </w:r>
      <w:r>
        <w:rPr>
          <w:rFonts w:hint="eastAsia" w:ascii="宋体" w:hAnsi="宋体"/>
          <w:b/>
          <w:bCs w:val="0"/>
          <w:color w:val="FF0000"/>
          <w:szCs w:val="20"/>
          <w:highlight w:val="none"/>
          <w:u w:val="single"/>
        </w:rPr>
        <w:t>年</w:t>
      </w:r>
      <w:r>
        <w:rPr>
          <w:rFonts w:hint="eastAsia" w:ascii="宋体" w:hAnsi="宋体"/>
          <w:b/>
          <w:bCs w:val="0"/>
          <w:color w:val="FF0000"/>
          <w:szCs w:val="20"/>
          <w:highlight w:val="none"/>
          <w:u w:val="single"/>
          <w:lang w:val="en-US" w:eastAsia="zh-CN"/>
        </w:rPr>
        <w:t>7</w:t>
      </w:r>
      <w:r>
        <w:rPr>
          <w:rFonts w:hint="eastAsia" w:ascii="宋体" w:hAnsi="宋体"/>
          <w:b/>
          <w:bCs w:val="0"/>
          <w:color w:val="FF0000"/>
          <w:szCs w:val="20"/>
          <w:highlight w:val="none"/>
          <w:u w:val="single"/>
        </w:rPr>
        <w:t>月</w:t>
      </w:r>
      <w:r>
        <w:rPr>
          <w:rFonts w:hint="eastAsia" w:ascii="宋体" w:hAnsi="宋体"/>
          <w:b/>
          <w:bCs w:val="0"/>
          <w:color w:val="FF0000"/>
          <w:szCs w:val="20"/>
          <w:highlight w:val="none"/>
          <w:u w:val="single"/>
          <w:lang w:val="en-US" w:eastAsia="zh-CN"/>
        </w:rPr>
        <w:t>20</w:t>
      </w:r>
      <w:r>
        <w:rPr>
          <w:rFonts w:hint="eastAsia" w:ascii="宋体" w:hAnsi="宋体"/>
          <w:b/>
          <w:bCs w:val="0"/>
          <w:color w:val="FF0000"/>
          <w:szCs w:val="20"/>
          <w:highlight w:val="none"/>
          <w:u w:val="single"/>
        </w:rPr>
        <w:t>日</w:t>
      </w:r>
      <w:r>
        <w:rPr>
          <w:rFonts w:hint="eastAsia" w:ascii="宋体" w:hAnsi="宋体"/>
          <w:b/>
          <w:bCs w:val="0"/>
          <w:color w:val="FF0000"/>
          <w:szCs w:val="20"/>
          <w:highlight w:val="none"/>
          <w:u w:val="single"/>
          <w:lang w:val="en-US" w:eastAsia="zh-CN"/>
        </w:rPr>
        <w:t>10</w:t>
      </w:r>
      <w:r>
        <w:rPr>
          <w:rFonts w:hint="eastAsia" w:ascii="宋体" w:hAnsi="宋体"/>
          <w:b/>
          <w:bCs w:val="0"/>
          <w:color w:val="FF0000"/>
          <w:szCs w:val="20"/>
          <w:highlight w:val="none"/>
          <w:u w:val="single"/>
        </w:rPr>
        <w:t>时</w:t>
      </w:r>
      <w:r>
        <w:rPr>
          <w:rFonts w:hint="eastAsia" w:ascii="宋体" w:hAnsi="宋体"/>
          <w:b/>
          <w:bCs w:val="0"/>
          <w:color w:val="FF0000"/>
          <w:szCs w:val="20"/>
          <w:highlight w:val="none"/>
          <w:u w:val="single"/>
          <w:lang w:val="en-US" w:eastAsia="zh-CN"/>
        </w:rPr>
        <w:t>0</w:t>
      </w:r>
      <w:r>
        <w:rPr>
          <w:rFonts w:hint="eastAsia" w:ascii="宋体" w:hAnsi="宋体"/>
          <w:b/>
          <w:bCs w:val="0"/>
          <w:color w:val="FF0000"/>
          <w:szCs w:val="20"/>
          <w:highlight w:val="none"/>
          <w:u w:val="single"/>
        </w:rPr>
        <w:t>0分。</w:t>
      </w:r>
    </w:p>
    <w:p>
      <w:pPr>
        <w:numPr>
          <w:ilvl w:val="0"/>
          <w:numId w:val="4"/>
        </w:numPr>
        <w:tabs>
          <w:tab w:val="left" w:pos="567"/>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cs="宋体"/>
          <w:bCs/>
          <w:kern w:val="0"/>
          <w:szCs w:val="21"/>
          <w:highlight w:val="none"/>
          <w:lang w:eastAsia="zh-CN"/>
        </w:rPr>
        <w:t>广州宝诚招标代理咨询有限公司</w:t>
      </w:r>
      <w:r>
        <w:rPr>
          <w:rFonts w:hint="eastAsia" w:ascii="宋体" w:hAnsi="宋体" w:cs="宋体"/>
          <w:bCs/>
          <w:kern w:val="0"/>
          <w:szCs w:val="21"/>
          <w:highlight w:val="none"/>
        </w:rPr>
        <w:t>会议室。</w:t>
      </w:r>
      <w:r>
        <w:rPr>
          <w:rFonts w:hint="eastAsia" w:ascii="宋体" w:hAnsi="宋体"/>
          <w:bCs/>
          <w:szCs w:val="20"/>
          <w:highlight w:val="none"/>
        </w:rPr>
        <w:t xml:space="preserve"> </w:t>
      </w:r>
    </w:p>
    <w:p>
      <w:pPr>
        <w:numPr>
          <w:ilvl w:val="0"/>
          <w:numId w:val="4"/>
        </w:numPr>
        <w:tabs>
          <w:tab w:val="left" w:pos="567"/>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
          <w:bCs w:val="0"/>
          <w:color w:val="FF0000"/>
          <w:szCs w:val="20"/>
          <w:highlight w:val="none"/>
          <w:u w:val="single"/>
        </w:rPr>
        <w:t>201</w:t>
      </w:r>
      <w:r>
        <w:rPr>
          <w:rFonts w:hint="eastAsia" w:ascii="宋体" w:hAnsi="宋体"/>
          <w:b/>
          <w:bCs w:val="0"/>
          <w:color w:val="FF0000"/>
          <w:szCs w:val="20"/>
          <w:highlight w:val="none"/>
          <w:u w:val="single"/>
          <w:lang w:val="en-US" w:eastAsia="zh-CN"/>
        </w:rPr>
        <w:t>8</w:t>
      </w:r>
      <w:r>
        <w:rPr>
          <w:rFonts w:hint="eastAsia" w:ascii="宋体" w:hAnsi="宋体"/>
          <w:b/>
          <w:bCs w:val="0"/>
          <w:color w:val="FF0000"/>
          <w:szCs w:val="20"/>
          <w:highlight w:val="none"/>
          <w:u w:val="single"/>
        </w:rPr>
        <w:t>年</w:t>
      </w:r>
      <w:r>
        <w:rPr>
          <w:rFonts w:hint="eastAsia" w:ascii="宋体" w:hAnsi="宋体"/>
          <w:b/>
          <w:bCs w:val="0"/>
          <w:color w:val="FF0000"/>
          <w:szCs w:val="21"/>
          <w:highlight w:val="none"/>
          <w:u w:val="single"/>
          <w:lang w:val="en-US" w:eastAsia="zh-CN"/>
        </w:rPr>
        <w:t>6月28</w:t>
      </w:r>
      <w:r>
        <w:rPr>
          <w:rFonts w:hint="eastAsia" w:ascii="宋体" w:hAnsi="宋体"/>
          <w:b/>
          <w:bCs w:val="0"/>
          <w:color w:val="FF0000"/>
          <w:szCs w:val="20"/>
          <w:highlight w:val="none"/>
          <w:u w:val="single"/>
        </w:rPr>
        <w:t>日至201</w:t>
      </w:r>
      <w:r>
        <w:rPr>
          <w:rFonts w:hint="eastAsia" w:ascii="宋体" w:hAnsi="宋体"/>
          <w:b/>
          <w:bCs w:val="0"/>
          <w:color w:val="FF0000"/>
          <w:szCs w:val="20"/>
          <w:highlight w:val="none"/>
          <w:u w:val="single"/>
          <w:lang w:val="en-US" w:eastAsia="zh-CN"/>
        </w:rPr>
        <w:t>8</w:t>
      </w:r>
      <w:r>
        <w:rPr>
          <w:rFonts w:hint="eastAsia" w:ascii="宋体" w:hAnsi="宋体"/>
          <w:b/>
          <w:bCs w:val="0"/>
          <w:color w:val="FF0000"/>
          <w:szCs w:val="20"/>
          <w:highlight w:val="none"/>
          <w:u w:val="single"/>
        </w:rPr>
        <w:t>年</w:t>
      </w:r>
      <w:r>
        <w:rPr>
          <w:rFonts w:hint="eastAsia" w:ascii="宋体" w:hAnsi="宋体"/>
          <w:b/>
          <w:bCs w:val="0"/>
          <w:color w:val="FF0000"/>
          <w:szCs w:val="21"/>
          <w:highlight w:val="none"/>
          <w:u w:val="single"/>
          <w:lang w:val="en-US" w:eastAsia="zh-CN"/>
        </w:rPr>
        <w:t>7</w:t>
      </w:r>
      <w:r>
        <w:rPr>
          <w:rFonts w:hint="eastAsia" w:ascii="宋体" w:hAnsi="宋体"/>
          <w:b/>
          <w:bCs w:val="0"/>
          <w:color w:val="FF0000"/>
          <w:szCs w:val="20"/>
          <w:highlight w:val="none"/>
          <w:u w:val="single"/>
        </w:rPr>
        <w:t>月</w:t>
      </w:r>
      <w:r>
        <w:rPr>
          <w:rFonts w:hint="eastAsia" w:ascii="宋体" w:hAnsi="宋体"/>
          <w:b/>
          <w:bCs w:val="0"/>
          <w:color w:val="FF0000"/>
          <w:szCs w:val="21"/>
          <w:highlight w:val="none"/>
          <w:u w:val="single"/>
          <w:lang w:val="en-US" w:eastAsia="zh-CN"/>
        </w:rPr>
        <w:t>4</w:t>
      </w:r>
      <w:r>
        <w:rPr>
          <w:rFonts w:hint="eastAsia" w:ascii="宋体" w:hAnsi="宋体"/>
          <w:b/>
          <w:bCs w:val="0"/>
          <w:color w:val="FF0000"/>
          <w:szCs w:val="20"/>
          <w:highlight w:val="none"/>
          <w:u w:val="single"/>
        </w:rPr>
        <w:t>日</w:t>
      </w:r>
      <w:r>
        <w:rPr>
          <w:rFonts w:hint="eastAsia" w:ascii="宋体" w:hAnsi="宋体"/>
          <w:bCs/>
          <w:szCs w:val="20"/>
          <w:highlight w:val="none"/>
        </w:rPr>
        <w:t>止。</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10"/>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10"/>
        </w:numPr>
        <w:adjustRightInd w:val="0"/>
        <w:snapToGrid w:val="0"/>
        <w:spacing w:line="360" w:lineRule="auto"/>
        <w:rPr>
          <w:rFonts w:ascii="宋体" w:hAnsi="宋体"/>
          <w:bCs/>
          <w:szCs w:val="20"/>
        </w:rPr>
      </w:pPr>
      <w:r>
        <w:rPr>
          <w:rFonts w:hint="eastAsia" w:ascii="宋体" w:hAnsi="宋体"/>
          <w:bCs/>
          <w:szCs w:val="20"/>
        </w:rPr>
        <w:t>法定媒体：广州市政府采购网（</w:t>
      </w:r>
      <w:r>
        <w:rPr>
          <w:rFonts w:hint="eastAsia"/>
        </w:rPr>
        <w:t>http://gzg2b.gzfinance.gov.cn/</w:t>
      </w:r>
      <w:r>
        <w:rPr>
          <w:rFonts w:hint="eastAsia" w:ascii="宋体" w:hAnsi="宋体"/>
          <w:bCs/>
          <w:szCs w:val="20"/>
        </w:rPr>
        <w:t>）。相关公告在法定媒体上公布之日即视为有效送达，不再另行通知。</w:t>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br w:type="page"/>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t>联系</w:t>
      </w:r>
      <w:r>
        <w:rPr>
          <w:rFonts w:hint="eastAsia" w:ascii="宋体" w:hAnsi="宋体"/>
          <w:b/>
          <w:szCs w:val="21"/>
        </w:rPr>
        <w:t>事项：</w:t>
      </w: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(一)采购项目联系人（采购代理机构）：</w:t>
            </w:r>
            <w:r>
              <w:rPr>
                <w:rFonts w:hint="eastAsia" w:ascii="宋体" w:hAnsi="宋体"/>
                <w:color w:val="000000" w:themeColor="text1"/>
                <w:szCs w:val="21"/>
                <w:lang w:eastAsia="zh-CN"/>
                <w14:textFill>
                  <w14:solidFill>
                    <w14:schemeClr w14:val="tx1"/>
                  </w14:solidFill>
                </w14:textFill>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lang w:val="en-US" w:eastAsia="zh-CN"/>
                <w14:textFill>
                  <w14:solidFill>
                    <w14:schemeClr w14:val="tx1"/>
                  </w14:solidFill>
                </w14:textFill>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采购项目联系人（采购人）：</w:t>
            </w:r>
            <w:r>
              <w:rPr>
                <w:rFonts w:hint="eastAsia" w:ascii="宋体" w:hAnsi="宋体"/>
                <w:color w:val="000000" w:themeColor="text1"/>
                <w:szCs w:val="21"/>
                <w:lang w:val="en-US" w:eastAsia="zh-CN"/>
                <w14:textFill>
                  <w14:solidFill>
                    <w14:schemeClr w14:val="tx1"/>
                  </w14:solidFill>
                </w14:textFill>
              </w:rPr>
              <w:t xml:space="preserve">  刘工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lang w:val="en-US" w:eastAsia="zh-CN"/>
                <w14:textFill>
                  <w14:solidFill>
                    <w14:schemeClr w14:val="tx1"/>
                  </w14:solidFill>
                </w14:textFill>
              </w:rPr>
              <w:t xml:space="preserve"> 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(二)采购代理机构：</w:t>
            </w:r>
            <w:r>
              <w:rPr>
                <w:rFonts w:hint="eastAsia" w:ascii="宋体" w:hAnsi="宋体"/>
                <w:color w:val="000000" w:themeColor="text1"/>
                <w:szCs w:val="21"/>
                <w:lang w:eastAsia="zh-CN"/>
                <w14:textFill>
                  <w14:solidFill>
                    <w14:schemeClr w14:val="tx1"/>
                  </w14:solidFill>
                </w14:textFill>
              </w:rPr>
              <w:t>广州宝诚招标代理咨询有限公司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lang w:eastAsia="zh-CN"/>
                <w14:textFill>
                  <w14:solidFill>
                    <w14:schemeClr w14:val="tx1"/>
                  </w14:solidFill>
                </w14:textFill>
              </w:rPr>
              <w:t>广州市天河区天源路700号卓粤大厦6层内</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eastAsia="zh-CN"/>
                <w14:textFill>
                  <w14:solidFill>
                    <w14:schemeClr w14:val="tx1"/>
                  </w14:solidFill>
                </w14:textFill>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lang w:val="en-US" w:eastAsia="zh-CN"/>
                <w14:textFill>
                  <w14:solidFill>
                    <w14:schemeClr w14:val="tx1"/>
                  </w14:solidFill>
                </w14:textFill>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lang w:val="en-US" w:eastAsia="zh-CN"/>
                <w14:textFill>
                  <w14:solidFill>
                    <w14:schemeClr w14:val="tx1"/>
                  </w14:solidFill>
                </w14:textFill>
              </w:rPr>
              <w:t>020-37887429</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lang w:val="en-US" w:eastAsia="zh-CN"/>
                <w14:textFill>
                  <w14:solidFill>
                    <w14:schemeClr w14:val="tx1"/>
                  </w14:solidFill>
                </w14:textFill>
              </w:rPr>
              <w:t>510650</w:t>
            </w:r>
          </w:p>
        </w:tc>
      </w:tr>
    </w:tbl>
    <w:p>
      <w:pPr>
        <w:rPr>
          <w:rFonts w:hint="eastAsia" w:ascii="宋体" w:hAnsi="宋体" w:cs="宋体"/>
          <w:bCs/>
          <w:color w:val="000000" w:themeColor="text1"/>
          <w:kern w:val="0"/>
          <w:szCs w:val="21"/>
          <w14:textFill>
            <w14:solidFill>
              <w14:schemeClr w14:val="tx1"/>
            </w14:solidFill>
          </w14:textFill>
        </w:rPr>
      </w:pP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(三)采购人：</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广州市番禺区水务局</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广州市番禺区景观大道南9号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val="en-US" w:eastAsia="zh-CN"/>
                <w14:textFill>
                  <w14:solidFill>
                    <w14:schemeClr w14:val="tx1"/>
                  </w14:solidFill>
                </w14:textFill>
              </w:rPr>
              <w:t xml:space="preserve">  刘工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lang w:val="en-US" w:eastAsia="zh-CN"/>
                <w14:textFill>
                  <w14:solidFill>
                    <w14:schemeClr w14:val="tx1"/>
                  </w14:solidFill>
                </w14:textFill>
              </w:rPr>
              <w:t xml:space="preserve"> 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lang w:val="en-US" w:eastAsia="zh-CN"/>
                <w14:textFill>
                  <w14:solidFill>
                    <w14:schemeClr w14:val="tx1"/>
                  </w14:solidFill>
                </w14:textFill>
              </w:rPr>
              <w:t xml:space="preserve">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color w:val="FF0000"/>
          <w:highlight w:val="none"/>
        </w:rPr>
      </w:pPr>
      <w:r>
        <w:rPr>
          <w:rFonts w:hint="eastAsia" w:ascii="宋体" w:hAnsi="宋体"/>
          <w:b/>
          <w:color w:val="FF0000"/>
          <w:highlight w:val="none"/>
        </w:rPr>
        <w:t>发布日期：201</w:t>
      </w:r>
      <w:r>
        <w:rPr>
          <w:rFonts w:hint="eastAsia" w:ascii="宋体" w:hAnsi="宋体"/>
          <w:b/>
          <w:color w:val="FF0000"/>
          <w:highlight w:val="none"/>
          <w:lang w:val="en-US" w:eastAsia="zh-CN"/>
        </w:rPr>
        <w:t>8</w:t>
      </w:r>
      <w:r>
        <w:rPr>
          <w:rFonts w:hint="eastAsia" w:ascii="宋体" w:hAnsi="宋体"/>
          <w:b/>
          <w:color w:val="FF0000"/>
          <w:highlight w:val="none"/>
        </w:rPr>
        <w:t>年</w:t>
      </w:r>
      <w:r>
        <w:rPr>
          <w:rFonts w:hint="eastAsia" w:ascii="宋体" w:hAnsi="宋体"/>
          <w:b/>
          <w:color w:val="FF0000"/>
          <w:highlight w:val="none"/>
          <w:lang w:val="en-US" w:eastAsia="zh-CN"/>
        </w:rPr>
        <w:t>6</w:t>
      </w:r>
      <w:r>
        <w:rPr>
          <w:rFonts w:hint="eastAsia" w:ascii="宋体" w:hAnsi="宋体"/>
          <w:b/>
          <w:color w:val="FF0000"/>
          <w:highlight w:val="none"/>
        </w:rPr>
        <w:t>月</w:t>
      </w:r>
      <w:r>
        <w:rPr>
          <w:rFonts w:hint="eastAsia" w:ascii="宋体" w:hAnsi="宋体"/>
          <w:b/>
          <w:color w:val="FF0000"/>
          <w:highlight w:val="none"/>
          <w:lang w:val="en-US" w:eastAsia="zh-CN"/>
        </w:rPr>
        <w:t>27</w:t>
      </w:r>
      <w:r>
        <w:rPr>
          <w:rFonts w:hint="eastAsia" w:ascii="宋体" w:hAnsi="宋体"/>
          <w:b/>
          <w:color w:val="FF0000"/>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广州市番禺区水务局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广州市天河区天源路700号卓粤大厦6层内</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5"/>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010-88822892/</w:t>
                  </w:r>
                </w:p>
                <w:p>
                  <w:pPr>
                    <w:pStyle w:val="19"/>
                    <w:jc w:val="center"/>
                    <w:rPr>
                      <w:rFonts w:hAnsi="宋体"/>
                      <w:color w:val="auto"/>
                      <w:sz w:val="21"/>
                      <w:szCs w:val="21"/>
                    </w:rPr>
                  </w:pPr>
                  <w:r>
                    <w:rPr>
                      <w:rFonts w:hint="eastAsia" w:hAnsi="宋体"/>
                      <w:color w:val="auto"/>
                      <w:sz w:val="21"/>
                      <w:szCs w:val="21"/>
                    </w:rPr>
                    <w:t>15011155178 010-88822659/</w:t>
                  </w:r>
                </w:p>
                <w:p>
                  <w:pPr>
                    <w:pStyle w:val="1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安国山</w:t>
                  </w:r>
                </w:p>
                <w:p>
                  <w:pPr>
                    <w:pStyle w:val="1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020-83063201</w:t>
                  </w:r>
                </w:p>
                <w:p>
                  <w:pPr>
                    <w:pStyle w:val="1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13729920608</w:t>
                  </w:r>
                </w:p>
                <w:p>
                  <w:pPr>
                    <w:pStyle w:val="19"/>
                    <w:jc w:val="center"/>
                    <w:rPr>
                      <w:rFonts w:hAnsi="宋体"/>
                      <w:color w:val="auto"/>
                      <w:sz w:val="21"/>
                      <w:szCs w:val="21"/>
                    </w:rPr>
                  </w:pPr>
                  <w:r>
                    <w:rPr>
                      <w:rFonts w:hint="eastAsia" w:hAnsi="宋体"/>
                      <w:color w:val="auto"/>
                      <w:sz w:val="21"/>
                      <w:szCs w:val="21"/>
                    </w:rPr>
                    <w:t>13712393608</w:t>
                  </w:r>
                </w:p>
                <w:p>
                  <w:pPr>
                    <w:pStyle w:val="19"/>
                    <w:jc w:val="center"/>
                    <w:rPr>
                      <w:rFonts w:hAnsi="宋体"/>
                      <w:color w:val="auto"/>
                      <w:sz w:val="21"/>
                      <w:szCs w:val="21"/>
                    </w:rPr>
                  </w:pPr>
                  <w:r>
                    <w:rPr>
                      <w:rFonts w:hint="eastAsia" w:hAnsi="宋体"/>
                      <w:color w:val="auto"/>
                      <w:sz w:val="21"/>
                      <w:szCs w:val="21"/>
                    </w:rPr>
                    <w:t>0769-2332688-8013</w:t>
                  </w:r>
                </w:p>
                <w:p>
                  <w:pPr>
                    <w:pStyle w:val="1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谭彪</w:t>
                  </w:r>
                </w:p>
                <w:p>
                  <w:pPr>
                    <w:pStyle w:val="1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11"/>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12"/>
              </w:numPr>
              <w:adjustRightInd w:val="0"/>
              <w:snapToGrid w:val="0"/>
              <w:spacing w:line="320" w:lineRule="exact"/>
              <w:rPr>
                <w:rFonts w:ascii="宋体" w:hAnsi="宋体"/>
                <w:b/>
                <w:bCs/>
                <w:szCs w:val="20"/>
                <w:highlight w:val="none"/>
              </w:rPr>
            </w:pPr>
            <w:r>
              <w:rPr>
                <w:rFonts w:ascii="宋体" w:hAnsi="宋体"/>
                <w:b/>
                <w:bCs/>
                <w:szCs w:val="21"/>
                <w:highlight w:val="none"/>
              </w:rPr>
              <w:t>投标保证金金额：</w:t>
            </w:r>
            <w:r>
              <w:rPr>
                <w:rFonts w:hint="eastAsia" w:ascii="宋体" w:hAnsi="宋体"/>
                <w:b/>
                <w:bCs/>
                <w:highlight w:val="none"/>
              </w:rPr>
              <w:t>RMB</w:t>
            </w:r>
            <w:r>
              <w:rPr>
                <w:rFonts w:hint="eastAsia" w:ascii="宋体" w:hAnsi="宋体"/>
                <w:b/>
                <w:bCs/>
                <w:highlight w:val="none"/>
                <w:lang w:val="en-US" w:eastAsia="zh-CN"/>
              </w:rPr>
              <w:t>14000</w:t>
            </w:r>
            <w:r>
              <w:rPr>
                <w:rFonts w:hint="eastAsia" w:ascii="宋体" w:hAnsi="宋体"/>
                <w:b/>
                <w:bCs/>
                <w:highlight w:val="none"/>
              </w:rPr>
              <w:t>.00元（人民币</w:t>
            </w:r>
            <w:r>
              <w:rPr>
                <w:rFonts w:hint="eastAsia" w:ascii="宋体" w:hAnsi="宋体"/>
                <w:b/>
                <w:bCs/>
                <w:highlight w:val="none"/>
                <w:lang w:eastAsia="zh-CN"/>
              </w:rPr>
              <w:t>壹万肆仟元整</w:t>
            </w:r>
            <w:r>
              <w:rPr>
                <w:rFonts w:hint="eastAsia" w:ascii="宋体" w:hAnsi="宋体"/>
                <w:b/>
                <w:bCs/>
                <w:highlight w:val="none"/>
              </w:rPr>
              <w:t>）。</w:t>
            </w:r>
          </w:p>
          <w:p>
            <w:pPr>
              <w:numPr>
                <w:ilvl w:val="0"/>
                <w:numId w:val="12"/>
              </w:numPr>
              <w:adjustRightInd w:val="0"/>
              <w:snapToGrid w:val="0"/>
              <w:spacing w:line="320" w:lineRule="exact"/>
              <w:rPr>
                <w:rFonts w:ascii="宋体" w:hAnsi="宋体"/>
                <w:bCs/>
              </w:rPr>
            </w:pPr>
            <w:r>
              <w:rPr>
                <w:rFonts w:hint="eastAsia" w:ascii="宋体" w:hAnsi="宋体"/>
                <w:bCs/>
              </w:rPr>
              <w:t>缴纳形式：非现金形式（如电汇、转账或者金融机构、担保机构出具的保函）。</w:t>
            </w:r>
          </w:p>
          <w:p>
            <w:pPr>
              <w:numPr>
                <w:ilvl w:val="0"/>
                <w:numId w:val="12"/>
              </w:numPr>
              <w:adjustRightInd w:val="0"/>
              <w:snapToGrid w:val="0"/>
              <w:spacing w:line="320" w:lineRule="exact"/>
              <w:rPr>
                <w:rFonts w:ascii="宋体" w:hAnsi="宋体"/>
                <w:szCs w:val="21"/>
              </w:rPr>
            </w:pPr>
            <w:r>
              <w:rPr>
                <w:rFonts w:hint="eastAsia" w:ascii="宋体" w:hAnsi="宋体"/>
                <w:szCs w:val="21"/>
              </w:rPr>
              <w:t>投标保证金在投标截止时间的前一日到达以下指定账号：</w:t>
            </w:r>
          </w:p>
          <w:p>
            <w:pPr>
              <w:adjustRightInd w:val="0"/>
              <w:snapToGrid w:val="0"/>
              <w:spacing w:line="320" w:lineRule="exact"/>
              <w:ind w:left="433" w:leftChars="206"/>
              <w:rPr>
                <w:rFonts w:ascii="宋体" w:hAnsi="宋体"/>
                <w:szCs w:val="21"/>
              </w:rPr>
            </w:pPr>
            <w:r>
              <w:rPr>
                <w:rFonts w:hint="eastAsia" w:ascii="宋体" w:hAnsi="宋体"/>
                <w:szCs w:val="21"/>
              </w:rPr>
              <w:t>收款单位名称：</w:t>
            </w:r>
            <w:r>
              <w:rPr>
                <w:rFonts w:hint="eastAsia" w:ascii="宋体" w:hAnsi="宋体"/>
                <w:szCs w:val="21"/>
                <w:lang w:eastAsia="zh-CN"/>
              </w:rPr>
              <w:t>广州宝诚招标代理咨询有限公司</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开户银行：广发银行广州龙洞支行</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投标保证金账号：9550 8802 0090 0000 188</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传真号码：020-3788742</w:t>
            </w:r>
            <w:r>
              <w:rPr>
                <w:rFonts w:hint="eastAsia" w:ascii="宋体" w:hAnsi="宋体"/>
                <w:color w:val="000000"/>
                <w:sz w:val="21"/>
                <w:szCs w:val="21"/>
                <w:lang w:val="en-US" w:eastAsia="zh-CN"/>
              </w:rPr>
              <w:t>9</w:t>
            </w:r>
          </w:p>
          <w:p>
            <w:pPr>
              <w:adjustRightInd w:val="0"/>
              <w:snapToGrid w:val="0"/>
              <w:spacing w:line="320" w:lineRule="exact"/>
              <w:rPr>
                <w:rFonts w:ascii="宋体" w:hAns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GZBC18FG05002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rPr>
                <w:rFonts w:hint="eastAsia" w:ascii="宋体" w:hAnsi="宋体" w:cs="宋体"/>
                <w:szCs w:val="21"/>
              </w:rPr>
              <w:t>投标人以投标担保函形式缴纳投标保证金的，请于</w:t>
            </w:r>
            <w:r>
              <w:rPr>
                <w:rFonts w:hint="eastAsia" w:ascii="宋体" w:hAnsi="宋体"/>
                <w:szCs w:val="21"/>
              </w:rPr>
              <w:t>投标截止时间的前一日将《政府采购投标担保函》Email（</w:t>
            </w:r>
            <w:r>
              <w:rPr>
                <w:rFonts w:hint="eastAsia" w:ascii="宋体" w:hAnsi="宋体"/>
                <w:szCs w:val="21"/>
                <w:lang w:val="en-US" w:eastAsia="zh-CN"/>
              </w:rPr>
              <w:t>GZBCZB</w:t>
            </w:r>
            <w:r>
              <w:rPr>
                <w:rFonts w:ascii="宋体" w:hAnsi="宋体"/>
                <w:szCs w:val="21"/>
              </w:rPr>
              <w:t>@163.com</w:t>
            </w:r>
            <w:r>
              <w:rPr>
                <w:rFonts w:hint="eastAsia" w:ascii="宋体" w:hAnsi="宋体"/>
                <w:szCs w:val="21"/>
              </w:rPr>
              <w:t>）到达我司。</w:t>
            </w:r>
          </w:p>
          <w:p>
            <w:pPr>
              <w:numPr>
                <w:ilvl w:val="0"/>
                <w:numId w:val="12"/>
              </w:numPr>
              <w:adjustRightInd w:val="0"/>
              <w:snapToGrid w:val="0"/>
              <w:spacing w:line="320" w:lineRule="exact"/>
              <w:rPr>
                <w:rFonts w:ascii="宋体" w:hAnsi="宋体"/>
                <w:szCs w:val="21"/>
              </w:rPr>
            </w:pPr>
            <w:r>
              <w:rPr>
                <w:rFonts w:hint="eastAsia" w:ascii="宋体" w:hAnsi="宋体"/>
                <w:szCs w:val="21"/>
              </w:rPr>
              <w:t>有效期：</w:t>
            </w:r>
            <w:r>
              <w:rPr>
                <w:rFonts w:hint="eastAsia" w:ascii="宋体" w:hAnsi="宋体" w:cs="宋体"/>
                <w:szCs w:val="21"/>
              </w:rPr>
              <w:t>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lang w:eastAsia="zh-CN"/>
              </w:rPr>
              <w:t>四</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lang w:val="zh-CN"/>
              </w:rPr>
            </w:pPr>
            <w:r>
              <w:rPr>
                <w:rFonts w:hint="eastAsia" w:ascii="宋体" w:hAnsi="宋体" w:cs="宋体"/>
                <w:kern w:val="0"/>
                <w:szCs w:val="21"/>
                <w:lang w:val="zh-CN"/>
              </w:rPr>
              <w:t>评标委员会由5名单数组成，由采购人的代表</w:t>
            </w:r>
            <w:r>
              <w:rPr>
                <w:rFonts w:hint="eastAsia" w:ascii="宋体" w:hAnsi="宋体" w:cs="宋体"/>
                <w:kern w:val="0"/>
                <w:szCs w:val="21"/>
                <w:lang w:val="en-US" w:eastAsia="zh-CN"/>
              </w:rPr>
              <w:t>0</w:t>
            </w:r>
            <w:r>
              <w:rPr>
                <w:rFonts w:hint="eastAsia" w:ascii="宋体" w:hAnsi="宋体" w:cs="宋体"/>
                <w:kern w:val="0"/>
                <w:szCs w:val="21"/>
                <w:lang w:val="zh-CN"/>
              </w:rPr>
              <w:t>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szCs w:val="21"/>
                <w:lang w:eastAsia="zh-CN"/>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6.3</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13"/>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adjustRightInd w:val="0"/>
              <w:snapToGrid w:val="0"/>
              <w:spacing w:line="320" w:lineRule="exact"/>
              <w:rPr>
                <w:rFonts w:ascii="宋体" w:hAnsi="宋体"/>
                <w:szCs w:val="21"/>
              </w:rPr>
            </w:pPr>
            <w:r>
              <w:rPr>
                <w:rFonts w:ascii="宋体" w:hAnsi="宋体"/>
                <w:szCs w:val="21"/>
              </w:rPr>
              <w:t>（1）以</w:t>
            </w:r>
            <w:r>
              <w:rPr>
                <w:rFonts w:hint="eastAsia" w:ascii="宋体" w:hAnsi="宋体"/>
                <w:szCs w:val="21"/>
              </w:rPr>
              <w:t>采购预算金额作为招标代理服务费的计算基数。</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sz w:val="21"/>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adjustRightInd w:val="0"/>
              <w:snapToGrid w:val="0"/>
              <w:spacing w:line="320" w:lineRule="exact"/>
              <w:rPr>
                <w:rFonts w:ascii="宋体" w:hAnsi="宋体"/>
                <w:szCs w:val="21"/>
              </w:rPr>
            </w:pPr>
            <w:r>
              <w:rPr>
                <w:rFonts w:ascii="宋体" w:hAnsi="宋体"/>
                <w:szCs w:val="21"/>
              </w:rPr>
              <w:t>（</w:t>
            </w:r>
            <w:r>
              <w:rPr>
                <w:rFonts w:hint="eastAsia" w:ascii="宋体" w:hAnsi="宋体"/>
                <w:szCs w:val="21"/>
              </w:rPr>
              <w:t>2</w:t>
            </w: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13"/>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13"/>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80529436"/>
      <w:bookmarkStart w:id="6" w:name="_Toc492302247"/>
      <w:bookmarkStart w:id="7" w:name="_Toc433648010"/>
      <w:r>
        <w:rPr>
          <w:rFonts w:hint="eastAsia" w:ascii="宋体" w:hAnsi="宋体"/>
          <w:b/>
          <w:bCs/>
          <w:sz w:val="28"/>
          <w:szCs w:val="28"/>
        </w:rPr>
        <w:t>第三章  评分体系与标准</w:t>
      </w:r>
      <w:bookmarkEnd w:id="5"/>
      <w:bookmarkEnd w:id="6"/>
      <w:bookmarkEnd w:id="7"/>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w:t>
      </w:r>
      <w:r>
        <w:rPr>
          <w:rFonts w:hint="eastAsia" w:ascii="宋体" w:hAnsi="宋体" w:cs="宋体"/>
          <w:szCs w:val="21"/>
          <w:lang w:eastAsia="zh-CN"/>
        </w:rPr>
        <w:t>代理机构对投标文件进行资格性审查，</w:t>
      </w:r>
      <w:r>
        <w:rPr>
          <w:rFonts w:hint="eastAsia" w:ascii="宋体" w:hAnsi="宋体" w:cs="宋体"/>
          <w:szCs w:val="21"/>
        </w:rPr>
        <w:t>评标委员会</w:t>
      </w:r>
      <w:r>
        <w:rPr>
          <w:rFonts w:hint="eastAsia" w:ascii="宋体" w:hAnsi="宋体" w:cs="宋体"/>
          <w:szCs w:val="21"/>
          <w:lang w:eastAsia="zh-CN"/>
        </w:rPr>
        <w:t>对</w:t>
      </w:r>
      <w:r>
        <w:rPr>
          <w:rFonts w:hint="eastAsia" w:ascii="宋体" w:hAnsi="宋体" w:cs="宋体"/>
          <w:szCs w:val="21"/>
        </w:rPr>
        <w:t>投标文件符合性审查，对通过初审的投标文件进行技术、商务及价格的详细评审，最后评标委员会出具评标报告。</w:t>
      </w:r>
      <w:r>
        <w:rPr>
          <w:rFonts w:hint="eastAsia" w:ascii="宋体" w:hAnsi="宋体" w:cs="宋体"/>
          <w:szCs w:val="21"/>
          <w:lang w:eastAsia="zh-CN"/>
        </w:rPr>
        <w:t>（初审分资格审核和符合性审查）</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4"/>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FF0000"/>
              </w:rPr>
            </w:pPr>
            <w:r>
              <w:rPr>
                <w:rFonts w:hint="eastAsia" w:ascii="宋体" w:hAnsi="宋体"/>
                <w:b/>
                <w:bCs/>
                <w:color w:val="FF0000"/>
                <w:lang w:val="en-US" w:eastAsia="zh-CN"/>
              </w:rPr>
              <w:t>40</w:t>
            </w:r>
            <w:r>
              <w:rPr>
                <w:rFonts w:hint="eastAsia" w:ascii="宋体" w:hAnsi="宋体"/>
                <w:b/>
                <w:bCs/>
                <w:color w:val="FF0000"/>
              </w:rPr>
              <w:t>%</w:t>
            </w:r>
          </w:p>
        </w:tc>
        <w:tc>
          <w:tcPr>
            <w:tcW w:w="3312" w:type="dxa"/>
            <w:vAlign w:val="center"/>
          </w:tcPr>
          <w:p>
            <w:pPr>
              <w:snapToGrid w:val="0"/>
              <w:jc w:val="center"/>
              <w:rPr>
                <w:rFonts w:ascii="宋体" w:hAnsi="宋体"/>
                <w:b/>
                <w:bCs/>
                <w:color w:val="FF0000"/>
              </w:rPr>
            </w:pPr>
            <w:r>
              <w:rPr>
                <w:rFonts w:hint="eastAsia" w:ascii="宋体" w:hAnsi="宋体"/>
                <w:b/>
                <w:bCs/>
                <w:color w:val="FF0000"/>
                <w:lang w:val="en-US" w:eastAsia="zh-CN"/>
              </w:rPr>
              <w:t>40</w:t>
            </w:r>
            <w:r>
              <w:rPr>
                <w:rFonts w:hint="eastAsia" w:ascii="宋体" w:hAnsi="宋体"/>
                <w:b/>
                <w:bCs/>
                <w:color w:val="FF0000"/>
              </w:rPr>
              <w:t>%</w:t>
            </w:r>
          </w:p>
        </w:tc>
        <w:tc>
          <w:tcPr>
            <w:tcW w:w="3412" w:type="dxa"/>
            <w:vAlign w:val="center"/>
          </w:tcPr>
          <w:p>
            <w:pPr>
              <w:snapToGrid w:val="0"/>
              <w:jc w:val="center"/>
              <w:rPr>
                <w:rFonts w:ascii="宋体" w:hAnsi="宋体"/>
                <w:b/>
                <w:bCs/>
                <w:color w:val="FF0000"/>
              </w:rPr>
            </w:pPr>
            <w:r>
              <w:rPr>
                <w:rFonts w:hint="eastAsia" w:ascii="宋体" w:hAnsi="宋体"/>
                <w:b/>
                <w:bCs/>
                <w:color w:val="FF0000"/>
                <w:lang w:val="en-US" w:eastAsia="zh-CN"/>
              </w:rPr>
              <w:t>20</w:t>
            </w:r>
            <w:r>
              <w:rPr>
                <w:rFonts w:hint="eastAsia" w:ascii="宋体" w:hAnsi="宋体"/>
                <w:b/>
                <w:bCs/>
                <w:color w:val="FF0000"/>
              </w:rPr>
              <w:t>%</w:t>
            </w:r>
          </w:p>
        </w:tc>
      </w:tr>
    </w:tbl>
    <w:p>
      <w:pPr>
        <w:numPr>
          <w:ilvl w:val="0"/>
          <w:numId w:val="14"/>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4"/>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w:t>
            </w:r>
            <w:r>
              <w:rPr>
                <w:rFonts w:hint="eastAsia" w:ascii="宋体" w:hAnsi="宋体" w:cs="宋体"/>
                <w:szCs w:val="21"/>
                <w:lang w:eastAsia="zh-CN"/>
              </w:rPr>
              <w:t>、</w:t>
            </w:r>
            <w:r>
              <w:rPr>
                <w:rFonts w:hint="eastAsia" w:ascii="宋体" w:hAnsi="宋体"/>
                <w:sz w:val="21"/>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olor w:val="FF0000"/>
                <w:sz w:val="21"/>
                <w:szCs w:val="21"/>
              </w:rPr>
            </w:pPr>
            <w:r>
              <w:rPr>
                <w:rFonts w:hint="eastAsia" w:ascii="宋体" w:hAnsi="宋体"/>
                <w:color w:val="FF0000"/>
                <w:sz w:val="21"/>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p>
      <w:pPr>
        <w:snapToGrid w:val="0"/>
        <w:spacing w:line="360" w:lineRule="auto"/>
        <w:jc w:val="center"/>
        <w:rPr>
          <w:rFonts w:hint="eastAsia" w:ascii="宋体" w:hAnsi="宋体"/>
          <w:b/>
          <w:bCs w:val="0"/>
          <w:sz w:val="28"/>
          <w:szCs w:val="28"/>
          <w:lang w:eastAsia="zh-CN"/>
        </w:rPr>
      </w:pPr>
      <w:r>
        <w:rPr>
          <w:rFonts w:hint="eastAsia" w:ascii="宋体" w:hAnsi="宋体"/>
          <w:b/>
          <w:bCs w:val="0"/>
          <w:sz w:val="28"/>
          <w:szCs w:val="28"/>
          <w:lang w:eastAsia="zh-CN"/>
        </w:rPr>
        <w:t>技术评分表</w:t>
      </w:r>
    </w:p>
    <w:tbl>
      <w:tblPr>
        <w:tblStyle w:val="15"/>
        <w:tblW w:w="986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85" w:type="dxa"/>
          <w:left w:w="57" w:type="dxa"/>
          <w:bottom w:w="85" w:type="dxa"/>
          <w:right w:w="57" w:type="dxa"/>
        </w:tblCellMar>
      </w:tblPr>
      <w:tblGrid>
        <w:gridCol w:w="2267"/>
        <w:gridCol w:w="840"/>
        <w:gridCol w:w="675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85" w:type="dxa"/>
            <w:left w:w="57" w:type="dxa"/>
            <w:bottom w:w="85" w:type="dxa"/>
            <w:right w:w="57" w:type="dxa"/>
          </w:tblCellMar>
        </w:tblPrEx>
        <w:trPr>
          <w:trHeight w:val="28"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ascii="宋体" w:hAnsi="宋体" w:cs="宋体"/>
                <w:b/>
                <w:bCs/>
                <w:kern w:val="0"/>
                <w:szCs w:val="21"/>
              </w:rPr>
            </w:pPr>
            <w:r>
              <w:rPr>
                <w:rFonts w:ascii="宋体" w:hAnsi="宋体" w:cs="宋体"/>
                <w:b/>
                <w:bCs/>
                <w:kern w:val="0"/>
                <w:szCs w:val="21"/>
              </w:rPr>
              <w:t>评审内容</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ascii="宋体" w:hAnsi="宋体" w:cs="宋体"/>
                <w:b/>
                <w:bCs/>
                <w:kern w:val="0"/>
                <w:szCs w:val="21"/>
              </w:rPr>
            </w:pPr>
            <w:r>
              <w:rPr>
                <w:rFonts w:ascii="宋体" w:hAnsi="宋体" w:cs="宋体"/>
                <w:b/>
                <w:bCs/>
                <w:kern w:val="0"/>
                <w:szCs w:val="21"/>
              </w:rPr>
              <w:t>分值</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ascii="宋体" w:hAnsi="宋体" w:cs="宋体"/>
                <w:b/>
                <w:bCs/>
                <w:kern w:val="0"/>
                <w:szCs w:val="21"/>
              </w:rPr>
            </w:pPr>
            <w:r>
              <w:rPr>
                <w:rFonts w:ascii="宋体" w:hAnsi="宋体" w:cs="宋体"/>
                <w:b/>
                <w:bCs/>
                <w:kern w:val="0"/>
                <w:szCs w:val="21"/>
              </w:rPr>
              <w:t>评分</w:t>
            </w:r>
            <w:r>
              <w:rPr>
                <w:rFonts w:hint="eastAsia" w:ascii="宋体" w:hAnsi="宋体" w:cs="宋体"/>
                <w:b/>
                <w:bCs/>
                <w:kern w:val="0"/>
                <w:szCs w:val="21"/>
              </w:rPr>
              <w:t>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85" w:type="dxa"/>
            <w:left w:w="57" w:type="dxa"/>
            <w:bottom w:w="85" w:type="dxa"/>
            <w:right w:w="57" w:type="dxa"/>
          </w:tblCellMar>
        </w:tblPrEx>
        <w:trPr>
          <w:trHeight w:val="886"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ascii="宋体" w:hAnsi="宋体" w:cs="宋体"/>
                <w:bCs/>
                <w:kern w:val="0"/>
                <w:szCs w:val="21"/>
              </w:rPr>
            </w:pPr>
            <w:r>
              <w:rPr>
                <w:rFonts w:hint="eastAsia" w:ascii="宋体" w:hAnsi="宋体" w:cs="宋体"/>
                <w:bCs/>
                <w:kern w:val="0"/>
                <w:szCs w:val="21"/>
              </w:rPr>
              <w:t>技术条款响应情况</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ascii="宋体" w:hAnsi="宋体" w:cs="宋体"/>
                <w:bCs/>
                <w:kern w:val="0"/>
                <w:szCs w:val="21"/>
              </w:rPr>
            </w:pPr>
            <w:r>
              <w:rPr>
                <w:rFonts w:hint="eastAsia" w:ascii="宋体" w:hAnsi="宋体" w:cs="宋体"/>
                <w:bCs/>
                <w:kern w:val="0"/>
                <w:szCs w:val="21"/>
              </w:rPr>
              <w:t>10分</w:t>
            </w:r>
          </w:p>
        </w:tc>
        <w:tc>
          <w:tcPr>
            <w:tcW w:w="67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优于用户需求书要求得10分；</w:t>
            </w:r>
          </w:p>
          <w:p>
            <w:pPr>
              <w:jc w:val="left"/>
              <w:rPr>
                <w:rFonts w:ascii="宋体" w:hAnsi="宋体" w:cs="宋体"/>
                <w:szCs w:val="21"/>
              </w:rPr>
            </w:pPr>
            <w:r>
              <w:rPr>
                <w:rFonts w:hint="eastAsia" w:ascii="宋体" w:hAnsi="宋体"/>
                <w:szCs w:val="21"/>
              </w:rPr>
              <w:t>完全满足用户需求书要求得</w:t>
            </w:r>
            <w:r>
              <w:rPr>
                <w:rFonts w:hint="eastAsia" w:ascii="宋体" w:hAnsi="宋体" w:cs="宋体"/>
                <w:szCs w:val="21"/>
              </w:rPr>
              <w:t>6分；</w:t>
            </w:r>
          </w:p>
          <w:p>
            <w:pPr>
              <w:widowControl/>
              <w:adjustRightInd w:val="0"/>
              <w:snapToGrid w:val="0"/>
              <w:spacing w:line="276" w:lineRule="auto"/>
              <w:ind w:right="105" w:rightChars="50"/>
              <w:jc w:val="left"/>
              <w:rPr>
                <w:rFonts w:ascii="宋体" w:hAnsi="宋体" w:cs="宋体"/>
                <w:bCs/>
                <w:kern w:val="0"/>
                <w:szCs w:val="21"/>
              </w:rPr>
            </w:pPr>
            <w:r>
              <w:rPr>
                <w:rFonts w:hint="eastAsia" w:ascii="宋体" w:hAnsi="宋体" w:cs="Arial"/>
                <w:szCs w:val="21"/>
              </w:rPr>
              <w:t>部分</w:t>
            </w:r>
            <w:r>
              <w:rPr>
                <w:rFonts w:hint="eastAsia" w:ascii="宋体" w:hAnsi="宋体"/>
                <w:bCs/>
                <w:szCs w:val="21"/>
              </w:rPr>
              <w:t>技术条款</w:t>
            </w:r>
            <w:r>
              <w:rPr>
                <w:rFonts w:hint="eastAsia" w:ascii="宋体" w:hAnsi="宋体" w:cs="Arial"/>
                <w:szCs w:val="21"/>
              </w:rPr>
              <w:t>不响应或</w:t>
            </w:r>
            <w:r>
              <w:rPr>
                <w:rFonts w:hint="eastAsia" w:ascii="宋体" w:hAnsi="宋体"/>
                <w:szCs w:val="21"/>
              </w:rPr>
              <w:t>有负偏离得</w:t>
            </w: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85" w:type="dxa"/>
            <w:left w:w="57" w:type="dxa"/>
            <w:bottom w:w="85" w:type="dxa"/>
            <w:right w:w="57" w:type="dxa"/>
          </w:tblCellMar>
        </w:tblPrEx>
        <w:trPr>
          <w:trHeight w:val="28"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重点难点</w:t>
            </w:r>
            <w:r>
              <w:rPr>
                <w:rFonts w:ascii="宋体" w:hAnsi="宋体" w:cs="宋体"/>
                <w:kern w:val="0"/>
                <w:szCs w:val="21"/>
              </w:rPr>
              <w:t>分析及合理化建议</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10分</w:t>
            </w:r>
          </w:p>
        </w:tc>
        <w:tc>
          <w:tcPr>
            <w:tcW w:w="67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szCs w:val="21"/>
              </w:rPr>
            </w:pPr>
            <w:r>
              <w:rPr>
                <w:rFonts w:hint="eastAsia" w:ascii="宋体" w:hAnsi="宋体" w:cs="宋体"/>
                <w:szCs w:val="21"/>
              </w:rPr>
              <w:t>对水利设施防雷安全检测重点难点分析透彻，</w:t>
            </w:r>
            <w:r>
              <w:rPr>
                <w:rFonts w:ascii="宋体" w:hAnsi="宋体" w:cs="宋体"/>
                <w:szCs w:val="21"/>
              </w:rPr>
              <w:t>合理化</w:t>
            </w:r>
            <w:r>
              <w:rPr>
                <w:rFonts w:hint="eastAsia" w:ascii="宋体" w:hAnsi="宋体" w:cs="宋体"/>
                <w:szCs w:val="21"/>
              </w:rPr>
              <w:t>建议亮点多，科学、合理性强，得10分；</w:t>
            </w:r>
          </w:p>
          <w:p>
            <w:pPr>
              <w:jc w:val="left"/>
              <w:rPr>
                <w:rFonts w:hint="eastAsia" w:ascii="宋体" w:hAnsi="宋体" w:cs="宋体"/>
                <w:szCs w:val="21"/>
              </w:rPr>
            </w:pPr>
            <w:r>
              <w:rPr>
                <w:rFonts w:hint="eastAsia" w:ascii="宋体" w:hAnsi="宋体" w:cs="宋体"/>
                <w:szCs w:val="21"/>
              </w:rPr>
              <w:t>对水利设施防雷安全检测重点难点分析基本透彻的，</w:t>
            </w:r>
            <w:r>
              <w:rPr>
                <w:rFonts w:ascii="宋体" w:hAnsi="宋体" w:cs="宋体"/>
                <w:szCs w:val="21"/>
              </w:rPr>
              <w:t>合理化</w:t>
            </w:r>
            <w:r>
              <w:rPr>
                <w:rFonts w:hint="eastAsia" w:ascii="宋体" w:hAnsi="宋体" w:cs="宋体"/>
                <w:szCs w:val="21"/>
              </w:rPr>
              <w:t>建议较科学但不实用，得6分；</w:t>
            </w:r>
          </w:p>
          <w:p>
            <w:pPr>
              <w:jc w:val="left"/>
              <w:rPr>
                <w:rFonts w:hint="eastAsia" w:ascii="宋体" w:hAnsi="宋体" w:cs="宋体"/>
                <w:bCs/>
                <w:kern w:val="0"/>
                <w:szCs w:val="21"/>
              </w:rPr>
            </w:pPr>
            <w:r>
              <w:rPr>
                <w:rFonts w:hint="eastAsia" w:ascii="宋体" w:hAnsi="宋体" w:cs="宋体"/>
                <w:szCs w:val="21"/>
              </w:rPr>
              <w:t>对水利设施防雷安全检测重点难点分析不透彻的，</w:t>
            </w:r>
            <w:r>
              <w:rPr>
                <w:rFonts w:ascii="宋体" w:hAnsi="宋体" w:cs="宋体"/>
                <w:szCs w:val="21"/>
              </w:rPr>
              <w:t>合理化</w:t>
            </w:r>
            <w:r>
              <w:rPr>
                <w:rFonts w:hint="eastAsia" w:ascii="宋体" w:hAnsi="宋体" w:cs="宋体"/>
                <w:szCs w:val="21"/>
              </w:rPr>
              <w:t>建议不符合项目需求，得3分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85" w:type="dxa"/>
            <w:left w:w="57" w:type="dxa"/>
            <w:bottom w:w="85" w:type="dxa"/>
            <w:right w:w="57" w:type="dxa"/>
          </w:tblCellMar>
        </w:tblPrEx>
        <w:trPr>
          <w:trHeight w:val="28"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项目安全制度</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10分</w:t>
            </w:r>
          </w:p>
        </w:tc>
        <w:tc>
          <w:tcPr>
            <w:tcW w:w="67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szCs w:val="21"/>
              </w:rPr>
            </w:pPr>
            <w:r>
              <w:rPr>
                <w:rFonts w:hint="eastAsia" w:ascii="宋体" w:hAnsi="宋体" w:cs="宋体"/>
                <w:szCs w:val="21"/>
              </w:rPr>
              <w:t>项目管理架构科学，检测作业和安全生产管理制度健全，可行性强，得10分；</w:t>
            </w:r>
          </w:p>
          <w:p>
            <w:pPr>
              <w:jc w:val="left"/>
              <w:rPr>
                <w:rFonts w:hint="eastAsia" w:ascii="宋体" w:hAnsi="宋体" w:cs="宋体"/>
                <w:szCs w:val="21"/>
              </w:rPr>
            </w:pPr>
            <w:r>
              <w:rPr>
                <w:rFonts w:hint="eastAsia" w:ascii="宋体" w:hAnsi="宋体" w:cs="宋体"/>
                <w:szCs w:val="21"/>
              </w:rPr>
              <w:t>项目管理架构较科学，检测作业和安全生产管理制度较健全，具有一定的可行性，得6分；</w:t>
            </w:r>
          </w:p>
          <w:p>
            <w:pPr>
              <w:jc w:val="left"/>
              <w:rPr>
                <w:rFonts w:hint="eastAsia" w:ascii="宋体" w:hAnsi="宋体" w:cs="宋体"/>
                <w:kern w:val="0"/>
                <w:szCs w:val="21"/>
              </w:rPr>
            </w:pPr>
            <w:r>
              <w:rPr>
                <w:rFonts w:hint="eastAsia" w:ascii="宋体" w:hAnsi="宋体" w:cs="宋体"/>
                <w:szCs w:val="21"/>
              </w:rPr>
              <w:t>项目管理架构不科学，检测作业和安全生产管理制度不明确，不具有可行性，得3分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85" w:type="dxa"/>
            <w:left w:w="57" w:type="dxa"/>
            <w:bottom w:w="85" w:type="dxa"/>
            <w:right w:w="57" w:type="dxa"/>
          </w:tblCellMar>
        </w:tblPrEx>
        <w:trPr>
          <w:trHeight w:val="28"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质量保障措施</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10分</w:t>
            </w:r>
          </w:p>
        </w:tc>
        <w:tc>
          <w:tcPr>
            <w:tcW w:w="67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szCs w:val="21"/>
              </w:rPr>
            </w:pPr>
            <w:r>
              <w:rPr>
                <w:rFonts w:hint="eastAsia" w:ascii="宋体" w:hAnsi="宋体" w:cs="宋体"/>
                <w:szCs w:val="21"/>
              </w:rPr>
              <w:t>供应商有针对实现本项目的服务目标的质量保障措施，措施框架完整，目标实现路径清晰，内容科学合理、亮点多，工作安排符合防雷检测工作各项要求，得10分；</w:t>
            </w:r>
          </w:p>
          <w:p>
            <w:pPr>
              <w:jc w:val="left"/>
              <w:rPr>
                <w:rFonts w:hint="eastAsia" w:ascii="宋体" w:hAnsi="宋体" w:cs="宋体"/>
                <w:szCs w:val="21"/>
              </w:rPr>
            </w:pPr>
            <w:r>
              <w:rPr>
                <w:rFonts w:hint="eastAsia" w:ascii="宋体" w:hAnsi="宋体" w:cs="宋体"/>
                <w:szCs w:val="21"/>
              </w:rPr>
              <w:t>供应商具有质量保障措施，有目标实现的方法，内容基本合理，工作安排基本符合防雷检测工作各项要求，得6分；</w:t>
            </w:r>
          </w:p>
          <w:p>
            <w:pPr>
              <w:jc w:val="left"/>
              <w:rPr>
                <w:rFonts w:hint="eastAsia" w:ascii="宋体" w:hAnsi="宋体" w:cs="宋体"/>
                <w:kern w:val="0"/>
                <w:szCs w:val="21"/>
              </w:rPr>
            </w:pPr>
            <w:r>
              <w:rPr>
                <w:rFonts w:hint="eastAsia" w:ascii="宋体" w:hAnsi="宋体" w:cs="宋体"/>
                <w:szCs w:val="21"/>
              </w:rPr>
              <w:t>供应商的质量保障措施没有针对性，内容不完整，对防雷检测工作的落实考虑不足，得3分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28" w:hRule="atLeast"/>
          <w:jc w:val="center"/>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100" w:beforeAutospacing="1" w:after="100" w:afterAutospacing="1" w:line="276" w:lineRule="auto"/>
              <w:jc w:val="center"/>
              <w:rPr>
                <w:rFonts w:hint="eastAsia" w:ascii="宋体" w:hAnsi="宋体" w:cs="宋体"/>
                <w:kern w:val="0"/>
                <w:szCs w:val="21"/>
              </w:rPr>
            </w:pPr>
            <w:r>
              <w:rPr>
                <w:rFonts w:hint="eastAsia" w:ascii="宋体" w:hAnsi="宋体" w:cs="宋体"/>
                <w:kern w:val="0"/>
                <w:szCs w:val="21"/>
              </w:rPr>
              <w:t>合计</w:t>
            </w:r>
          </w:p>
        </w:tc>
        <w:tc>
          <w:tcPr>
            <w:tcW w:w="67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right="105" w:rightChars="50"/>
              <w:jc w:val="center"/>
              <w:rPr>
                <w:rFonts w:hint="eastAsia" w:ascii="宋体" w:hAnsi="宋体" w:cs="宋体"/>
                <w:kern w:val="0"/>
                <w:szCs w:val="21"/>
              </w:rPr>
            </w:pPr>
            <w:r>
              <w:rPr>
                <w:rFonts w:hint="eastAsia" w:ascii="宋体" w:hAnsi="宋体" w:cs="宋体"/>
                <w:kern w:val="0"/>
                <w:szCs w:val="21"/>
              </w:rPr>
              <w:t>40分</w:t>
            </w:r>
          </w:p>
        </w:tc>
      </w:tr>
    </w:tbl>
    <w:p>
      <w:pPr>
        <w:snapToGrid w:val="0"/>
        <w:spacing w:line="360" w:lineRule="auto"/>
        <w:jc w:val="center"/>
        <w:rPr>
          <w:rFonts w:hint="eastAsia" w:ascii="宋体" w:hAnsi="宋体"/>
          <w:b/>
          <w:bCs w:val="0"/>
          <w:sz w:val="28"/>
          <w:szCs w:val="28"/>
          <w:lang w:eastAsia="zh-CN"/>
        </w:rPr>
      </w:pPr>
      <w:r>
        <w:rPr>
          <w:rFonts w:hint="eastAsia" w:ascii="宋体" w:hAnsi="宋体"/>
          <w:b/>
          <w:bCs w:val="0"/>
          <w:sz w:val="28"/>
          <w:szCs w:val="28"/>
          <w:lang w:eastAsia="zh-CN"/>
        </w:rPr>
        <w:br w:type="page"/>
      </w:r>
    </w:p>
    <w:p>
      <w:pPr>
        <w:snapToGrid w:val="0"/>
        <w:spacing w:line="360" w:lineRule="auto"/>
        <w:jc w:val="center"/>
        <w:rPr>
          <w:rFonts w:hint="eastAsia" w:ascii="宋体" w:hAnsi="宋体"/>
          <w:b/>
          <w:bCs w:val="0"/>
          <w:sz w:val="28"/>
          <w:szCs w:val="28"/>
          <w:lang w:eastAsia="zh-CN"/>
        </w:rPr>
      </w:pPr>
      <w:r>
        <w:rPr>
          <w:rFonts w:hint="eastAsia" w:ascii="宋体" w:hAnsi="宋体"/>
          <w:b/>
          <w:bCs w:val="0"/>
          <w:sz w:val="28"/>
          <w:szCs w:val="28"/>
          <w:lang w:eastAsia="zh-CN"/>
        </w:rPr>
        <w:t>商务评分表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23"/>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评审内容</w:t>
            </w:r>
          </w:p>
        </w:tc>
        <w:tc>
          <w:tcPr>
            <w:tcW w:w="923" w:type="dxa"/>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分值</w:t>
            </w:r>
          </w:p>
        </w:tc>
        <w:tc>
          <w:tcPr>
            <w:tcW w:w="7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商务条款响应情况</w:t>
            </w:r>
          </w:p>
        </w:tc>
        <w:tc>
          <w:tcPr>
            <w:tcW w:w="92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3分</w:t>
            </w:r>
          </w:p>
        </w:tc>
        <w:tc>
          <w:tcPr>
            <w:tcW w:w="72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优于采购需求得3分；</w:t>
            </w:r>
          </w:p>
          <w:p>
            <w:pPr>
              <w:jc w:val="left"/>
              <w:rPr>
                <w:rFonts w:ascii="宋体" w:hAnsi="宋体"/>
                <w:szCs w:val="21"/>
              </w:rPr>
            </w:pPr>
            <w:r>
              <w:rPr>
                <w:rFonts w:hint="eastAsia" w:ascii="宋体" w:hAnsi="宋体"/>
                <w:szCs w:val="21"/>
              </w:rPr>
              <w:t>基本满足采购需求得1.5分；</w:t>
            </w:r>
          </w:p>
          <w:p>
            <w:pPr>
              <w:jc w:val="left"/>
              <w:rPr>
                <w:rFonts w:hint="eastAsia" w:ascii="宋体" w:hAnsi="宋体"/>
                <w:szCs w:val="21"/>
              </w:rPr>
            </w:pPr>
            <w:r>
              <w:rPr>
                <w:rFonts w:hint="eastAsia" w:ascii="宋体" w:hAnsi="宋体"/>
                <w:szCs w:val="21"/>
              </w:rPr>
              <w:t>不满足采购需求，有负偏离的得0.5分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3" w:type="dxa"/>
            <w:vMerge w:val="restart"/>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企业资质</w:t>
            </w:r>
          </w:p>
        </w:tc>
        <w:tc>
          <w:tcPr>
            <w:tcW w:w="92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5分</w:t>
            </w:r>
          </w:p>
        </w:tc>
        <w:tc>
          <w:tcPr>
            <w:tcW w:w="728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Cs w:val="21"/>
              </w:rPr>
            </w:pPr>
            <w:r>
              <w:rPr>
                <w:rFonts w:hint="eastAsia" w:ascii="宋体" w:hAnsi="宋体"/>
                <w:szCs w:val="21"/>
              </w:rPr>
              <w:t>供应商具有省级或以上雷电防护装置检测资质得5分，无0分，需提供相关资质证明文件和查询路径证明文件，提供不全或不提供不得分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2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4分</w:t>
            </w:r>
          </w:p>
        </w:tc>
        <w:tc>
          <w:tcPr>
            <w:tcW w:w="728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Cs w:val="21"/>
              </w:rPr>
            </w:pPr>
            <w:r>
              <w:rPr>
                <w:rFonts w:hint="eastAsia" w:ascii="宋体" w:hAnsi="宋体" w:cs="宋体"/>
                <w:kern w:val="0"/>
                <w:szCs w:val="21"/>
              </w:rPr>
              <w:t>供应商为省级或以上气象局经备案的气象信息服务机构得4分，无0分，需提供</w:t>
            </w:r>
            <w:r>
              <w:rPr>
                <w:rFonts w:hint="eastAsia" w:ascii="宋体" w:hAnsi="宋体"/>
                <w:szCs w:val="21"/>
              </w:rPr>
              <w:t>相关证明文件和查询路径证明文件，提供不全或不提供不得分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同类业绩</w:t>
            </w:r>
          </w:p>
        </w:tc>
        <w:tc>
          <w:tcPr>
            <w:tcW w:w="92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10分</w:t>
            </w:r>
          </w:p>
        </w:tc>
        <w:tc>
          <w:tcPr>
            <w:tcW w:w="728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Cs w:val="21"/>
              </w:rPr>
            </w:pPr>
            <w:r>
              <w:rPr>
                <w:rFonts w:hint="eastAsia" w:ascii="宋体" w:hAnsi="宋体"/>
                <w:szCs w:val="21"/>
              </w:rPr>
              <w:t>供应商</w:t>
            </w:r>
            <w:r>
              <w:rPr>
                <w:rFonts w:ascii="宋体" w:hAnsi="宋体"/>
                <w:szCs w:val="21"/>
              </w:rPr>
              <w:t>201</w:t>
            </w:r>
            <w:r>
              <w:rPr>
                <w:rFonts w:hint="eastAsia" w:ascii="宋体" w:hAnsi="宋体"/>
                <w:szCs w:val="21"/>
                <w:lang w:val="en-US" w:eastAsia="zh-CN"/>
              </w:rPr>
              <w:t>6</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日至今具有同类项目业绩，每提供一项得</w:t>
            </w:r>
            <w:r>
              <w:rPr>
                <w:rFonts w:hint="eastAsia" w:ascii="宋体" w:hAnsi="宋体"/>
                <w:szCs w:val="21"/>
                <w:lang w:val="en-US" w:eastAsia="zh-CN"/>
              </w:rPr>
              <w:t>2</w:t>
            </w:r>
            <w:r>
              <w:rPr>
                <w:rFonts w:hint="eastAsia" w:ascii="宋体" w:hAnsi="宋体"/>
                <w:szCs w:val="21"/>
              </w:rPr>
              <w:t>分，最高10分，需提供合同</w:t>
            </w:r>
            <w:r>
              <w:rPr>
                <w:rFonts w:hint="eastAsia" w:ascii="宋体" w:hAnsi="宋体" w:cs="宋体"/>
                <w:kern w:val="0"/>
                <w:sz w:val="22"/>
              </w:rPr>
              <w:t>或委托协议关键页复印件</w:t>
            </w:r>
            <w:r>
              <w:rPr>
                <w:rFonts w:hint="eastAsia" w:ascii="宋体" w:hAnsi="宋体"/>
                <w:szCs w:val="21"/>
              </w:rPr>
              <w:t>，无0分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5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cs="宋体"/>
                <w:kern w:val="0"/>
                <w:szCs w:val="21"/>
              </w:rPr>
              <w:t>拟派本项目技术团队情况</w:t>
            </w:r>
          </w:p>
        </w:tc>
        <w:tc>
          <w:tcPr>
            <w:tcW w:w="92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13分</w:t>
            </w:r>
          </w:p>
        </w:tc>
        <w:tc>
          <w:tcPr>
            <w:tcW w:w="728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Cs w:val="21"/>
              </w:rPr>
            </w:pPr>
            <w:r>
              <w:rPr>
                <w:rFonts w:hint="eastAsia" w:ascii="宋体" w:hAnsi="宋体" w:cs="宋体"/>
                <w:kern w:val="0"/>
                <w:szCs w:val="21"/>
              </w:rPr>
              <w:t>拟派本项目技术团队具有高级防雷检测员证书，每人得3分，具有中级防雷检测员证书，每人得2分，其他不得分，本项最高13分，需提供相关人员证书和</w:t>
            </w:r>
            <w:r>
              <w:rPr>
                <w:rFonts w:ascii="宋体" w:hAnsi="宋体" w:cs="宋体"/>
                <w:kern w:val="0"/>
                <w:szCs w:val="21"/>
              </w:rPr>
              <w:t>在</w:t>
            </w:r>
            <w:r>
              <w:rPr>
                <w:rFonts w:hint="eastAsia" w:ascii="宋体" w:hAnsi="宋体" w:cs="宋体"/>
                <w:kern w:val="0"/>
                <w:szCs w:val="21"/>
              </w:rPr>
              <w:t>投标单位</w:t>
            </w:r>
            <w:r>
              <w:rPr>
                <w:rFonts w:ascii="宋体" w:hAnsi="宋体" w:cs="宋体"/>
                <w:kern w:val="0"/>
                <w:szCs w:val="21"/>
              </w:rPr>
              <w:t>任职</w:t>
            </w:r>
            <w:r>
              <w:rPr>
                <w:rFonts w:hint="eastAsia" w:ascii="宋体" w:hAnsi="宋体" w:cs="宋体"/>
                <w:kern w:val="0"/>
                <w:szCs w:val="21"/>
              </w:rPr>
              <w:t>的</w:t>
            </w:r>
            <w:r>
              <w:rPr>
                <w:rFonts w:ascii="宋体" w:hAnsi="宋体" w:cs="宋体"/>
                <w:kern w:val="0"/>
                <w:szCs w:val="21"/>
              </w:rPr>
              <w:t>社保证明</w:t>
            </w:r>
            <w:r>
              <w:rPr>
                <w:rFonts w:hint="eastAsia" w:ascii="宋体" w:hAnsi="宋体" w:cs="宋体"/>
                <w:kern w:val="0"/>
                <w:szCs w:val="21"/>
              </w:rPr>
              <w:t>，提供不全或不提供不得分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售后服务方案</w:t>
            </w:r>
          </w:p>
        </w:tc>
        <w:tc>
          <w:tcPr>
            <w:tcW w:w="92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 xml:space="preserve">5分 </w:t>
            </w:r>
          </w:p>
        </w:tc>
        <w:tc>
          <w:tcPr>
            <w:tcW w:w="72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ind w:right="105" w:rightChars="50"/>
              <w:jc w:val="left"/>
              <w:rPr>
                <w:rFonts w:hint="eastAsia" w:ascii="宋体" w:hAnsi="宋体" w:cs="宋体"/>
                <w:kern w:val="0"/>
                <w:szCs w:val="21"/>
              </w:rPr>
            </w:pPr>
            <w:r>
              <w:rPr>
                <w:rFonts w:hint="eastAsia" w:ascii="宋体" w:hAnsi="宋体"/>
                <w:szCs w:val="21"/>
              </w:rPr>
              <w:t>售后服务方案具体详细、内容亮点多，方案中明确可为采购人</w:t>
            </w:r>
            <w:r>
              <w:rPr>
                <w:rFonts w:hint="eastAsia" w:ascii="宋体" w:hAnsi="宋体" w:cs="宋体"/>
                <w:kern w:val="0"/>
                <w:szCs w:val="21"/>
              </w:rPr>
              <w:t xml:space="preserve">提供不少于1年当地的雷暴天气提醒和安全管理服务建议，检测服务期间项目执行人员的现场服务响应时间在1小时内，并具备2个及以上其它特点的售后服务内容的，得5分； </w:t>
            </w:r>
          </w:p>
          <w:p>
            <w:pPr>
              <w:widowControl/>
              <w:adjustRightInd w:val="0"/>
              <w:snapToGrid w:val="0"/>
              <w:spacing w:line="276" w:lineRule="auto"/>
              <w:ind w:right="105" w:rightChars="50"/>
              <w:jc w:val="left"/>
              <w:rPr>
                <w:rFonts w:hint="eastAsia" w:ascii="宋体" w:hAnsi="宋体" w:cs="宋体"/>
                <w:kern w:val="0"/>
                <w:szCs w:val="21"/>
              </w:rPr>
            </w:pPr>
            <w:r>
              <w:rPr>
                <w:rFonts w:hint="eastAsia" w:ascii="宋体" w:hAnsi="宋体"/>
                <w:szCs w:val="21"/>
              </w:rPr>
              <w:t>有售后服务方案，方案中明确</w:t>
            </w:r>
            <w:r>
              <w:rPr>
                <w:rFonts w:hint="eastAsia" w:ascii="宋体" w:hAnsi="宋体" w:cs="宋体"/>
                <w:kern w:val="0"/>
                <w:szCs w:val="21"/>
              </w:rPr>
              <w:t>可为采购人提供不少于1年当地的雷暴天气提醒和安全管理服务建议，检测服务期间项目执行人员现场服务响应时间在2小时内，并具备1个其它特点的售后服务内容的，得3分。</w:t>
            </w:r>
          </w:p>
          <w:p>
            <w:pPr>
              <w:widowControl/>
              <w:adjustRightInd w:val="0"/>
              <w:snapToGrid w:val="0"/>
              <w:spacing w:line="276" w:lineRule="auto"/>
              <w:ind w:right="105" w:rightChars="50"/>
              <w:jc w:val="left"/>
              <w:rPr>
                <w:rFonts w:hint="eastAsia" w:ascii="宋体" w:hAnsi="宋体"/>
                <w:szCs w:val="21"/>
              </w:rPr>
            </w:pPr>
            <w:r>
              <w:rPr>
                <w:rFonts w:hint="eastAsia" w:ascii="宋体" w:hAnsi="宋体"/>
                <w:szCs w:val="21"/>
              </w:rPr>
              <w:t>有售后服务方案，但方案中</w:t>
            </w:r>
            <w:r>
              <w:rPr>
                <w:rFonts w:hint="eastAsia" w:ascii="宋体" w:hAnsi="宋体" w:cs="宋体"/>
                <w:kern w:val="0"/>
                <w:szCs w:val="21"/>
              </w:rPr>
              <w:t>没有明确为采购人提供当地雷暴天气提醒和安全管理服务建议，检测服务期间项目执行人员现场服务响应时间在2小时以上，无其它售后服务内容，得1分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6" w:type="dxa"/>
            <w:gridSpan w:val="2"/>
            <w:vAlign w:val="center"/>
          </w:tcPr>
          <w:p>
            <w:pPr>
              <w:jc w:val="center"/>
              <w:rPr>
                <w:rFonts w:hint="eastAsia" w:ascii="宋体" w:hAnsi="宋体"/>
                <w:szCs w:val="21"/>
              </w:rPr>
            </w:pPr>
            <w:r>
              <w:rPr>
                <w:rFonts w:hint="eastAsia" w:ascii="宋体" w:hAnsi="宋体"/>
                <w:szCs w:val="21"/>
              </w:rPr>
              <w:t>合计</w:t>
            </w:r>
          </w:p>
        </w:tc>
        <w:tc>
          <w:tcPr>
            <w:tcW w:w="7286" w:type="dxa"/>
            <w:vAlign w:val="center"/>
          </w:tcPr>
          <w:p>
            <w:pPr>
              <w:jc w:val="center"/>
              <w:rPr>
                <w:rFonts w:hint="eastAsia" w:ascii="宋体" w:hAnsi="宋体"/>
                <w:szCs w:val="21"/>
              </w:rPr>
            </w:pPr>
            <w:r>
              <w:rPr>
                <w:rFonts w:hint="eastAsia" w:ascii="宋体" w:hAnsi="宋体"/>
                <w:szCs w:val="21"/>
              </w:rPr>
              <w:t>40分</w:t>
            </w:r>
          </w:p>
        </w:tc>
      </w:tr>
    </w:tbl>
    <w:p>
      <w:pPr>
        <w:snapToGrid w:val="0"/>
        <w:spacing w:line="360" w:lineRule="auto"/>
        <w:jc w:val="center"/>
        <w:rPr>
          <w:rFonts w:hint="eastAsia" w:ascii="宋体" w:hAnsi="宋体"/>
          <w:b w:val="0"/>
          <w:bCs/>
          <w:sz w:val="28"/>
          <w:szCs w:val="28"/>
          <w:lang w:eastAsia="zh-CN"/>
        </w:rPr>
      </w:pPr>
    </w:p>
    <w:p>
      <w:pPr>
        <w:snapToGrid w:val="0"/>
        <w:spacing w:line="360" w:lineRule="auto"/>
        <w:jc w:val="center"/>
        <w:rPr>
          <w:rFonts w:hint="eastAsia" w:ascii="宋体" w:hAnsi="宋体"/>
          <w:b w:val="0"/>
          <w:bCs/>
          <w:sz w:val="28"/>
          <w:szCs w:val="28"/>
          <w:lang w:eastAsia="zh-CN"/>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w:t>
      </w:r>
      <w:r>
        <w:rPr>
          <w:rFonts w:hint="eastAsia" w:ascii="宋体" w:hAnsi="宋体"/>
          <w:b/>
          <w:bCs/>
          <w:sz w:val="28"/>
          <w:szCs w:val="28"/>
          <w:lang w:val="en-US" w:eastAsia="zh-CN"/>
        </w:rPr>
        <w:t>20</w:t>
      </w:r>
      <w:r>
        <w:rPr>
          <w:rFonts w:hint="eastAsia" w:ascii="宋体" w:hAnsi="宋体"/>
          <w:b/>
          <w:bCs/>
          <w:sz w:val="28"/>
          <w:szCs w:val="28"/>
        </w:rPr>
        <w:t>分)</w:t>
      </w:r>
    </w:p>
    <w:p>
      <w:pPr>
        <w:numPr>
          <w:ilvl w:val="0"/>
          <w:numId w:val="15"/>
        </w:numPr>
        <w:adjustRightInd w:val="0"/>
        <w:snapToGrid w:val="0"/>
        <w:spacing w:line="360" w:lineRule="auto"/>
        <w:rPr>
          <w:rFonts w:ascii="宋体" w:hAnsi="宋体"/>
          <w:bCs/>
        </w:rPr>
      </w:pPr>
      <w:r>
        <w:rPr>
          <w:rFonts w:hint="eastAsia" w:ascii="宋体" w:hAnsi="宋体"/>
          <w:bCs/>
        </w:rPr>
        <w:t>价格核准：</w:t>
      </w:r>
    </w:p>
    <w:p>
      <w:pPr>
        <w:numPr>
          <w:ilvl w:val="1"/>
          <w:numId w:val="15"/>
        </w:numPr>
        <w:adjustRightInd w:val="0"/>
        <w:snapToGrid w:val="0"/>
        <w:spacing w:line="360" w:lineRule="auto"/>
        <w:rPr>
          <w:rFonts w:ascii="宋体" w:hAnsi="宋体"/>
        </w:rPr>
      </w:pPr>
      <w:r>
        <w:rPr>
          <w:rFonts w:hint="eastAsia" w:ascii="宋体" w:hAnsi="宋体"/>
          <w:bCs/>
        </w:rPr>
        <w:t>评标委员会详细分析、核准价格表，检查其是否存在计算上或累加上的算术错误，修正错误的原则如下：</w:t>
      </w:r>
    </w:p>
    <w:p>
      <w:pPr>
        <w:numPr>
          <w:ilvl w:val="0"/>
          <w:numId w:val="16"/>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开标时，投标文件中开标一览表(报价表)内容与投标文件中明细表内容不一致的，以开标一览表(报价表)为准。</w:t>
      </w:r>
    </w:p>
    <w:p>
      <w:pPr>
        <w:numPr>
          <w:ilvl w:val="0"/>
          <w:numId w:val="16"/>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6"/>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6"/>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6"/>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szCs w:val="21"/>
        </w:rPr>
      </w:pPr>
      <w:r>
        <w:rPr>
          <w:rFonts w:hint="eastAsia" w:ascii="宋体" w:hAnsi="宋体" w:cs="宋体"/>
          <w:szCs w:val="21"/>
        </w:rPr>
        <w:t>同时出现两种以上不一致的，按照前款规定的顺序修正。</w:t>
      </w:r>
    </w:p>
    <w:p>
      <w:pPr>
        <w:numPr>
          <w:ilvl w:val="1"/>
          <w:numId w:val="15"/>
        </w:numPr>
        <w:adjustRightInd w:val="0"/>
        <w:snapToGrid w:val="0"/>
        <w:spacing w:line="360" w:lineRule="auto"/>
        <w:rPr>
          <w:rFonts w:ascii="宋体" w:hAns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5"/>
        </w:numPr>
        <w:adjustRightInd w:val="0"/>
        <w:snapToGrid w:val="0"/>
        <w:spacing w:line="360" w:lineRule="auto"/>
        <w:rPr>
          <w:rFonts w:ascii="宋体" w:hAns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5"/>
        </w:numPr>
        <w:adjustRightInd w:val="0"/>
        <w:snapToGrid w:val="0"/>
        <w:spacing w:line="360" w:lineRule="auto"/>
        <w:rPr>
          <w:rFonts w:ascii="宋体" w:hAnsi="宋体"/>
          <w:bCs/>
        </w:rPr>
      </w:pPr>
      <w:r>
        <w:rPr>
          <w:rFonts w:hint="eastAsia" w:ascii="宋体" w:hAnsi="宋体"/>
          <w:bCs/>
        </w:rPr>
        <w:t>按下列第3点</w:t>
      </w:r>
      <w:r>
        <w:rPr>
          <w:rFonts w:hint="eastAsia" w:ascii="宋体" w:hAnsi="宋体"/>
        </w:rPr>
        <w:t>小型和微型企业产品价格进行价格扣除。</w:t>
      </w:r>
    </w:p>
    <w:p>
      <w:pPr>
        <w:numPr>
          <w:ilvl w:val="0"/>
          <w:numId w:val="15"/>
        </w:numPr>
        <w:adjustRightInd w:val="0"/>
        <w:snapToGrid w:val="0"/>
        <w:spacing w:line="360" w:lineRule="auto"/>
        <w:rPr>
          <w:rFonts w:ascii="宋体" w:hAnsi="宋体"/>
          <w:bCs/>
        </w:rPr>
      </w:pPr>
      <w:r>
        <w:rPr>
          <w:rFonts w:ascii="宋体" w:hAnsi="宋体"/>
          <w:bCs/>
        </w:rPr>
        <w:t>综合评分法中的价格分统一采用低价优先法计算，即满足招标文件要求</w:t>
      </w:r>
      <w:r>
        <w:rPr>
          <w:rFonts w:hint="eastAsia" w:ascii="宋体" w:hAnsi="宋体"/>
          <w:bCs/>
        </w:rPr>
        <w:t>（通过资格性、符合性审查）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（指价格核准后的价格，下同）</w:t>
      </w:r>
      <w:r>
        <w:rPr>
          <w:rFonts w:ascii="宋体" w:hAnsi="宋体"/>
          <w:bCs/>
        </w:rPr>
        <w:t>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投标报价得分=(评标基准价/投标报价)×价格权值×100</w:t>
      </w:r>
    </w:p>
    <w:p>
      <w:pPr>
        <w:adjustRightInd w:val="0"/>
        <w:snapToGrid w:val="0"/>
        <w:spacing w:line="360" w:lineRule="auto"/>
        <w:ind w:firstLine="411" w:firstLineChars="196"/>
        <w:rPr>
          <w:rFonts w:ascii="宋体" w:hAns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5"/>
        </w:numPr>
        <w:adjustRightInd w:val="0"/>
        <w:snapToGrid w:val="0"/>
        <w:spacing w:line="360" w:lineRule="auto"/>
        <w:rPr>
          <w:rFonts w:ascii="宋体" w:hAnsi="宋体"/>
        </w:rPr>
      </w:pPr>
      <w:r>
        <w:rPr>
          <w:rFonts w:hint="eastAsia" w:ascii="宋体" w:hAnsi="宋体"/>
        </w:rPr>
        <w:t>小型和微型企业产品价格扣除</w:t>
      </w:r>
    </w:p>
    <w:p>
      <w:pPr>
        <w:numPr>
          <w:ilvl w:val="1"/>
          <w:numId w:val="15"/>
        </w:numPr>
        <w:adjustRightInd w:val="0"/>
        <w:snapToGrid w:val="0"/>
        <w:spacing w:line="360" w:lineRule="auto"/>
        <w:rPr>
          <w:rFonts w:ascii="宋体" w:hAnsi="宋体"/>
          <w:bCs/>
        </w:rPr>
      </w:pPr>
      <w:r>
        <w:rPr>
          <w:rFonts w:hint="eastAsia" w:ascii="宋体" w:hAnsi="宋体"/>
          <w:bCs/>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5"/>
        </w:numPr>
        <w:adjustRightInd w:val="0"/>
        <w:snapToGrid w:val="0"/>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5"/>
        </w:numPr>
        <w:adjustRightInd w:val="0"/>
        <w:snapToGrid w:val="0"/>
        <w:spacing w:line="360" w:lineRule="auto"/>
        <w:rPr>
          <w:rFonts w:ascii="宋体" w:hAnsi="宋体"/>
          <w:bCs/>
        </w:rPr>
      </w:pPr>
      <w:r>
        <w:rPr>
          <w:rFonts w:hint="eastAsia" w:ascii="宋体" w:hAnsi="宋体"/>
          <w:bCs/>
        </w:rPr>
        <w:t xml:space="preserve">符合中小企业划分标准； </w:t>
      </w:r>
    </w:p>
    <w:p>
      <w:pPr>
        <w:numPr>
          <w:ilvl w:val="2"/>
          <w:numId w:val="15"/>
        </w:numPr>
        <w:adjustRightInd w:val="0"/>
        <w:snapToGrid w:val="0"/>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5"/>
        </w:numPr>
        <w:adjustRightInd w:val="0"/>
        <w:snapToGrid w:val="0"/>
        <w:spacing w:line="360" w:lineRule="auto"/>
        <w:rPr>
          <w:rFonts w:ascii="宋体" w:hAnsi="宋体"/>
          <w:bCs/>
        </w:rPr>
      </w:pPr>
      <w:r>
        <w:rPr>
          <w:rFonts w:hint="eastAsia" w:ascii="宋体" w:hAnsi="宋体"/>
          <w:bCs/>
        </w:rPr>
        <w:t>参加政府采购活动的中小企业应当提供《中小企业声明函》（格式见第六章投标文件格式）</w:t>
      </w:r>
    </w:p>
    <w:p>
      <w:pPr>
        <w:numPr>
          <w:ilvl w:val="1"/>
          <w:numId w:val="15"/>
        </w:numPr>
        <w:adjustRightInd w:val="0"/>
        <w:snapToGrid w:val="0"/>
        <w:spacing w:line="360" w:lineRule="auto"/>
        <w:rPr>
          <w:rFonts w:ascii="宋体" w:hAnsi="宋体"/>
        </w:rPr>
      </w:pPr>
      <w:r>
        <w:rPr>
          <w:rFonts w:hint="eastAsia" w:ascii="宋体" w:hAnsi="宋体"/>
        </w:rPr>
        <w:t>监狱企业视同小型、微型企业，享受评审中价格扣除。</w:t>
      </w:r>
    </w:p>
    <w:p>
      <w:pPr>
        <w:numPr>
          <w:ilvl w:val="2"/>
          <w:numId w:val="15"/>
        </w:numPr>
        <w:adjustRightInd w:val="0"/>
        <w:snapToGrid w:val="0"/>
        <w:spacing w:line="360" w:lineRule="auto"/>
        <w:rPr>
          <w:rFonts w:ascii="宋体" w:hAns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5"/>
        </w:numPr>
        <w:adjustRightInd w:val="0"/>
        <w:snapToGrid w:val="0"/>
        <w:spacing w:line="360" w:lineRule="auto"/>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5"/>
        </w:numPr>
        <w:adjustRightInd w:val="0"/>
        <w:snapToGrid w:val="0"/>
        <w:spacing w:line="360" w:lineRule="auto"/>
        <w:ind w:left="425"/>
        <w:rPr>
          <w:rFonts w:ascii="宋体" w:hAnsi="宋体"/>
        </w:rPr>
      </w:pPr>
      <w:r>
        <w:rPr>
          <w:rFonts w:hint="eastAsia" w:ascii="宋体" w:hAnsi="宋体"/>
        </w:rPr>
        <w:t>投标人同时为小型、微型企业和监狱企业的，评审中只享受一次价格扣除。不重复进行价格扣除。</w:t>
      </w:r>
    </w:p>
    <w:p>
      <w:pPr>
        <w:rPr>
          <w:rFonts w:hint="eastAsia" w:ascii="宋体" w:hAnsi="宋体" w:cs="宋体"/>
          <w:b/>
          <w:bCs/>
          <w:color w:val="FF0000"/>
          <w:sz w:val="21"/>
          <w:szCs w:val="21"/>
        </w:rPr>
      </w:pPr>
      <w:r>
        <w:rPr>
          <w:rFonts w:hint="eastAsia" w:ascii="宋体" w:hAnsi="宋体" w:cs="宋体"/>
          <w:b/>
          <w:bCs/>
          <w:color w:val="FF0000"/>
          <w:sz w:val="21"/>
          <w:szCs w:val="21"/>
          <w:lang w:eastAsia="zh-CN"/>
        </w:rPr>
        <w:t>备注：</w:t>
      </w:r>
      <w:r>
        <w:rPr>
          <w:rFonts w:hint="eastAsia" w:ascii="宋体" w:hAnsi="宋体" w:cs="宋体"/>
          <w:b/>
          <w:bCs/>
          <w:color w:val="FF0000"/>
          <w:sz w:val="21"/>
          <w:szCs w:val="21"/>
        </w:rPr>
        <w:t>报价低于最高限价的80%，投标人必须提供单独的报价说明并提交相关证明文件，并由其投标人授权代表签字，经评标委员会评定，若认定该投标报价为低于成本价恶意竞争，属于无效投标报价。</w:t>
      </w:r>
    </w:p>
    <w:p>
      <w:pPr>
        <w:rPr>
          <w:rFonts w:hint="eastAsia" w:ascii="宋体" w:hAnsi="宋体" w:cs="宋体"/>
          <w:b/>
          <w:bCs/>
          <w:color w:val="FF0000"/>
          <w:sz w:val="21"/>
          <w:szCs w:val="21"/>
        </w:rPr>
      </w:pPr>
      <w:r>
        <w:rPr>
          <w:rFonts w:hint="eastAsia" w:ascii="宋体" w:hAnsi="宋体" w:cs="宋体"/>
          <w:b/>
          <w:bCs/>
          <w:color w:val="FF0000"/>
          <w:sz w:val="21"/>
          <w:szCs w:val="21"/>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7"/>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p>
    <w:p>
      <w:pPr>
        <w:numPr>
          <w:ilvl w:val="0"/>
          <w:numId w:val="17"/>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7"/>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p>
      <w:pPr>
        <w:snapToGrid w:val="0"/>
        <w:spacing w:line="320" w:lineRule="exact"/>
        <w:ind w:right="-84" w:rightChars="-40" w:firstLine="420"/>
        <w:rPr>
          <w:rFonts w:ascii="宋体"/>
          <w:b/>
          <w:bCs/>
          <w:spacing w:val="-2"/>
          <w:szCs w:val="21"/>
        </w:rPr>
      </w:pPr>
      <w:bookmarkStart w:id="8" w:name="_Toc495342323"/>
      <w:r>
        <w:rPr>
          <w:rFonts w:hint="eastAsia" w:ascii="宋体"/>
          <w:b/>
          <w:bCs/>
          <w:spacing w:val="-2"/>
          <w:szCs w:val="21"/>
        </w:rPr>
        <w:t>一、防雷装置检测服务内容</w:t>
      </w:r>
    </w:p>
    <w:tbl>
      <w:tblPr>
        <w:tblStyle w:val="15"/>
        <w:tblpPr w:leftFromText="180" w:rightFromText="180" w:vertAnchor="text" w:horzAnchor="margin" w:tblpXSpec="center" w:tblpY="71"/>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320"/>
        <w:gridCol w:w="332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81" w:hRule="atLeast"/>
        </w:trPr>
        <w:tc>
          <w:tcPr>
            <w:tcW w:w="3320" w:type="dxa"/>
            <w:shd w:val="clear" w:color="auto" w:fill="FFFFFF"/>
            <w:vAlign w:val="center"/>
          </w:tcPr>
          <w:p>
            <w:pPr>
              <w:jc w:val="center"/>
              <w:rPr>
                <w:rFonts w:ascii="宋体" w:hAnsi="宋体"/>
              </w:rPr>
            </w:pPr>
            <w:r>
              <w:rPr>
                <w:rFonts w:hint="eastAsia" w:ascii="宋体" w:hAnsi="宋体"/>
              </w:rPr>
              <w:t>采购内容</w:t>
            </w:r>
          </w:p>
        </w:tc>
        <w:tc>
          <w:tcPr>
            <w:tcW w:w="3320" w:type="dxa"/>
            <w:shd w:val="clear" w:color="auto" w:fill="FFFFFF"/>
            <w:vAlign w:val="center"/>
          </w:tcPr>
          <w:p>
            <w:pPr>
              <w:jc w:val="center"/>
              <w:rPr>
                <w:rFonts w:ascii="宋体" w:hAnsi="宋体"/>
              </w:rPr>
            </w:pPr>
            <w:r>
              <w:rPr>
                <w:rFonts w:hint="eastAsia" w:ascii="宋体" w:hAnsi="宋体"/>
              </w:rPr>
              <w:t>服务期</w:t>
            </w:r>
          </w:p>
        </w:tc>
        <w:tc>
          <w:tcPr>
            <w:tcW w:w="3322" w:type="dxa"/>
            <w:shd w:val="clear" w:color="auto" w:fill="FFFFFF"/>
            <w:vAlign w:val="center"/>
          </w:tcPr>
          <w:p>
            <w:pPr>
              <w:jc w:val="center"/>
              <w:rPr>
                <w:rFonts w:ascii="宋体" w:hAnsi="宋体"/>
              </w:rPr>
            </w:pPr>
            <w:r>
              <w:rPr>
                <w:rFonts w:hint="eastAsia" w:ascii="宋体" w:hAnsi="宋体"/>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3320" w:type="dxa"/>
            <w:shd w:val="clear" w:color="auto" w:fill="FFFFFF"/>
            <w:vAlign w:val="center"/>
          </w:tcPr>
          <w:p>
            <w:pPr>
              <w:jc w:val="center"/>
              <w:rPr>
                <w:rFonts w:ascii="宋体" w:hAnsi="宋体"/>
              </w:rPr>
            </w:pPr>
            <w:r>
              <w:rPr>
                <w:rFonts w:hint="eastAsia" w:ascii="宋体" w:hAnsi="宋体"/>
              </w:rPr>
              <w:t>番禺区水利工程管理设施防雷装置检测服务</w:t>
            </w:r>
          </w:p>
        </w:tc>
        <w:tc>
          <w:tcPr>
            <w:tcW w:w="3320" w:type="dxa"/>
            <w:shd w:val="clear" w:color="auto" w:fill="FFFFFF"/>
            <w:vAlign w:val="center"/>
          </w:tcPr>
          <w:p>
            <w:pPr>
              <w:jc w:val="center"/>
              <w:rPr>
                <w:rFonts w:hint="eastAsia" w:ascii="宋体" w:hAnsi="宋体" w:eastAsia="宋体"/>
                <w:lang w:eastAsia="zh-CN"/>
              </w:rPr>
            </w:pPr>
            <w:r>
              <w:rPr>
                <w:rFonts w:hint="eastAsia" w:ascii="宋体" w:hAnsi="宋体"/>
                <w:lang w:eastAsia="zh-CN"/>
              </w:rPr>
              <w:t>合同签订之日起至2018年8月5日</w:t>
            </w:r>
          </w:p>
        </w:tc>
        <w:tc>
          <w:tcPr>
            <w:tcW w:w="3322" w:type="dxa"/>
            <w:shd w:val="clear" w:color="auto" w:fill="FFFFFF"/>
            <w:vAlign w:val="center"/>
          </w:tcPr>
          <w:p>
            <w:pPr>
              <w:jc w:val="center"/>
              <w:rPr>
                <w:rFonts w:ascii="宋体" w:hAnsi="宋体"/>
              </w:rPr>
            </w:pPr>
            <w:r>
              <w:rPr>
                <w:rFonts w:hint="eastAsia" w:ascii="宋体" w:hAnsi="宋体"/>
              </w:rPr>
              <w:t>人民币</w:t>
            </w:r>
            <w:r>
              <w:rPr>
                <w:rFonts w:ascii="宋体" w:hAnsi="宋体"/>
              </w:rPr>
              <w:t>67</w:t>
            </w:r>
            <w:r>
              <w:rPr>
                <w:rFonts w:hint="eastAsia" w:ascii="宋体" w:hAnsi="宋体"/>
              </w:rPr>
              <w:t>万元</w:t>
            </w:r>
          </w:p>
        </w:tc>
      </w:tr>
    </w:tbl>
    <w:p>
      <w:pPr>
        <w:snapToGrid w:val="0"/>
        <w:spacing w:line="300" w:lineRule="exact"/>
        <w:ind w:right="-84" w:rightChars="-40" w:firstLine="420"/>
        <w:rPr>
          <w:rFonts w:hint="eastAsia" w:ascii="宋体"/>
          <w:bCs/>
          <w:spacing w:val="-2"/>
          <w:szCs w:val="21"/>
        </w:rPr>
      </w:pPr>
      <w:r>
        <w:rPr>
          <w:rFonts w:hint="eastAsia" w:ascii="宋体"/>
          <w:b/>
          <w:bCs/>
          <w:spacing w:val="-2"/>
          <w:szCs w:val="21"/>
        </w:rPr>
        <w:t>防雷装置检测服务项目</w:t>
      </w:r>
    </w:p>
    <w:p>
      <w:pPr>
        <w:ind w:firstLine="412" w:firstLineChars="200"/>
        <w:rPr>
          <w:rFonts w:hint="eastAsia" w:ascii="宋体" w:hAnsi="宋体"/>
          <w:b/>
          <w:szCs w:val="21"/>
        </w:rPr>
      </w:pPr>
      <w:r>
        <w:rPr>
          <w:rFonts w:hint="eastAsia" w:ascii="宋体"/>
          <w:bCs/>
          <w:spacing w:val="-2"/>
          <w:szCs w:val="21"/>
        </w:rPr>
        <w:t>1.服务期内，供应商按“四、</w:t>
      </w:r>
      <w:r>
        <w:rPr>
          <w:rFonts w:hint="eastAsia" w:ascii="宋体" w:hAnsi="宋体"/>
          <w:szCs w:val="21"/>
        </w:rPr>
        <w:t>主要检查内容</w:t>
      </w:r>
      <w:r>
        <w:rPr>
          <w:rFonts w:hint="eastAsia" w:ascii="宋体"/>
          <w:bCs/>
          <w:spacing w:val="-2"/>
          <w:szCs w:val="21"/>
        </w:rPr>
        <w:t>”要求对番禺区现有水利工程管理设施共</w:t>
      </w:r>
      <w:r>
        <w:rPr>
          <w:rFonts w:ascii="宋体"/>
          <w:bCs/>
          <w:spacing w:val="-2"/>
          <w:szCs w:val="21"/>
        </w:rPr>
        <w:t>271</w:t>
      </w:r>
      <w:r>
        <w:rPr>
          <w:rFonts w:hint="eastAsia" w:ascii="宋体"/>
          <w:bCs/>
          <w:spacing w:val="-2"/>
          <w:szCs w:val="21"/>
        </w:rPr>
        <w:t>处（水闸</w:t>
      </w:r>
      <w:r>
        <w:rPr>
          <w:rFonts w:ascii="宋体"/>
          <w:bCs/>
          <w:spacing w:val="-2"/>
          <w:szCs w:val="21"/>
        </w:rPr>
        <w:t>180</w:t>
      </w:r>
      <w:r>
        <w:rPr>
          <w:rFonts w:hint="eastAsia" w:ascii="宋体"/>
          <w:bCs/>
          <w:spacing w:val="-2"/>
          <w:szCs w:val="21"/>
        </w:rPr>
        <w:t>座、泵站</w:t>
      </w:r>
      <w:r>
        <w:rPr>
          <w:rFonts w:ascii="宋体"/>
          <w:bCs/>
          <w:spacing w:val="-2"/>
          <w:szCs w:val="21"/>
        </w:rPr>
        <w:t>91</w:t>
      </w:r>
      <w:r>
        <w:rPr>
          <w:rFonts w:hint="eastAsia" w:ascii="宋体"/>
          <w:bCs/>
          <w:spacing w:val="-2"/>
          <w:szCs w:val="21"/>
        </w:rPr>
        <w:t>座、管理房等附属设施</w:t>
      </w:r>
      <w:r>
        <w:rPr>
          <w:rFonts w:ascii="宋体"/>
          <w:bCs/>
          <w:spacing w:val="-2"/>
          <w:szCs w:val="21"/>
        </w:rPr>
        <w:t>217</w:t>
      </w:r>
      <w:r>
        <w:rPr>
          <w:rFonts w:hint="eastAsia" w:ascii="宋体"/>
          <w:bCs/>
          <w:spacing w:val="-2"/>
          <w:szCs w:val="21"/>
        </w:rPr>
        <w:t>座）防雷接地装置、引下线、接闪器、等电位连接、设备安全保护接地以及</w:t>
      </w:r>
      <w:r>
        <w:rPr>
          <w:rFonts w:ascii="宋体"/>
          <w:bCs/>
          <w:spacing w:val="-2"/>
          <w:szCs w:val="21"/>
        </w:rPr>
        <w:t>SPD</w:t>
      </w:r>
      <w:r>
        <w:rPr>
          <w:rFonts w:hint="eastAsia" w:ascii="宋体"/>
          <w:bCs/>
          <w:spacing w:val="-2"/>
          <w:szCs w:val="21"/>
        </w:rPr>
        <w:t>等防雷装置逐项</w:t>
      </w:r>
      <w:r>
        <w:rPr>
          <w:rFonts w:hint="eastAsia" w:ascii="宋体"/>
          <w:bCs/>
          <w:spacing w:val="-2"/>
          <w:szCs w:val="21"/>
          <w:highlight w:val="yellow"/>
        </w:rPr>
        <w:t>至少进行1次</w:t>
      </w:r>
      <w:r>
        <w:rPr>
          <w:rFonts w:hint="eastAsia" w:ascii="宋体"/>
          <w:bCs/>
          <w:spacing w:val="-2"/>
          <w:szCs w:val="21"/>
        </w:rPr>
        <w:t>的跟踪检测，出具检测报告。</w:t>
      </w:r>
    </w:p>
    <w:p>
      <w:pPr>
        <w:snapToGrid w:val="0"/>
        <w:spacing w:line="300" w:lineRule="exact"/>
        <w:ind w:right="-84" w:rightChars="-40" w:firstLine="420"/>
        <w:rPr>
          <w:rFonts w:hint="eastAsia" w:ascii="宋体"/>
          <w:bCs/>
          <w:spacing w:val="-2"/>
          <w:szCs w:val="21"/>
        </w:rPr>
      </w:pPr>
      <w:r>
        <w:rPr>
          <w:rFonts w:hint="eastAsia" w:ascii="宋体"/>
          <w:bCs/>
          <w:spacing w:val="-2"/>
          <w:szCs w:val="21"/>
        </w:rPr>
        <w:t>2.供应商提供的检测服务应符合广东省防雷安全在线管理监察平台的相关要求，并执行平台相关信息录入的对接工作。</w:t>
      </w:r>
    </w:p>
    <w:p>
      <w:pPr>
        <w:snapToGrid w:val="0"/>
        <w:spacing w:line="300" w:lineRule="exact"/>
        <w:ind w:right="-84" w:rightChars="-40" w:firstLine="420"/>
        <w:rPr>
          <w:rFonts w:hint="eastAsia" w:ascii="宋体"/>
          <w:bCs/>
          <w:spacing w:val="-2"/>
          <w:szCs w:val="21"/>
        </w:rPr>
      </w:pPr>
      <w:r>
        <w:rPr>
          <w:rFonts w:hint="eastAsia" w:ascii="宋体"/>
          <w:bCs/>
          <w:spacing w:val="-2"/>
          <w:szCs w:val="21"/>
        </w:rPr>
        <w:t>3.供应商提供的防雷装置检测报告需在广东省网上办事大厅登记。</w:t>
      </w:r>
    </w:p>
    <w:p>
      <w:pPr>
        <w:snapToGrid w:val="0"/>
        <w:spacing w:line="300" w:lineRule="exact"/>
        <w:ind w:right="-84" w:rightChars="-40" w:firstLine="420"/>
        <w:rPr>
          <w:rFonts w:ascii="宋体"/>
          <w:b/>
          <w:bCs/>
          <w:spacing w:val="-2"/>
          <w:szCs w:val="21"/>
        </w:rPr>
      </w:pPr>
      <w:r>
        <w:rPr>
          <w:rFonts w:hint="eastAsia" w:ascii="宋体"/>
          <w:b/>
          <w:bCs/>
          <w:spacing w:val="-2"/>
          <w:szCs w:val="21"/>
        </w:rPr>
        <w:t>二、供应商资格要求</w:t>
      </w:r>
    </w:p>
    <w:p>
      <w:pPr>
        <w:snapToGrid w:val="0"/>
        <w:spacing w:line="300" w:lineRule="exact"/>
        <w:ind w:right="-84" w:rightChars="-40" w:firstLine="420"/>
        <w:rPr>
          <w:rFonts w:hint="eastAsia" w:ascii="宋体"/>
          <w:bCs/>
          <w:spacing w:val="-2"/>
          <w:szCs w:val="21"/>
        </w:rPr>
      </w:pPr>
      <w:r>
        <w:rPr>
          <w:rFonts w:hint="eastAsia" w:ascii="宋体"/>
          <w:bCs/>
          <w:spacing w:val="-2"/>
          <w:szCs w:val="21"/>
        </w:rPr>
        <w:t>（1）符合《中华人民共和国政府采购法》第二十二条资格条件的规定：</w:t>
      </w:r>
    </w:p>
    <w:p>
      <w:pPr>
        <w:ind w:firstLine="420" w:firstLineChars="200"/>
        <w:rPr>
          <w:rFonts w:hint="eastAsia" w:ascii="宋体" w:hAnsi="宋体"/>
        </w:rPr>
      </w:pPr>
      <w:r>
        <w:rPr>
          <w:rFonts w:hint="eastAsia" w:ascii="宋体" w:hAnsi="宋体"/>
        </w:rPr>
        <w:t>1.1国内合法注册的法人或其他组织，具有独立承担民事责任的能力；</w:t>
      </w:r>
    </w:p>
    <w:p>
      <w:pPr>
        <w:ind w:firstLine="420" w:firstLineChars="200"/>
        <w:rPr>
          <w:rFonts w:hint="eastAsia" w:ascii="宋体" w:hAnsi="宋体"/>
        </w:rPr>
      </w:pPr>
      <w:r>
        <w:rPr>
          <w:rFonts w:hint="eastAsia" w:ascii="宋体" w:hAnsi="宋体"/>
        </w:rPr>
        <w:t>1.2具有良好的商业信誉和健全的财务会计制度；（提供近期财务报表复印件）</w:t>
      </w:r>
    </w:p>
    <w:p>
      <w:pPr>
        <w:ind w:firstLine="420" w:firstLineChars="200"/>
        <w:rPr>
          <w:rFonts w:hint="eastAsia" w:ascii="宋体" w:hAnsi="宋体"/>
        </w:rPr>
      </w:pPr>
      <w:r>
        <w:rPr>
          <w:rFonts w:hint="eastAsia" w:ascii="宋体" w:hAnsi="宋体"/>
        </w:rPr>
        <w:t>1.3具有履行合同所必需的设备和专业技术能力；</w:t>
      </w:r>
    </w:p>
    <w:p>
      <w:pPr>
        <w:ind w:firstLine="420" w:firstLineChars="200"/>
        <w:rPr>
          <w:rFonts w:hint="eastAsia" w:ascii="宋体" w:hAnsi="宋体"/>
        </w:rPr>
      </w:pPr>
      <w:r>
        <w:rPr>
          <w:rFonts w:hint="eastAsia" w:ascii="宋体" w:hAnsi="宋体"/>
        </w:rPr>
        <w:t>1.4有依法缴纳税收和社会保障资金的良好记录；（提供近期纳税证明、社保证明复印件）</w:t>
      </w:r>
    </w:p>
    <w:p>
      <w:pPr>
        <w:ind w:firstLine="420" w:firstLineChars="200"/>
        <w:rPr>
          <w:rFonts w:hint="eastAsia" w:ascii="宋体" w:hAnsi="宋体"/>
        </w:rPr>
      </w:pPr>
      <w:r>
        <w:rPr>
          <w:rFonts w:hint="eastAsia" w:ascii="宋体" w:hAnsi="宋体"/>
        </w:rPr>
        <w:t>1.5参加政府采购活动前三年内，在经营活动中没有重大违法记录；</w:t>
      </w:r>
    </w:p>
    <w:p>
      <w:pPr>
        <w:ind w:firstLine="420" w:firstLineChars="200"/>
        <w:rPr>
          <w:rFonts w:hint="eastAsia" w:ascii="宋体" w:hAnsi="宋体"/>
        </w:rPr>
      </w:pPr>
      <w:r>
        <w:rPr>
          <w:rFonts w:hint="eastAsia" w:ascii="宋体" w:hAnsi="宋体"/>
        </w:rPr>
        <w:t>1.6法律、行政法规规定的其他条件。</w:t>
      </w:r>
    </w:p>
    <w:p>
      <w:pPr>
        <w:ind w:firstLine="420" w:firstLineChars="200"/>
        <w:rPr>
          <w:rFonts w:hint="eastAsia" w:ascii="宋体" w:hAnsi="宋体" w:cs="宋体"/>
          <w:szCs w:val="21"/>
        </w:rPr>
      </w:pPr>
      <w:r>
        <w:rPr>
          <w:rFonts w:hint="eastAsia" w:ascii="宋体" w:hAnsi="宋体"/>
          <w:szCs w:val="21"/>
        </w:rPr>
        <w:t>（2）</w:t>
      </w:r>
      <w:r>
        <w:rPr>
          <w:rFonts w:hint="eastAsia" w:ascii="宋体" w:hAnsi="宋体" w:cs="宋体"/>
          <w:szCs w:val="21"/>
        </w:rPr>
        <w:t>在“信用中国”网站（www.creditchina.gov.cn）、中国政府采购网（www.ccgp.gov.cn）查询供应商信用记录中，没有被列入失信被执行人、重大税收违法案件当事人名单、政府采购严重违法失信行为记录名单及其他不符合《中华人民共和国政府采购法》第二十二条规定条件的供应商（处罚期限届满的除外）；</w:t>
      </w:r>
    </w:p>
    <w:p>
      <w:pPr>
        <w:pStyle w:val="19"/>
        <w:rPr>
          <w:rFonts w:hint="eastAsia" w:hAnsi="宋体"/>
          <w:color w:val="auto"/>
          <w:kern w:val="2"/>
          <w:sz w:val="21"/>
          <w:szCs w:val="21"/>
        </w:rPr>
      </w:pPr>
      <w:r>
        <w:rPr>
          <w:rFonts w:hint="eastAsia" w:hAnsi="宋体"/>
          <w:color w:val="auto"/>
          <w:kern w:val="2"/>
          <w:sz w:val="21"/>
          <w:szCs w:val="21"/>
        </w:rPr>
        <w:t xml:space="preserve">    （3）供应商必须具备气象主管部门颁发的雷电防护装置检测乙级或以上资质证书，且经</w:t>
      </w:r>
      <w:r>
        <w:rPr>
          <w:rFonts w:hint="eastAsia" w:hAnsi="宋体"/>
          <w:color w:val="auto"/>
          <w:kern w:val="2"/>
          <w:sz w:val="21"/>
          <w:szCs w:val="21"/>
          <w:highlight w:val="yellow"/>
        </w:rPr>
        <w:t>计量</w:t>
      </w:r>
      <w:r>
        <w:rPr>
          <w:rFonts w:hint="eastAsia" w:hAnsi="宋体"/>
          <w:color w:val="auto"/>
          <w:kern w:val="2"/>
          <w:sz w:val="21"/>
          <w:szCs w:val="21"/>
        </w:rPr>
        <w:t>行政主管部门计量认证；</w:t>
      </w:r>
    </w:p>
    <w:p>
      <w:pPr>
        <w:pStyle w:val="19"/>
        <w:rPr>
          <w:rFonts w:hint="eastAsia" w:hAnsi="宋体"/>
          <w:color w:val="auto"/>
          <w:kern w:val="2"/>
          <w:sz w:val="21"/>
          <w:szCs w:val="21"/>
        </w:rPr>
      </w:pPr>
      <w:r>
        <w:rPr>
          <w:rFonts w:hint="eastAsia" w:hAnsi="宋体"/>
          <w:color w:val="auto"/>
          <w:kern w:val="2"/>
          <w:sz w:val="21"/>
          <w:szCs w:val="21"/>
        </w:rPr>
        <w:t xml:space="preserve">    （4）</w:t>
      </w:r>
      <w:r>
        <w:rPr>
          <w:rFonts w:hint="eastAsia" w:hAnsi="宋体"/>
          <w:sz w:val="21"/>
          <w:szCs w:val="21"/>
        </w:rPr>
        <w:t>当地人民检察院出具的《无行贿犯罪记录证明》和供应商出具的《公平竞争承诺书》；</w:t>
      </w:r>
    </w:p>
    <w:p>
      <w:pPr>
        <w:snapToGrid w:val="0"/>
        <w:spacing w:line="300" w:lineRule="exact"/>
        <w:ind w:right="-84" w:rightChars="-40" w:firstLine="420"/>
        <w:rPr>
          <w:rFonts w:ascii="宋体"/>
          <w:bCs/>
          <w:spacing w:val="-2"/>
          <w:szCs w:val="21"/>
        </w:rPr>
      </w:pPr>
      <w:r>
        <w:rPr>
          <w:rFonts w:hint="eastAsia" w:ascii="宋体" w:hAnsi="宋体" w:cs="宋体"/>
          <w:szCs w:val="21"/>
        </w:rPr>
        <w:t>（5）本项目不接受联合体投标。</w:t>
      </w:r>
    </w:p>
    <w:p>
      <w:pPr>
        <w:snapToGrid w:val="0"/>
        <w:spacing w:line="300" w:lineRule="exact"/>
        <w:ind w:right="-84" w:rightChars="-40" w:firstLine="420"/>
        <w:rPr>
          <w:rFonts w:ascii="宋体"/>
          <w:bCs/>
          <w:spacing w:val="-2"/>
          <w:szCs w:val="21"/>
        </w:rPr>
      </w:pPr>
      <w:r>
        <w:rPr>
          <w:rFonts w:hint="eastAsia" w:ascii="宋体"/>
          <w:bCs/>
          <w:spacing w:val="-2"/>
          <w:szCs w:val="21"/>
        </w:rPr>
        <w:t>三、</w:t>
      </w:r>
      <w:r>
        <w:rPr>
          <w:rFonts w:hint="eastAsia" w:ascii="宋体"/>
          <w:b/>
          <w:bCs/>
          <w:spacing w:val="-2"/>
          <w:szCs w:val="21"/>
        </w:rPr>
        <w:t>服务标准及要求</w:t>
      </w:r>
    </w:p>
    <w:p>
      <w:pPr>
        <w:snapToGrid w:val="0"/>
        <w:spacing w:line="300" w:lineRule="exact"/>
        <w:ind w:right="-84" w:rightChars="-40" w:firstLine="420"/>
        <w:rPr>
          <w:rFonts w:ascii="宋体"/>
          <w:bCs/>
          <w:spacing w:val="-2"/>
          <w:szCs w:val="21"/>
        </w:rPr>
      </w:pPr>
      <w:r>
        <w:rPr>
          <w:rFonts w:ascii="宋体"/>
          <w:bCs/>
          <w:spacing w:val="-2"/>
          <w:szCs w:val="21"/>
        </w:rPr>
        <w:t>1</w:t>
      </w:r>
      <w:r>
        <w:rPr>
          <w:rFonts w:hint="eastAsia" w:ascii="宋体"/>
          <w:bCs/>
          <w:spacing w:val="-2"/>
          <w:szCs w:val="21"/>
        </w:rPr>
        <w:t>.供应商应按照采购人提供番禺区现有水利工程管理设施共</w:t>
      </w:r>
      <w:r>
        <w:rPr>
          <w:rFonts w:ascii="宋体"/>
          <w:bCs/>
          <w:spacing w:val="-2"/>
          <w:szCs w:val="21"/>
        </w:rPr>
        <w:t>271</w:t>
      </w:r>
      <w:r>
        <w:rPr>
          <w:rFonts w:hint="eastAsia" w:ascii="宋体"/>
          <w:bCs/>
          <w:spacing w:val="-2"/>
          <w:szCs w:val="21"/>
        </w:rPr>
        <w:t>处（水闸</w:t>
      </w:r>
      <w:r>
        <w:rPr>
          <w:rFonts w:ascii="宋体"/>
          <w:bCs/>
          <w:spacing w:val="-2"/>
          <w:szCs w:val="21"/>
        </w:rPr>
        <w:t>180</w:t>
      </w:r>
      <w:r>
        <w:rPr>
          <w:rFonts w:hint="eastAsia" w:ascii="宋体"/>
          <w:bCs/>
          <w:spacing w:val="-2"/>
          <w:szCs w:val="21"/>
        </w:rPr>
        <w:t>座、泵站</w:t>
      </w:r>
      <w:r>
        <w:rPr>
          <w:rFonts w:ascii="宋体"/>
          <w:bCs/>
          <w:spacing w:val="-2"/>
          <w:szCs w:val="21"/>
        </w:rPr>
        <w:t>91</w:t>
      </w:r>
      <w:r>
        <w:rPr>
          <w:rFonts w:hint="eastAsia" w:ascii="宋体"/>
          <w:bCs/>
          <w:spacing w:val="-2"/>
          <w:szCs w:val="21"/>
        </w:rPr>
        <w:t>座、管理房等附属设施</w:t>
      </w:r>
      <w:r>
        <w:rPr>
          <w:rFonts w:ascii="宋体"/>
          <w:bCs/>
          <w:spacing w:val="-2"/>
          <w:szCs w:val="21"/>
        </w:rPr>
        <w:t>217</w:t>
      </w:r>
      <w:r>
        <w:rPr>
          <w:rFonts w:hint="eastAsia" w:ascii="宋体"/>
          <w:bCs/>
          <w:spacing w:val="-2"/>
          <w:szCs w:val="21"/>
        </w:rPr>
        <w:t>座）的资料开展检测服务。</w:t>
      </w:r>
    </w:p>
    <w:p>
      <w:pPr>
        <w:snapToGrid w:val="0"/>
        <w:spacing w:line="300" w:lineRule="exact"/>
        <w:ind w:right="-84" w:rightChars="-40" w:firstLine="420"/>
        <w:rPr>
          <w:rFonts w:ascii="宋体"/>
          <w:bCs/>
          <w:spacing w:val="-2"/>
          <w:szCs w:val="21"/>
        </w:rPr>
      </w:pPr>
      <w:r>
        <w:rPr>
          <w:rFonts w:hint="eastAsia" w:ascii="宋体"/>
          <w:bCs/>
          <w:spacing w:val="-2"/>
          <w:szCs w:val="21"/>
        </w:rPr>
        <w:t>2.供应商应制定检测方案并提交采购人审核，安排防雷装置检测服务专员跟进项目的检测工作，检测服务技术人员按国家技术规范、标准、规程以及地方防雷管理要求对本项目进行检测。</w:t>
      </w:r>
    </w:p>
    <w:p>
      <w:pPr>
        <w:snapToGrid w:val="0"/>
        <w:spacing w:line="300" w:lineRule="exact"/>
        <w:ind w:right="-84" w:rightChars="-40" w:firstLine="420"/>
        <w:rPr>
          <w:rFonts w:ascii="宋体"/>
          <w:bCs/>
          <w:spacing w:val="-2"/>
          <w:szCs w:val="21"/>
        </w:rPr>
      </w:pPr>
      <w:r>
        <w:rPr>
          <w:rFonts w:hint="eastAsia" w:ascii="宋体"/>
          <w:b/>
          <w:bCs/>
          <w:spacing w:val="-2"/>
          <w:szCs w:val="21"/>
        </w:rPr>
        <w:t>★</w:t>
      </w:r>
      <w:r>
        <w:rPr>
          <w:rFonts w:ascii="宋体"/>
          <w:bCs/>
          <w:spacing w:val="-2"/>
          <w:szCs w:val="21"/>
        </w:rPr>
        <w:t>3.</w:t>
      </w:r>
      <w:r>
        <w:rPr>
          <w:rFonts w:hint="eastAsia" w:ascii="宋体"/>
          <w:bCs/>
          <w:spacing w:val="-2"/>
          <w:szCs w:val="21"/>
        </w:rPr>
        <w:t>防雷装置现场检测后，供应商应在</w:t>
      </w:r>
      <w:r>
        <w:rPr>
          <w:rFonts w:ascii="宋体"/>
          <w:bCs/>
          <w:spacing w:val="-2"/>
          <w:szCs w:val="21"/>
        </w:rPr>
        <w:t>30</w:t>
      </w:r>
      <w:r>
        <w:rPr>
          <w:rFonts w:hint="eastAsia" w:ascii="宋体"/>
          <w:bCs/>
          <w:spacing w:val="-2"/>
          <w:szCs w:val="21"/>
        </w:rPr>
        <w:t>个工作日内向采购人提供二套完整的防雷装置检测报告以及相关的检测意见。提交的报告及意见应符合法定要求，能科学、客观、公正地反映本采购标的项目的防雷安全情况，且供应商应将出具的报告按规定上传广东省网上办事大厅，取得广东省雷电防雷装置检测标识。（具体录入网址：</w:t>
      </w:r>
      <w:r>
        <w:rPr>
          <w:rFonts w:ascii="宋体"/>
          <w:bCs/>
          <w:spacing w:val="-2"/>
          <w:szCs w:val="21"/>
        </w:rPr>
        <w:t>http://www.gdbs.gov.cn/portal/guide/30694300000694109802440000.html</w:t>
      </w:r>
      <w:r>
        <w:rPr>
          <w:rFonts w:hint="eastAsia" w:ascii="宋体"/>
          <w:bCs/>
          <w:spacing w:val="-2"/>
          <w:szCs w:val="21"/>
        </w:rPr>
        <w:t>）</w:t>
      </w:r>
    </w:p>
    <w:p>
      <w:pPr>
        <w:snapToGrid w:val="0"/>
        <w:spacing w:line="300" w:lineRule="exact"/>
        <w:ind w:right="-84" w:rightChars="-40" w:firstLine="420"/>
        <w:rPr>
          <w:rFonts w:ascii="宋体"/>
          <w:bCs/>
          <w:spacing w:val="-2"/>
          <w:szCs w:val="21"/>
        </w:rPr>
      </w:pPr>
      <w:r>
        <w:rPr>
          <w:rFonts w:hint="eastAsia" w:ascii="宋体"/>
          <w:bCs/>
          <w:spacing w:val="-2"/>
          <w:szCs w:val="21"/>
        </w:rPr>
        <w:t>4.供应商应按照《广东省人民政府办公厅关于做好优化建设工程防雷许可有关工作的通知》（粤府办〔</w:t>
      </w:r>
      <w:r>
        <w:rPr>
          <w:rFonts w:ascii="宋体"/>
          <w:bCs/>
          <w:spacing w:val="-2"/>
          <w:szCs w:val="21"/>
        </w:rPr>
        <w:t>2016</w:t>
      </w:r>
      <w:r>
        <w:rPr>
          <w:rFonts w:hint="eastAsia" w:ascii="宋体"/>
          <w:bCs/>
          <w:spacing w:val="-2"/>
          <w:szCs w:val="21"/>
        </w:rPr>
        <w:t>〕</w:t>
      </w:r>
      <w:r>
        <w:rPr>
          <w:rFonts w:ascii="宋体"/>
          <w:bCs/>
          <w:spacing w:val="-2"/>
          <w:szCs w:val="21"/>
        </w:rPr>
        <w:t>131</w:t>
      </w:r>
      <w:r>
        <w:rPr>
          <w:rFonts w:hint="eastAsia" w:ascii="宋体"/>
          <w:bCs/>
          <w:spacing w:val="-2"/>
          <w:szCs w:val="21"/>
        </w:rPr>
        <w:t>号）的要求，配合采购人落实本项目相关数据与广东省防雷安全在线管理监察平台的信息共享工作。</w:t>
      </w:r>
    </w:p>
    <w:p>
      <w:pPr>
        <w:snapToGrid w:val="0"/>
        <w:spacing w:line="300" w:lineRule="exact"/>
        <w:ind w:right="-84" w:rightChars="-40" w:firstLine="420"/>
        <w:rPr>
          <w:rFonts w:ascii="宋体"/>
          <w:bCs/>
          <w:spacing w:val="-2"/>
          <w:szCs w:val="21"/>
        </w:rPr>
      </w:pPr>
      <w:r>
        <w:rPr>
          <w:rFonts w:hint="eastAsia" w:ascii="宋体"/>
          <w:bCs/>
          <w:spacing w:val="-2"/>
          <w:szCs w:val="21"/>
        </w:rPr>
        <w:t>5.供应商应就本采购项目提出有针对性的售后服务方案。</w:t>
      </w:r>
    </w:p>
    <w:p>
      <w:pPr>
        <w:snapToGrid w:val="0"/>
        <w:spacing w:line="300" w:lineRule="exact"/>
        <w:ind w:right="-84" w:rightChars="-40" w:firstLine="420"/>
        <w:rPr>
          <w:rFonts w:hint="eastAsia" w:ascii="宋体"/>
          <w:bCs/>
          <w:spacing w:val="-2"/>
          <w:szCs w:val="21"/>
        </w:rPr>
      </w:pPr>
      <w:r>
        <w:rPr>
          <w:rFonts w:hint="eastAsia" w:ascii="宋体"/>
          <w:bCs/>
          <w:spacing w:val="-2"/>
          <w:szCs w:val="21"/>
        </w:rPr>
        <w:t>6.供应商应保护采购人提供项目的知识产权，不得向第三方泄露、转让采购人提供的技术、经济资料。</w:t>
      </w:r>
    </w:p>
    <w:p>
      <w:pPr>
        <w:snapToGrid w:val="0"/>
        <w:spacing w:line="300" w:lineRule="exact"/>
        <w:ind w:right="-84" w:rightChars="-40" w:firstLine="420"/>
        <w:rPr>
          <w:rFonts w:ascii="宋体"/>
          <w:bCs/>
          <w:spacing w:val="-2"/>
          <w:szCs w:val="21"/>
        </w:rPr>
      </w:pPr>
      <w:r>
        <w:rPr>
          <w:rFonts w:hint="eastAsia" w:ascii="宋体"/>
          <w:bCs/>
          <w:spacing w:val="-2"/>
          <w:szCs w:val="21"/>
          <w:highlight w:val="yellow"/>
        </w:rPr>
        <w:t>7.本项目为大包干项目，供应商报价包括</w:t>
      </w:r>
      <w:r>
        <w:rPr>
          <w:rFonts w:hint="eastAsia" w:ascii="宋体" w:hAnsi="宋体"/>
          <w:highlight w:val="yellow"/>
        </w:rPr>
        <w:t>项目方案、人员费用、检测费用、检测工具费用、版权专利、所有税费和其他服务以及合同实施过程中应预见和不可预见的一切费用。如发生缺漏项视同已包含在投标报价之中。中标人需完成本项目所有服务项目，采购人不再额外支付任何费用。</w:t>
      </w:r>
    </w:p>
    <w:p>
      <w:pPr>
        <w:ind w:firstLine="414" w:firstLineChars="200"/>
        <w:rPr>
          <w:rFonts w:hint="eastAsia" w:ascii="宋体" w:hAnsi="宋体"/>
          <w:b/>
          <w:szCs w:val="21"/>
        </w:rPr>
      </w:pPr>
      <w:r>
        <w:rPr>
          <w:rFonts w:hint="eastAsia" w:ascii="宋体"/>
          <w:b/>
          <w:bCs/>
          <w:spacing w:val="-2"/>
          <w:szCs w:val="21"/>
        </w:rPr>
        <w:t>四、</w:t>
      </w:r>
      <w:r>
        <w:rPr>
          <w:rFonts w:hint="eastAsia" w:ascii="宋体" w:hAnsi="宋体"/>
          <w:b/>
          <w:szCs w:val="21"/>
        </w:rPr>
        <w:t>主要检查内容</w:t>
      </w:r>
    </w:p>
    <w:p>
      <w:pPr>
        <w:ind w:firstLine="420" w:firstLineChars="200"/>
        <w:rPr>
          <w:rFonts w:hint="eastAsia" w:ascii="宋体"/>
          <w:bCs/>
          <w:spacing w:val="-2"/>
          <w:szCs w:val="21"/>
        </w:rPr>
      </w:pPr>
      <w:r>
        <w:rPr>
          <w:rFonts w:hint="eastAsia" w:ascii="宋体" w:hAnsi="宋体"/>
          <w:szCs w:val="21"/>
        </w:rPr>
        <w:t>对</w:t>
      </w:r>
      <w:r>
        <w:rPr>
          <w:rFonts w:hint="eastAsia" w:ascii="宋体"/>
          <w:bCs/>
          <w:spacing w:val="-2"/>
          <w:szCs w:val="21"/>
        </w:rPr>
        <w:t>水利工程管理设施</w:t>
      </w:r>
      <w:r>
        <w:rPr>
          <w:rFonts w:hint="eastAsia" w:ascii="宋体" w:hAnsi="宋体"/>
          <w:szCs w:val="21"/>
        </w:rPr>
        <w:t>防雷装置进行跟踪检测及使用情况进行检测和隐患排查，包含</w:t>
      </w:r>
      <w:r>
        <w:rPr>
          <w:rFonts w:hint="eastAsia" w:ascii="宋体"/>
          <w:bCs/>
          <w:spacing w:val="-2"/>
          <w:szCs w:val="21"/>
        </w:rPr>
        <w:t>防雷接地装置、引下线、接闪器、等电位连接、设备安全保护接地以及</w:t>
      </w:r>
      <w:r>
        <w:rPr>
          <w:rFonts w:ascii="宋体"/>
          <w:bCs/>
          <w:spacing w:val="-2"/>
          <w:szCs w:val="21"/>
        </w:rPr>
        <w:t>SPD</w:t>
      </w:r>
      <w:r>
        <w:rPr>
          <w:rFonts w:hint="eastAsia" w:ascii="宋体"/>
          <w:bCs/>
          <w:spacing w:val="-2"/>
          <w:szCs w:val="21"/>
        </w:rPr>
        <w:t>等防雷装置。</w:t>
      </w:r>
    </w:p>
    <w:p>
      <w:pPr>
        <w:ind w:firstLine="420" w:firstLineChars="200"/>
        <w:rPr>
          <w:rFonts w:ascii="宋体" w:hAnsi="宋体"/>
          <w:szCs w:val="21"/>
        </w:rPr>
      </w:pPr>
      <w:r>
        <w:rPr>
          <w:rFonts w:hint="eastAsia" w:ascii="宋体" w:hAnsi="宋体"/>
          <w:szCs w:val="21"/>
        </w:rPr>
        <w:t>（一）接闪杆检测内容：</w:t>
      </w:r>
    </w:p>
    <w:p>
      <w:pPr>
        <w:ind w:firstLine="420" w:firstLineChars="200"/>
        <w:rPr>
          <w:rFonts w:ascii="宋体" w:hAnsi="宋体"/>
          <w:szCs w:val="21"/>
        </w:rPr>
      </w:pPr>
      <w:r>
        <w:rPr>
          <w:rFonts w:ascii="宋体" w:hAnsi="宋体"/>
          <w:szCs w:val="21"/>
        </w:rPr>
        <w:t>1</w:t>
      </w:r>
      <w:r>
        <w:rPr>
          <w:rFonts w:hint="eastAsia" w:ascii="宋体" w:hAnsi="宋体"/>
          <w:szCs w:val="21"/>
        </w:rPr>
        <w:t>、类型、</w:t>
      </w:r>
    </w:p>
    <w:p>
      <w:pPr>
        <w:ind w:firstLine="420" w:firstLineChars="200"/>
        <w:rPr>
          <w:rFonts w:ascii="宋体" w:hAnsi="宋体"/>
          <w:szCs w:val="21"/>
        </w:rPr>
      </w:pPr>
      <w:r>
        <w:rPr>
          <w:rFonts w:hint="eastAsia" w:ascii="宋体" w:hAnsi="宋体"/>
          <w:szCs w:val="21"/>
        </w:rPr>
        <w:t>2、材料、规格、</w:t>
      </w:r>
    </w:p>
    <w:p>
      <w:pPr>
        <w:ind w:firstLine="420" w:firstLineChars="200"/>
        <w:rPr>
          <w:rFonts w:ascii="宋体" w:hAnsi="宋体"/>
          <w:szCs w:val="21"/>
        </w:rPr>
      </w:pPr>
      <w:r>
        <w:rPr>
          <w:rFonts w:hint="eastAsia" w:ascii="宋体" w:hAnsi="宋体"/>
          <w:szCs w:val="21"/>
        </w:rPr>
        <w:t>3、高度、连接形式。</w:t>
      </w:r>
    </w:p>
    <w:p>
      <w:pPr>
        <w:ind w:firstLine="420" w:firstLineChars="200"/>
        <w:rPr>
          <w:rFonts w:ascii="宋体" w:hAnsi="宋体"/>
          <w:szCs w:val="21"/>
        </w:rPr>
      </w:pPr>
      <w:r>
        <w:rPr>
          <w:rFonts w:ascii="宋体" w:hAnsi="宋体"/>
          <w:szCs w:val="21"/>
        </w:rPr>
        <w:t>4</w:t>
      </w:r>
      <w:r>
        <w:rPr>
          <w:rFonts w:hint="eastAsia" w:ascii="宋体" w:hAnsi="宋体"/>
          <w:szCs w:val="21"/>
        </w:rPr>
        <w:t>、保护范围</w:t>
      </w:r>
    </w:p>
    <w:p>
      <w:pPr>
        <w:ind w:firstLine="420" w:firstLineChars="200"/>
        <w:rPr>
          <w:rFonts w:ascii="宋体" w:hAnsi="宋体"/>
          <w:szCs w:val="21"/>
        </w:rPr>
      </w:pPr>
      <w:r>
        <w:rPr>
          <w:rFonts w:hint="eastAsia" w:ascii="宋体" w:hAnsi="宋体"/>
          <w:szCs w:val="21"/>
        </w:rPr>
        <w:t>5、接地电阻值、</w:t>
      </w:r>
    </w:p>
    <w:p>
      <w:pPr>
        <w:ind w:firstLine="420" w:firstLineChars="200"/>
        <w:rPr>
          <w:rFonts w:ascii="宋体" w:hAnsi="宋体"/>
          <w:szCs w:val="21"/>
        </w:rPr>
      </w:pPr>
      <w:r>
        <w:rPr>
          <w:rFonts w:ascii="宋体" w:hAnsi="宋体"/>
          <w:szCs w:val="21"/>
        </w:rPr>
        <w:t>4</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（二）接闪带检测内容：</w:t>
      </w:r>
    </w:p>
    <w:p>
      <w:pPr>
        <w:ind w:firstLine="420" w:firstLineChars="200"/>
        <w:rPr>
          <w:rFonts w:ascii="宋体" w:hAnsi="宋体"/>
          <w:szCs w:val="21"/>
        </w:rPr>
      </w:pPr>
      <w:r>
        <w:rPr>
          <w:rFonts w:ascii="宋体" w:hAnsi="宋体"/>
          <w:szCs w:val="21"/>
        </w:rPr>
        <w:t>1</w:t>
      </w:r>
      <w:r>
        <w:rPr>
          <w:rFonts w:hint="eastAsia" w:ascii="宋体" w:hAnsi="宋体"/>
          <w:szCs w:val="21"/>
        </w:rPr>
        <w:t>、敷设方式、</w:t>
      </w:r>
    </w:p>
    <w:p>
      <w:pPr>
        <w:ind w:firstLine="420" w:firstLineChars="200"/>
        <w:rPr>
          <w:rFonts w:ascii="宋体" w:hAnsi="宋体"/>
          <w:szCs w:val="21"/>
        </w:rPr>
      </w:pPr>
      <w:r>
        <w:rPr>
          <w:rFonts w:hint="eastAsia" w:ascii="宋体" w:hAnsi="宋体"/>
          <w:szCs w:val="21"/>
        </w:rPr>
        <w:t>2、材料、规格、</w:t>
      </w:r>
    </w:p>
    <w:p>
      <w:pPr>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支持</w:t>
      </w:r>
      <w:r>
        <w:rPr>
          <w:rFonts w:hint="eastAsia" w:ascii="宋体" w:hAnsi="宋体"/>
          <w:szCs w:val="21"/>
        </w:rPr>
        <w:t>卡高度、</w:t>
      </w:r>
    </w:p>
    <w:p>
      <w:pPr>
        <w:ind w:firstLine="420" w:firstLineChars="200"/>
        <w:rPr>
          <w:rFonts w:ascii="宋体" w:hAnsi="宋体"/>
          <w:szCs w:val="21"/>
        </w:rPr>
      </w:pPr>
      <w:r>
        <w:rPr>
          <w:rFonts w:hint="eastAsia" w:ascii="宋体" w:hAnsi="宋体"/>
          <w:szCs w:val="21"/>
        </w:rPr>
        <w:t>4、</w:t>
      </w:r>
      <w:r>
        <w:rPr>
          <w:rFonts w:ascii="宋体" w:hAnsi="宋体"/>
          <w:szCs w:val="21"/>
        </w:rPr>
        <w:t>支持</w:t>
      </w:r>
      <w:r>
        <w:rPr>
          <w:rFonts w:hint="eastAsia" w:ascii="宋体" w:hAnsi="宋体"/>
          <w:szCs w:val="21"/>
        </w:rPr>
        <w:t>卡间距、</w:t>
      </w:r>
    </w:p>
    <w:p>
      <w:pPr>
        <w:ind w:firstLine="420" w:firstLineChars="200"/>
        <w:rPr>
          <w:rFonts w:ascii="宋体" w:hAnsi="宋体"/>
          <w:szCs w:val="21"/>
        </w:rPr>
      </w:pPr>
      <w:r>
        <w:rPr>
          <w:rFonts w:hint="eastAsia" w:ascii="宋体" w:hAnsi="宋体"/>
          <w:szCs w:val="21"/>
        </w:rPr>
        <w:t>5、保护范围、</w:t>
      </w:r>
    </w:p>
    <w:p>
      <w:pPr>
        <w:ind w:firstLine="420" w:firstLineChars="200"/>
        <w:rPr>
          <w:rFonts w:ascii="宋体" w:hAnsi="宋体"/>
          <w:szCs w:val="21"/>
        </w:rPr>
      </w:pPr>
      <w:r>
        <w:rPr>
          <w:rFonts w:hint="eastAsia" w:ascii="宋体" w:hAnsi="宋体"/>
          <w:szCs w:val="21"/>
        </w:rPr>
        <w:t>6、接地电阻值、</w:t>
      </w:r>
    </w:p>
    <w:p>
      <w:pPr>
        <w:ind w:firstLine="420" w:firstLineChars="200"/>
        <w:rPr>
          <w:rFonts w:ascii="宋体" w:hAnsi="宋体"/>
          <w:szCs w:val="21"/>
        </w:rPr>
      </w:pPr>
      <w:r>
        <w:rPr>
          <w:rFonts w:hint="eastAsia" w:ascii="宋体" w:hAnsi="宋体"/>
          <w:szCs w:val="21"/>
        </w:rPr>
        <w:t>7、腐蚀情况。</w:t>
      </w:r>
    </w:p>
    <w:p>
      <w:pPr>
        <w:ind w:firstLine="420" w:firstLineChars="200"/>
        <w:rPr>
          <w:rFonts w:ascii="宋体" w:hAnsi="宋体"/>
          <w:szCs w:val="21"/>
        </w:rPr>
      </w:pPr>
      <w:r>
        <w:rPr>
          <w:rFonts w:hint="eastAsia" w:ascii="宋体" w:hAnsi="宋体"/>
          <w:szCs w:val="21"/>
        </w:rPr>
        <w:t>（三）接闪网格检测内容：</w:t>
      </w:r>
    </w:p>
    <w:p>
      <w:pPr>
        <w:ind w:firstLine="420" w:firstLineChars="200"/>
        <w:rPr>
          <w:rFonts w:ascii="宋体" w:hAnsi="宋体"/>
          <w:szCs w:val="21"/>
        </w:rPr>
      </w:pPr>
      <w:r>
        <w:rPr>
          <w:rFonts w:ascii="宋体" w:hAnsi="宋体"/>
          <w:szCs w:val="21"/>
        </w:rPr>
        <w:t>1</w:t>
      </w:r>
      <w:r>
        <w:rPr>
          <w:rFonts w:hint="eastAsia" w:ascii="宋体" w:hAnsi="宋体"/>
          <w:szCs w:val="21"/>
        </w:rPr>
        <w:t>、网格规格、</w:t>
      </w:r>
    </w:p>
    <w:p>
      <w:pPr>
        <w:ind w:firstLine="420" w:firstLineChars="200"/>
        <w:rPr>
          <w:rFonts w:ascii="宋体" w:hAnsi="宋体"/>
          <w:szCs w:val="21"/>
        </w:rPr>
      </w:pPr>
      <w:r>
        <w:rPr>
          <w:rFonts w:hint="eastAsia" w:ascii="宋体" w:hAnsi="宋体"/>
          <w:szCs w:val="21"/>
        </w:rPr>
        <w:t>2、材料及规格、</w:t>
      </w:r>
    </w:p>
    <w:p>
      <w:pPr>
        <w:ind w:firstLine="420" w:firstLineChars="200"/>
        <w:rPr>
          <w:rFonts w:ascii="宋体" w:hAnsi="宋体"/>
          <w:szCs w:val="21"/>
        </w:rPr>
      </w:pPr>
      <w:r>
        <w:rPr>
          <w:rFonts w:hint="eastAsia" w:ascii="宋体" w:hAnsi="宋体"/>
          <w:szCs w:val="21"/>
        </w:rPr>
        <w:t>3、接地电阻值、</w:t>
      </w:r>
    </w:p>
    <w:p>
      <w:pPr>
        <w:ind w:firstLine="420" w:firstLineChars="200"/>
        <w:rPr>
          <w:rFonts w:ascii="宋体" w:hAnsi="宋体"/>
          <w:szCs w:val="21"/>
        </w:rPr>
      </w:pPr>
      <w:r>
        <w:rPr>
          <w:rFonts w:ascii="宋体" w:hAnsi="宋体"/>
          <w:szCs w:val="21"/>
        </w:rPr>
        <w:t>4</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（四）引下线检测内容：</w:t>
      </w:r>
    </w:p>
    <w:p>
      <w:pPr>
        <w:ind w:firstLine="420" w:firstLineChars="200"/>
        <w:rPr>
          <w:rFonts w:ascii="宋体" w:hAnsi="宋体"/>
          <w:szCs w:val="21"/>
        </w:rPr>
      </w:pPr>
      <w:r>
        <w:rPr>
          <w:rFonts w:ascii="宋体" w:hAnsi="宋体"/>
          <w:szCs w:val="21"/>
        </w:rPr>
        <w:t>1</w:t>
      </w:r>
      <w:r>
        <w:rPr>
          <w:rFonts w:hint="eastAsia" w:ascii="宋体" w:hAnsi="宋体"/>
          <w:szCs w:val="21"/>
        </w:rPr>
        <w:t>、敷设方式、</w:t>
      </w:r>
    </w:p>
    <w:p>
      <w:pPr>
        <w:ind w:firstLine="420" w:firstLineChars="200"/>
        <w:rPr>
          <w:rFonts w:ascii="宋体" w:hAnsi="宋体"/>
          <w:szCs w:val="21"/>
        </w:rPr>
      </w:pPr>
      <w:r>
        <w:rPr>
          <w:rFonts w:hint="eastAsia" w:ascii="宋体" w:hAnsi="宋体"/>
          <w:szCs w:val="21"/>
        </w:rPr>
        <w:t>2、间距、</w:t>
      </w:r>
    </w:p>
    <w:p>
      <w:pPr>
        <w:ind w:firstLine="420" w:firstLineChars="200"/>
        <w:rPr>
          <w:rFonts w:ascii="宋体" w:hAnsi="宋体"/>
          <w:szCs w:val="21"/>
        </w:rPr>
      </w:pPr>
      <w:r>
        <w:rPr>
          <w:rFonts w:hint="eastAsia" w:ascii="宋体" w:hAnsi="宋体"/>
          <w:szCs w:val="21"/>
        </w:rPr>
        <w:t>3、材料、规格</w:t>
      </w:r>
    </w:p>
    <w:p>
      <w:pPr>
        <w:ind w:firstLine="420" w:firstLineChars="200"/>
        <w:rPr>
          <w:rFonts w:ascii="宋体" w:hAnsi="宋体"/>
          <w:szCs w:val="21"/>
        </w:rPr>
      </w:pPr>
      <w:r>
        <w:rPr>
          <w:rFonts w:hint="eastAsia" w:ascii="宋体" w:hAnsi="宋体"/>
          <w:szCs w:val="21"/>
        </w:rPr>
        <w:t>4、</w:t>
      </w:r>
      <w:r>
        <w:rPr>
          <w:rFonts w:ascii="宋体" w:hAnsi="宋体"/>
          <w:szCs w:val="21"/>
        </w:rPr>
        <w:t>防雷</w:t>
      </w:r>
      <w:r>
        <w:rPr>
          <w:rFonts w:hint="eastAsia" w:ascii="宋体" w:hAnsi="宋体"/>
          <w:szCs w:val="21"/>
        </w:rPr>
        <w:t>测试点标志</w:t>
      </w:r>
    </w:p>
    <w:p>
      <w:pPr>
        <w:ind w:firstLine="420" w:firstLineChars="200"/>
        <w:rPr>
          <w:rFonts w:ascii="宋体" w:hAnsi="宋体"/>
          <w:szCs w:val="21"/>
        </w:rPr>
      </w:pPr>
      <w:r>
        <w:rPr>
          <w:rFonts w:hint="eastAsia" w:ascii="宋体" w:hAnsi="宋体"/>
          <w:szCs w:val="21"/>
        </w:rPr>
        <w:t>5、接地电阻值、</w:t>
      </w:r>
    </w:p>
    <w:p>
      <w:pPr>
        <w:ind w:firstLine="420" w:firstLineChars="200"/>
        <w:rPr>
          <w:rFonts w:ascii="宋体" w:hAnsi="宋体"/>
          <w:szCs w:val="21"/>
        </w:rPr>
      </w:pPr>
      <w:r>
        <w:rPr>
          <w:rFonts w:ascii="宋体" w:hAnsi="宋体"/>
          <w:szCs w:val="21"/>
        </w:rPr>
        <w:t>6</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（五）接地装置检测内容：</w:t>
      </w:r>
    </w:p>
    <w:p>
      <w:pPr>
        <w:ind w:firstLine="420" w:firstLineChars="200"/>
        <w:rPr>
          <w:rFonts w:ascii="宋体" w:hAnsi="宋体"/>
          <w:szCs w:val="21"/>
        </w:rPr>
      </w:pPr>
      <w:r>
        <w:rPr>
          <w:rFonts w:hint="eastAsia" w:ascii="宋体" w:hAnsi="宋体"/>
          <w:szCs w:val="21"/>
        </w:rPr>
        <w:t>1、</w:t>
      </w:r>
      <w:r>
        <w:rPr>
          <w:rFonts w:ascii="宋体" w:hAnsi="宋体"/>
          <w:szCs w:val="21"/>
        </w:rPr>
        <w:t>接地</w:t>
      </w:r>
      <w:r>
        <w:rPr>
          <w:rFonts w:hint="eastAsia" w:ascii="宋体" w:hAnsi="宋体"/>
          <w:szCs w:val="21"/>
        </w:rPr>
        <w:t>装置类型</w:t>
      </w:r>
    </w:p>
    <w:p>
      <w:pPr>
        <w:ind w:firstLine="420" w:firstLineChars="200"/>
        <w:rPr>
          <w:rFonts w:ascii="宋体" w:hAnsi="宋体"/>
          <w:szCs w:val="21"/>
        </w:rPr>
      </w:pPr>
      <w:r>
        <w:rPr>
          <w:rFonts w:hint="eastAsia" w:ascii="宋体" w:hAnsi="宋体"/>
          <w:szCs w:val="21"/>
        </w:rPr>
        <w:t>2、</w:t>
      </w:r>
      <w:r>
        <w:rPr>
          <w:rFonts w:ascii="宋体" w:hAnsi="宋体"/>
          <w:szCs w:val="21"/>
        </w:rPr>
        <w:t>接地</w:t>
      </w:r>
      <w:r>
        <w:rPr>
          <w:rFonts w:hint="eastAsia" w:ascii="宋体" w:hAnsi="宋体"/>
          <w:szCs w:val="21"/>
        </w:rPr>
        <w:t>电阻</w:t>
      </w:r>
    </w:p>
    <w:p>
      <w:pPr>
        <w:ind w:firstLine="420" w:firstLineChars="200"/>
        <w:rPr>
          <w:rFonts w:ascii="宋体" w:hAnsi="宋体"/>
          <w:szCs w:val="21"/>
        </w:rPr>
      </w:pPr>
      <w:r>
        <w:rPr>
          <w:rFonts w:hint="eastAsia" w:ascii="宋体" w:hAnsi="宋体"/>
          <w:szCs w:val="21"/>
        </w:rPr>
        <w:t>（六）等电位连接检测内容：</w:t>
      </w:r>
    </w:p>
    <w:p>
      <w:pPr>
        <w:ind w:firstLine="420" w:firstLineChars="200"/>
        <w:rPr>
          <w:rFonts w:ascii="宋体" w:hAnsi="宋体"/>
          <w:szCs w:val="21"/>
        </w:rPr>
      </w:pPr>
      <w:r>
        <w:rPr>
          <w:rFonts w:hint="eastAsia" w:ascii="宋体" w:hAnsi="宋体"/>
          <w:szCs w:val="21"/>
        </w:rPr>
        <w:t>1、天面金属装置等电位连接、</w:t>
      </w:r>
    </w:p>
    <w:p>
      <w:pPr>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金属</w:t>
      </w:r>
      <w:r>
        <w:rPr>
          <w:rFonts w:hint="eastAsia" w:ascii="宋体" w:hAnsi="宋体"/>
          <w:szCs w:val="21"/>
        </w:rPr>
        <w:t>管道等电位连接、</w:t>
      </w:r>
    </w:p>
    <w:p>
      <w:pPr>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材料</w:t>
      </w:r>
      <w:r>
        <w:rPr>
          <w:rFonts w:hint="eastAsia" w:ascii="宋体" w:hAnsi="宋体"/>
          <w:szCs w:val="21"/>
        </w:rPr>
        <w:t>、</w:t>
      </w:r>
      <w:r>
        <w:rPr>
          <w:rFonts w:ascii="宋体" w:hAnsi="宋体"/>
          <w:szCs w:val="21"/>
        </w:rPr>
        <w:t>规格</w:t>
      </w:r>
      <w:r>
        <w:rPr>
          <w:rFonts w:hint="eastAsia" w:ascii="宋体" w:hAnsi="宋体"/>
          <w:szCs w:val="21"/>
        </w:rPr>
        <w:t>、</w:t>
      </w:r>
    </w:p>
    <w:p>
      <w:pPr>
        <w:ind w:firstLine="420" w:firstLineChars="200"/>
        <w:rPr>
          <w:rFonts w:ascii="宋体" w:hAnsi="宋体"/>
          <w:szCs w:val="21"/>
        </w:rPr>
      </w:pPr>
      <w:r>
        <w:rPr>
          <w:rFonts w:ascii="宋体" w:hAnsi="宋体"/>
          <w:szCs w:val="21"/>
        </w:rPr>
        <w:t>4</w:t>
      </w:r>
      <w:r>
        <w:rPr>
          <w:rFonts w:hint="eastAsia" w:ascii="宋体" w:hAnsi="宋体"/>
          <w:szCs w:val="21"/>
        </w:rPr>
        <w:t>、接地电阻值、</w:t>
      </w:r>
    </w:p>
    <w:p>
      <w:pPr>
        <w:ind w:firstLine="420" w:firstLineChars="200"/>
        <w:rPr>
          <w:rFonts w:ascii="宋体" w:hAnsi="宋体"/>
          <w:szCs w:val="21"/>
        </w:rPr>
      </w:pPr>
      <w:r>
        <w:rPr>
          <w:rFonts w:ascii="宋体" w:hAnsi="宋体"/>
          <w:szCs w:val="21"/>
        </w:rPr>
        <w:t>5</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（七）设备安全保护接地（</w:t>
      </w:r>
      <w:r>
        <w:rPr>
          <w:rFonts w:ascii="宋体" w:hAnsi="宋体"/>
          <w:szCs w:val="21"/>
        </w:rPr>
        <w:t>静电</w:t>
      </w:r>
      <w:r>
        <w:rPr>
          <w:rFonts w:hint="eastAsia" w:ascii="宋体" w:hAnsi="宋体"/>
          <w:szCs w:val="21"/>
        </w:rPr>
        <w:t>接地）检测内容：</w:t>
      </w:r>
    </w:p>
    <w:p>
      <w:pPr>
        <w:ind w:firstLine="420" w:firstLineChars="200"/>
        <w:rPr>
          <w:rFonts w:ascii="宋体" w:hAnsi="宋体"/>
          <w:szCs w:val="21"/>
        </w:rPr>
      </w:pPr>
      <w:r>
        <w:rPr>
          <w:rFonts w:hint="eastAsia" w:ascii="宋体" w:hAnsi="宋体"/>
          <w:szCs w:val="21"/>
        </w:rPr>
        <w:t>1、</w:t>
      </w:r>
      <w:r>
        <w:rPr>
          <w:rFonts w:ascii="宋体" w:hAnsi="宋体"/>
          <w:szCs w:val="21"/>
        </w:rPr>
        <w:t>接地</w:t>
      </w:r>
      <w:r>
        <w:rPr>
          <w:rFonts w:hint="eastAsia" w:ascii="宋体" w:hAnsi="宋体"/>
          <w:szCs w:val="21"/>
        </w:rPr>
        <w:t>线材料、</w:t>
      </w:r>
      <w:r>
        <w:rPr>
          <w:rFonts w:ascii="宋体" w:hAnsi="宋体"/>
          <w:szCs w:val="21"/>
        </w:rPr>
        <w:t>规格</w:t>
      </w:r>
      <w:r>
        <w:rPr>
          <w:rFonts w:hint="eastAsia" w:ascii="宋体" w:hAnsi="宋体"/>
          <w:szCs w:val="21"/>
        </w:rPr>
        <w:t>、</w:t>
      </w:r>
    </w:p>
    <w:p>
      <w:pPr>
        <w:ind w:firstLine="420" w:firstLineChars="200"/>
        <w:rPr>
          <w:rFonts w:ascii="宋体" w:hAnsi="宋体"/>
          <w:szCs w:val="21"/>
        </w:rPr>
      </w:pPr>
      <w:r>
        <w:rPr>
          <w:rFonts w:hint="eastAsia" w:ascii="宋体" w:hAnsi="宋体"/>
          <w:szCs w:val="21"/>
        </w:rPr>
        <w:t>2、接地电阻值、</w:t>
      </w:r>
    </w:p>
    <w:p>
      <w:pPr>
        <w:ind w:firstLine="420" w:firstLineChars="200"/>
        <w:rPr>
          <w:rFonts w:ascii="宋体" w:hAnsi="宋体"/>
          <w:szCs w:val="21"/>
        </w:rPr>
      </w:pPr>
      <w:r>
        <w:rPr>
          <w:rFonts w:hint="eastAsia" w:ascii="宋体" w:hAnsi="宋体"/>
          <w:szCs w:val="21"/>
        </w:rPr>
        <w:t>3、腐蚀情况。</w:t>
      </w:r>
    </w:p>
    <w:p>
      <w:pPr>
        <w:ind w:firstLine="420" w:firstLineChars="200"/>
        <w:rPr>
          <w:rFonts w:ascii="宋体" w:hAnsi="宋体"/>
          <w:szCs w:val="21"/>
        </w:rPr>
      </w:pPr>
      <w:r>
        <w:rPr>
          <w:rFonts w:hint="eastAsia" w:ascii="宋体" w:hAnsi="宋体"/>
          <w:szCs w:val="21"/>
        </w:rPr>
        <w:t>（八）低压电源系统电涌保护器（</w:t>
      </w:r>
      <w:r>
        <w:rPr>
          <w:rFonts w:ascii="宋体" w:hAnsi="宋体"/>
          <w:szCs w:val="21"/>
        </w:rPr>
        <w:t>SPD</w:t>
      </w:r>
      <w:r>
        <w:rPr>
          <w:rFonts w:hint="eastAsia" w:ascii="宋体" w:hAnsi="宋体"/>
          <w:szCs w:val="21"/>
        </w:rPr>
        <w:t>）检测内容：</w:t>
      </w:r>
    </w:p>
    <w:p>
      <w:pPr>
        <w:ind w:firstLine="420" w:firstLineChars="200"/>
        <w:rPr>
          <w:rFonts w:ascii="宋体" w:hAnsi="宋体"/>
          <w:szCs w:val="21"/>
        </w:rPr>
      </w:pPr>
      <w:r>
        <w:rPr>
          <w:rFonts w:ascii="宋体" w:hAnsi="宋体"/>
          <w:szCs w:val="21"/>
        </w:rPr>
        <w:t>1</w:t>
      </w:r>
      <w:r>
        <w:rPr>
          <w:rFonts w:hint="eastAsia" w:ascii="宋体" w:hAnsi="宋体"/>
          <w:szCs w:val="21"/>
        </w:rPr>
        <w:t>、低压供电线路入户方式（</w:t>
      </w:r>
      <w:r>
        <w:rPr>
          <w:rFonts w:ascii="宋体" w:hAnsi="宋体"/>
          <w:szCs w:val="21"/>
        </w:rPr>
        <w:t>埋地</w:t>
      </w:r>
      <w:r>
        <w:rPr>
          <w:rFonts w:hint="eastAsia" w:ascii="宋体" w:hAnsi="宋体"/>
          <w:szCs w:val="21"/>
        </w:rPr>
        <w:t>或架空）</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、低压供电线路屏蔽情况、</w:t>
      </w:r>
    </w:p>
    <w:p>
      <w:pPr>
        <w:ind w:firstLine="420" w:firstLineChars="200"/>
        <w:rPr>
          <w:rFonts w:ascii="宋体" w:hAnsi="宋体"/>
          <w:szCs w:val="21"/>
        </w:rPr>
      </w:pPr>
      <w:r>
        <w:rPr>
          <w:rFonts w:hint="eastAsia" w:ascii="宋体" w:hAnsi="宋体"/>
          <w:szCs w:val="21"/>
        </w:rPr>
        <w:t>3、低压供电接地制式</w:t>
      </w:r>
    </w:p>
    <w:p>
      <w:pPr>
        <w:ind w:firstLine="420" w:firstLineChars="200"/>
        <w:rPr>
          <w:rFonts w:ascii="宋体" w:hAnsi="宋体"/>
          <w:szCs w:val="21"/>
        </w:rPr>
      </w:pPr>
      <w:r>
        <w:rPr>
          <w:rFonts w:hint="eastAsia" w:ascii="宋体" w:hAnsi="宋体"/>
          <w:szCs w:val="21"/>
        </w:rPr>
        <w:t>4、</w:t>
      </w:r>
      <w:r>
        <w:rPr>
          <w:rFonts w:ascii="宋体" w:hAnsi="宋体"/>
          <w:szCs w:val="21"/>
        </w:rPr>
        <w:t>保护</w:t>
      </w:r>
      <w:r>
        <w:rPr>
          <w:rFonts w:hint="eastAsia" w:ascii="宋体" w:hAnsi="宋体"/>
          <w:szCs w:val="21"/>
        </w:rPr>
        <w:t>级数</w:t>
      </w:r>
    </w:p>
    <w:p>
      <w:pPr>
        <w:ind w:firstLine="420" w:firstLineChars="200"/>
        <w:rPr>
          <w:rFonts w:ascii="宋体" w:hAnsi="宋体"/>
          <w:szCs w:val="21"/>
        </w:rPr>
      </w:pPr>
      <w:r>
        <w:rPr>
          <w:rFonts w:hint="eastAsia" w:ascii="宋体" w:hAnsi="宋体"/>
          <w:szCs w:val="21"/>
        </w:rPr>
        <w:t>5、</w:t>
      </w:r>
      <w:r>
        <w:rPr>
          <w:rFonts w:ascii="宋体" w:hAnsi="宋体"/>
          <w:szCs w:val="21"/>
        </w:rPr>
        <w:t>标称</w:t>
      </w:r>
      <w:r>
        <w:rPr>
          <w:rFonts w:hint="eastAsia" w:ascii="宋体" w:hAnsi="宋体"/>
          <w:szCs w:val="21"/>
        </w:rPr>
        <w:t>参数（</w:t>
      </w:r>
      <w:r>
        <w:rPr>
          <w:rFonts w:ascii="宋体" w:hAnsi="宋体"/>
          <w:szCs w:val="21"/>
        </w:rPr>
        <w:t>SPD</w:t>
      </w:r>
      <w:r>
        <w:rPr>
          <w:rFonts w:hint="eastAsia" w:ascii="宋体" w:hAnsi="宋体"/>
          <w:szCs w:val="21"/>
        </w:rPr>
        <w:t>型号、</w:t>
      </w:r>
      <w:r>
        <w:rPr>
          <w:rFonts w:ascii="宋体" w:hAnsi="宋体"/>
          <w:szCs w:val="21"/>
        </w:rPr>
        <w:t>冲击</w:t>
      </w:r>
      <w:r>
        <w:rPr>
          <w:rFonts w:hint="eastAsia" w:ascii="宋体" w:hAnsi="宋体"/>
          <w:szCs w:val="21"/>
        </w:rPr>
        <w:t>电流、</w:t>
      </w:r>
      <w:r>
        <w:rPr>
          <w:rFonts w:ascii="宋体" w:hAnsi="宋体"/>
          <w:szCs w:val="21"/>
        </w:rPr>
        <w:t>标称</w:t>
      </w:r>
      <w:r>
        <w:rPr>
          <w:rFonts w:hint="eastAsia" w:ascii="宋体" w:hAnsi="宋体"/>
          <w:szCs w:val="21"/>
        </w:rPr>
        <w:t>放电电流、</w:t>
      </w:r>
      <w:r>
        <w:rPr>
          <w:rFonts w:ascii="宋体" w:hAnsi="宋体"/>
          <w:szCs w:val="21"/>
        </w:rPr>
        <w:t>最大</w:t>
      </w:r>
      <w:r>
        <w:rPr>
          <w:rFonts w:hint="eastAsia" w:ascii="宋体" w:hAnsi="宋体"/>
          <w:szCs w:val="21"/>
        </w:rPr>
        <w:t>通流量、</w:t>
      </w:r>
      <w:r>
        <w:rPr>
          <w:rFonts w:ascii="宋体" w:hAnsi="宋体"/>
          <w:szCs w:val="21"/>
        </w:rPr>
        <w:t>保护</w:t>
      </w:r>
      <w:r>
        <w:rPr>
          <w:rFonts w:hint="eastAsia" w:ascii="宋体" w:hAnsi="宋体"/>
          <w:szCs w:val="21"/>
        </w:rPr>
        <w:t>模式、</w:t>
      </w:r>
      <w:r>
        <w:rPr>
          <w:rFonts w:ascii="宋体" w:hAnsi="宋体"/>
          <w:szCs w:val="21"/>
        </w:rPr>
        <w:t>电压</w:t>
      </w:r>
      <w:r>
        <w:rPr>
          <w:rFonts w:hint="eastAsia" w:ascii="宋体" w:hAnsi="宋体"/>
          <w:szCs w:val="21"/>
        </w:rPr>
        <w:t>保护水平、</w:t>
      </w:r>
      <w:r>
        <w:rPr>
          <w:rFonts w:ascii="宋体" w:hAnsi="宋体"/>
          <w:szCs w:val="21"/>
        </w:rPr>
        <w:t>工作</w:t>
      </w:r>
      <w:r>
        <w:rPr>
          <w:rFonts w:hint="eastAsia" w:ascii="宋体" w:hAnsi="宋体"/>
          <w:szCs w:val="21"/>
        </w:rPr>
        <w:t>电压、</w:t>
      </w:r>
      <w:r>
        <w:rPr>
          <w:rFonts w:ascii="宋体" w:hAnsi="宋体"/>
          <w:szCs w:val="21"/>
        </w:rPr>
        <w:t>响应</w:t>
      </w:r>
      <w:r>
        <w:rPr>
          <w:rFonts w:hint="eastAsia" w:ascii="宋体" w:hAnsi="宋体"/>
          <w:szCs w:val="21"/>
        </w:rPr>
        <w:t>时间）</w:t>
      </w:r>
      <w:r>
        <w:rPr>
          <w:rFonts w:ascii="宋体" w:hAnsi="宋体"/>
          <w:szCs w:val="21"/>
        </w:rPr>
        <w:t>、</w:t>
      </w:r>
    </w:p>
    <w:p>
      <w:pPr>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接线</w:t>
      </w:r>
      <w:r>
        <w:rPr>
          <w:rFonts w:hint="eastAsia" w:ascii="宋体" w:hAnsi="宋体"/>
          <w:szCs w:val="21"/>
        </w:rPr>
        <w:t>方式、</w:t>
      </w:r>
    </w:p>
    <w:p>
      <w:pPr>
        <w:ind w:firstLine="420" w:firstLineChars="200"/>
        <w:rPr>
          <w:rFonts w:ascii="宋体" w:hAnsi="宋体"/>
          <w:szCs w:val="21"/>
        </w:rPr>
      </w:pPr>
      <w:r>
        <w:rPr>
          <w:rFonts w:hint="eastAsia" w:ascii="宋体" w:hAnsi="宋体"/>
          <w:szCs w:val="21"/>
        </w:rPr>
        <w:t>7、</w:t>
      </w:r>
      <w:r>
        <w:rPr>
          <w:rFonts w:ascii="宋体" w:hAnsi="宋体"/>
          <w:szCs w:val="21"/>
        </w:rPr>
        <w:t>漏</w:t>
      </w:r>
      <w:r>
        <w:rPr>
          <w:rFonts w:hint="eastAsia" w:ascii="宋体" w:hAnsi="宋体"/>
          <w:szCs w:val="21"/>
        </w:rPr>
        <w:t>电流、</w:t>
      </w:r>
    </w:p>
    <w:p>
      <w:pPr>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rPr>
        <w:t>压敏</w:t>
      </w:r>
      <w:r>
        <w:rPr>
          <w:rFonts w:hint="eastAsia" w:ascii="宋体" w:hAnsi="宋体"/>
          <w:szCs w:val="21"/>
        </w:rPr>
        <w:t>电压、</w:t>
      </w:r>
    </w:p>
    <w:p>
      <w:pPr>
        <w:ind w:firstLine="420" w:firstLineChars="200"/>
        <w:rPr>
          <w:rFonts w:ascii="宋体" w:hAnsi="宋体"/>
          <w:szCs w:val="21"/>
        </w:rPr>
      </w:pPr>
      <w:r>
        <w:rPr>
          <w:rFonts w:hint="eastAsia" w:ascii="宋体" w:hAnsi="宋体"/>
          <w:szCs w:val="21"/>
        </w:rPr>
        <w:t>9、SPD安装位置、</w:t>
      </w:r>
    </w:p>
    <w:p>
      <w:pPr>
        <w:ind w:firstLine="420" w:firstLineChars="200"/>
        <w:rPr>
          <w:rFonts w:ascii="宋体" w:hAnsi="宋体"/>
          <w:szCs w:val="21"/>
        </w:rPr>
      </w:pPr>
      <w:r>
        <w:rPr>
          <w:rFonts w:hint="eastAsia" w:ascii="宋体" w:hAnsi="宋体"/>
          <w:szCs w:val="21"/>
        </w:rPr>
        <w:t>10、SPD两端连接线总长度、</w:t>
      </w:r>
    </w:p>
    <w:p>
      <w:pPr>
        <w:ind w:firstLine="420" w:firstLineChars="200"/>
        <w:rPr>
          <w:rFonts w:ascii="宋体" w:hAnsi="宋体"/>
          <w:szCs w:val="21"/>
        </w:rPr>
      </w:pPr>
      <w:r>
        <w:rPr>
          <w:rFonts w:ascii="宋体" w:hAnsi="宋体"/>
          <w:szCs w:val="21"/>
        </w:rPr>
        <w:t>11</w:t>
      </w:r>
      <w:r>
        <w:rPr>
          <w:rFonts w:hint="eastAsia" w:ascii="宋体" w:hAnsi="宋体"/>
          <w:szCs w:val="21"/>
        </w:rPr>
        <w:t>、SPD接地线规格</w:t>
      </w:r>
    </w:p>
    <w:p>
      <w:pPr>
        <w:ind w:firstLine="420" w:firstLineChars="200"/>
        <w:rPr>
          <w:rFonts w:ascii="宋体" w:hAnsi="宋体"/>
          <w:szCs w:val="21"/>
        </w:rPr>
      </w:pPr>
      <w:r>
        <w:rPr>
          <w:rFonts w:hint="eastAsia" w:ascii="宋体" w:hAnsi="宋体"/>
          <w:szCs w:val="21"/>
        </w:rPr>
        <w:t>12、</w:t>
      </w:r>
      <w:r>
        <w:rPr>
          <w:rFonts w:ascii="宋体" w:hAnsi="宋体"/>
          <w:szCs w:val="21"/>
        </w:rPr>
        <w:t>接地</w:t>
      </w:r>
      <w:r>
        <w:rPr>
          <w:rFonts w:hint="eastAsia" w:ascii="宋体" w:hAnsi="宋体"/>
          <w:szCs w:val="21"/>
        </w:rPr>
        <w:t>电阻、</w:t>
      </w:r>
    </w:p>
    <w:p>
      <w:pPr>
        <w:ind w:firstLine="420" w:firstLineChars="200"/>
        <w:rPr>
          <w:rFonts w:ascii="宋体" w:hAnsi="宋体"/>
          <w:szCs w:val="21"/>
        </w:rPr>
      </w:pPr>
      <w:r>
        <w:rPr>
          <w:rFonts w:hint="eastAsia" w:ascii="宋体" w:hAnsi="宋体"/>
          <w:szCs w:val="21"/>
        </w:rPr>
        <w:t>13、</w:t>
      </w:r>
      <w:r>
        <w:rPr>
          <w:rFonts w:ascii="宋体" w:hAnsi="宋体"/>
          <w:szCs w:val="21"/>
        </w:rPr>
        <w:t>质量</w:t>
      </w:r>
      <w:r>
        <w:rPr>
          <w:rFonts w:hint="eastAsia" w:ascii="宋体" w:hAnsi="宋体"/>
          <w:szCs w:val="21"/>
        </w:rPr>
        <w:t>情况。</w:t>
      </w:r>
    </w:p>
    <w:p>
      <w:pPr>
        <w:snapToGrid w:val="0"/>
        <w:spacing w:line="300" w:lineRule="exact"/>
        <w:ind w:right="-84" w:rightChars="-40" w:firstLine="420"/>
        <w:rPr>
          <w:rFonts w:ascii="宋体"/>
          <w:b/>
          <w:bCs/>
          <w:spacing w:val="-2"/>
          <w:szCs w:val="21"/>
          <w:highlight w:val="yellow"/>
        </w:rPr>
      </w:pPr>
      <w:r>
        <w:rPr>
          <w:rFonts w:hint="eastAsia" w:ascii="宋体"/>
          <w:b/>
          <w:bCs/>
          <w:spacing w:val="-2"/>
          <w:szCs w:val="21"/>
          <w:highlight w:val="yellow"/>
        </w:rPr>
        <w:t>五、检测适用标准</w:t>
      </w:r>
    </w:p>
    <w:p>
      <w:pPr>
        <w:snapToGrid w:val="0"/>
        <w:spacing w:line="300" w:lineRule="exact"/>
        <w:ind w:right="-84" w:rightChars="-40" w:firstLine="420"/>
        <w:rPr>
          <w:rFonts w:ascii="宋体"/>
          <w:bCs/>
          <w:spacing w:val="-2"/>
          <w:szCs w:val="21"/>
          <w:highlight w:val="yellow"/>
        </w:rPr>
      </w:pPr>
      <w:r>
        <w:rPr>
          <w:rFonts w:ascii="宋体"/>
          <w:bCs/>
          <w:spacing w:val="-2"/>
          <w:szCs w:val="21"/>
          <w:highlight w:val="yellow"/>
        </w:rPr>
        <w:t>1.</w:t>
      </w:r>
      <w:r>
        <w:rPr>
          <w:rFonts w:hint="eastAsia" w:ascii="宋体"/>
          <w:bCs/>
          <w:spacing w:val="-2"/>
          <w:szCs w:val="21"/>
          <w:highlight w:val="yellow"/>
        </w:rPr>
        <w:t>《建筑物防雷装置检测技术规范》</w:t>
      </w:r>
      <w:r>
        <w:rPr>
          <w:rFonts w:ascii="宋体"/>
          <w:bCs/>
          <w:spacing w:val="-2"/>
          <w:szCs w:val="21"/>
          <w:highlight w:val="yellow"/>
        </w:rPr>
        <w:t>GB/T21431-2015</w:t>
      </w:r>
    </w:p>
    <w:p>
      <w:pPr>
        <w:snapToGrid w:val="0"/>
        <w:spacing w:line="300" w:lineRule="exact"/>
        <w:ind w:right="-84" w:rightChars="-40" w:firstLine="420"/>
        <w:rPr>
          <w:rFonts w:ascii="宋体"/>
          <w:bCs/>
          <w:spacing w:val="-2"/>
          <w:szCs w:val="21"/>
          <w:highlight w:val="yellow"/>
        </w:rPr>
      </w:pPr>
      <w:r>
        <w:rPr>
          <w:rFonts w:ascii="宋体"/>
          <w:bCs/>
          <w:spacing w:val="-2"/>
          <w:szCs w:val="21"/>
          <w:highlight w:val="yellow"/>
        </w:rPr>
        <w:t>2.</w:t>
      </w:r>
      <w:r>
        <w:rPr>
          <w:rFonts w:hint="eastAsia" w:ascii="宋体"/>
          <w:bCs/>
          <w:spacing w:val="-2"/>
          <w:szCs w:val="21"/>
          <w:highlight w:val="yellow"/>
        </w:rPr>
        <w:t>《建筑物防雷设计规范》</w:t>
      </w:r>
      <w:r>
        <w:rPr>
          <w:rFonts w:ascii="宋体"/>
          <w:bCs/>
          <w:spacing w:val="-2"/>
          <w:szCs w:val="21"/>
          <w:highlight w:val="yellow"/>
        </w:rPr>
        <w:t>GB 50057-2010</w:t>
      </w:r>
    </w:p>
    <w:p>
      <w:pPr>
        <w:snapToGrid w:val="0"/>
        <w:spacing w:line="300" w:lineRule="exact"/>
        <w:ind w:right="-84" w:rightChars="-40" w:firstLine="420"/>
        <w:rPr>
          <w:rFonts w:ascii="宋体"/>
          <w:bCs/>
          <w:spacing w:val="-2"/>
          <w:szCs w:val="21"/>
          <w:highlight w:val="yellow"/>
        </w:rPr>
      </w:pPr>
      <w:r>
        <w:rPr>
          <w:rFonts w:ascii="宋体"/>
          <w:bCs/>
          <w:spacing w:val="-2"/>
          <w:szCs w:val="21"/>
          <w:highlight w:val="yellow"/>
        </w:rPr>
        <w:t>3.</w:t>
      </w:r>
      <w:r>
        <w:rPr>
          <w:rFonts w:hint="eastAsia" w:ascii="宋体"/>
          <w:bCs/>
          <w:spacing w:val="-2"/>
          <w:szCs w:val="21"/>
          <w:highlight w:val="yellow"/>
        </w:rPr>
        <w:t>《建筑物电子信息系统防雷技术规范》</w:t>
      </w:r>
      <w:r>
        <w:rPr>
          <w:rFonts w:ascii="宋体"/>
          <w:bCs/>
          <w:spacing w:val="-2"/>
          <w:szCs w:val="21"/>
          <w:highlight w:val="yellow"/>
        </w:rPr>
        <w:t>GB50343-2012</w:t>
      </w:r>
    </w:p>
    <w:p>
      <w:pPr>
        <w:snapToGrid w:val="0"/>
        <w:spacing w:line="300" w:lineRule="exact"/>
        <w:ind w:right="-84" w:rightChars="-40" w:firstLine="420"/>
        <w:rPr>
          <w:rFonts w:ascii="宋体"/>
          <w:bCs/>
          <w:spacing w:val="-2"/>
          <w:szCs w:val="21"/>
          <w:highlight w:val="yellow"/>
        </w:rPr>
      </w:pPr>
      <w:r>
        <w:rPr>
          <w:rFonts w:ascii="宋体"/>
          <w:bCs/>
          <w:spacing w:val="-2"/>
          <w:szCs w:val="21"/>
          <w:highlight w:val="yellow"/>
        </w:rPr>
        <w:t>4.</w:t>
      </w:r>
      <w:r>
        <w:rPr>
          <w:rFonts w:hint="eastAsia" w:ascii="宋体"/>
          <w:bCs/>
          <w:spacing w:val="-2"/>
          <w:szCs w:val="21"/>
          <w:highlight w:val="yellow"/>
        </w:rPr>
        <w:t>《低压配电设计规范》（</w:t>
      </w:r>
      <w:r>
        <w:rPr>
          <w:rFonts w:ascii="宋体"/>
          <w:bCs/>
          <w:spacing w:val="-2"/>
          <w:szCs w:val="21"/>
          <w:highlight w:val="yellow"/>
        </w:rPr>
        <w:t>GB50054-2011</w:t>
      </w:r>
      <w:r>
        <w:rPr>
          <w:rFonts w:hint="eastAsia" w:ascii="宋体"/>
          <w:bCs/>
          <w:spacing w:val="-2"/>
          <w:szCs w:val="21"/>
          <w:highlight w:val="yellow"/>
        </w:rPr>
        <w:t>）</w:t>
      </w:r>
    </w:p>
    <w:p>
      <w:pPr>
        <w:snapToGrid w:val="0"/>
        <w:spacing w:line="300" w:lineRule="exact"/>
        <w:ind w:right="-84" w:rightChars="-40" w:firstLine="420"/>
        <w:rPr>
          <w:rFonts w:ascii="宋体"/>
          <w:bCs/>
          <w:spacing w:val="-2"/>
          <w:szCs w:val="21"/>
          <w:highlight w:val="yellow"/>
        </w:rPr>
      </w:pPr>
      <w:r>
        <w:rPr>
          <w:rFonts w:ascii="宋体"/>
          <w:bCs/>
          <w:spacing w:val="-2"/>
          <w:szCs w:val="21"/>
          <w:highlight w:val="yellow"/>
        </w:rPr>
        <w:t>5.</w:t>
      </w:r>
      <w:r>
        <w:rPr>
          <w:rFonts w:hint="eastAsia" w:ascii="宋体"/>
          <w:bCs/>
          <w:spacing w:val="-2"/>
          <w:szCs w:val="21"/>
          <w:highlight w:val="yellow"/>
        </w:rPr>
        <w:t>《民用建筑电气设计规范》</w:t>
      </w:r>
      <w:r>
        <w:rPr>
          <w:rFonts w:ascii="宋体"/>
          <w:bCs/>
          <w:spacing w:val="-2"/>
          <w:szCs w:val="21"/>
          <w:highlight w:val="yellow"/>
        </w:rPr>
        <w:t>JGJ/T16-92</w:t>
      </w:r>
    </w:p>
    <w:p>
      <w:pPr>
        <w:snapToGrid w:val="0"/>
        <w:spacing w:line="300" w:lineRule="exact"/>
        <w:ind w:right="-84" w:rightChars="-40" w:firstLine="420"/>
        <w:rPr>
          <w:rFonts w:ascii="宋体"/>
          <w:bCs/>
          <w:spacing w:val="-2"/>
          <w:szCs w:val="21"/>
          <w:highlight w:val="yellow"/>
        </w:rPr>
      </w:pPr>
      <w:r>
        <w:rPr>
          <w:rFonts w:ascii="宋体"/>
          <w:bCs/>
          <w:spacing w:val="-2"/>
          <w:szCs w:val="21"/>
          <w:highlight w:val="yellow"/>
        </w:rPr>
        <w:t>6.</w:t>
      </w:r>
      <w:r>
        <w:rPr>
          <w:rFonts w:hint="eastAsia" w:ascii="宋体"/>
          <w:bCs/>
          <w:spacing w:val="-2"/>
          <w:szCs w:val="21"/>
          <w:highlight w:val="yellow"/>
        </w:rPr>
        <w:t>《建筑物防雷设施安全》</w:t>
      </w:r>
      <w:r>
        <w:rPr>
          <w:rFonts w:ascii="宋体"/>
          <w:bCs/>
          <w:spacing w:val="-2"/>
          <w:szCs w:val="21"/>
          <w:highlight w:val="yellow"/>
        </w:rPr>
        <w:t>99D501-1</w:t>
      </w:r>
    </w:p>
    <w:p>
      <w:pPr>
        <w:snapToGrid w:val="0"/>
        <w:spacing w:line="300" w:lineRule="exact"/>
        <w:ind w:right="-84" w:rightChars="-40" w:firstLine="420"/>
        <w:rPr>
          <w:rFonts w:hint="eastAsia" w:ascii="宋体"/>
          <w:bCs/>
          <w:spacing w:val="-2"/>
          <w:szCs w:val="21"/>
        </w:rPr>
      </w:pPr>
      <w:r>
        <w:rPr>
          <w:rFonts w:hint="eastAsia" w:ascii="宋体"/>
          <w:bCs/>
          <w:spacing w:val="-2"/>
          <w:szCs w:val="21"/>
          <w:highlight w:val="yellow"/>
        </w:rPr>
        <w:t>7</w:t>
      </w:r>
      <w:r>
        <w:rPr>
          <w:rFonts w:ascii="宋体"/>
          <w:bCs/>
          <w:spacing w:val="-2"/>
          <w:szCs w:val="21"/>
          <w:highlight w:val="yellow"/>
        </w:rPr>
        <w:t>.</w:t>
      </w:r>
      <w:r>
        <w:rPr>
          <w:rFonts w:hint="eastAsia" w:ascii="宋体"/>
          <w:bCs/>
          <w:spacing w:val="-2"/>
          <w:szCs w:val="21"/>
          <w:highlight w:val="yellow"/>
        </w:rPr>
        <w:t>《建筑物防雷》</w:t>
      </w:r>
      <w:r>
        <w:rPr>
          <w:rFonts w:ascii="宋体"/>
          <w:bCs/>
          <w:spacing w:val="-2"/>
          <w:szCs w:val="21"/>
          <w:highlight w:val="yellow"/>
        </w:rPr>
        <w:t>IEC61024</w:t>
      </w:r>
    </w:p>
    <w:p>
      <w:pPr>
        <w:snapToGrid w:val="0"/>
        <w:spacing w:line="300" w:lineRule="exact"/>
        <w:ind w:right="-84" w:rightChars="-40" w:firstLine="420"/>
        <w:rPr>
          <w:rFonts w:ascii="宋体"/>
          <w:b/>
          <w:bCs/>
          <w:spacing w:val="-2"/>
          <w:szCs w:val="21"/>
        </w:rPr>
      </w:pPr>
      <w:r>
        <w:rPr>
          <w:rFonts w:hint="eastAsia" w:ascii="宋体"/>
          <w:b/>
          <w:bCs/>
          <w:spacing w:val="-2"/>
          <w:szCs w:val="21"/>
        </w:rPr>
        <w:t>六、项目管理及安排要求</w:t>
      </w:r>
    </w:p>
    <w:p>
      <w:pPr>
        <w:snapToGrid w:val="0"/>
        <w:spacing w:line="300" w:lineRule="exact"/>
        <w:ind w:right="-84" w:rightChars="-40" w:firstLine="420"/>
        <w:rPr>
          <w:rFonts w:ascii="宋体"/>
          <w:bCs/>
          <w:spacing w:val="-2"/>
          <w:szCs w:val="21"/>
        </w:rPr>
      </w:pPr>
      <w:r>
        <w:rPr>
          <w:rFonts w:hint="eastAsia" w:ascii="宋体"/>
          <w:bCs/>
          <w:spacing w:val="-2"/>
          <w:szCs w:val="21"/>
        </w:rPr>
        <w:t>1.为了配合采购人的项目需要，供应商需指派充足的防雷专业技术人员落实现场检测服务工作。</w:t>
      </w:r>
    </w:p>
    <w:p>
      <w:pPr>
        <w:snapToGrid w:val="0"/>
        <w:spacing w:line="300" w:lineRule="exact"/>
        <w:ind w:right="-84" w:rightChars="-40" w:firstLine="420"/>
        <w:rPr>
          <w:rFonts w:ascii="宋体"/>
          <w:bCs/>
          <w:spacing w:val="-2"/>
          <w:szCs w:val="21"/>
        </w:rPr>
      </w:pPr>
      <w:r>
        <w:rPr>
          <w:rFonts w:hint="eastAsia" w:ascii="宋体"/>
          <w:bCs/>
          <w:spacing w:val="-2"/>
          <w:szCs w:val="21"/>
        </w:rPr>
        <w:t>2.供应商必须接受采购人的监督管理，现场检测服务工作过程中，供应商技术服务人员对采购人检测服务要求应及时回应。</w:t>
      </w:r>
    </w:p>
    <w:p>
      <w:pPr>
        <w:snapToGrid w:val="0"/>
        <w:spacing w:line="300" w:lineRule="exact"/>
        <w:ind w:right="-84" w:rightChars="-40" w:firstLine="420"/>
        <w:rPr>
          <w:rFonts w:hint="eastAsia" w:ascii="宋体"/>
          <w:bCs/>
          <w:spacing w:val="-2"/>
          <w:szCs w:val="21"/>
        </w:rPr>
      </w:pPr>
      <w:r>
        <w:rPr>
          <w:rFonts w:hint="eastAsia" w:ascii="宋体"/>
          <w:bCs/>
          <w:spacing w:val="-2"/>
          <w:szCs w:val="21"/>
        </w:rPr>
        <w:t>3.供应商必须按照标的项目所在地安全生产监管要求，落实现场检测工作的安全生产主体责任，制定相应的安全生产管理制度并配备专人管理，严防安全生产责任事故发生。</w:t>
      </w:r>
    </w:p>
    <w:p>
      <w:pPr>
        <w:snapToGrid w:val="0"/>
        <w:spacing w:line="300" w:lineRule="exact"/>
        <w:ind w:right="-84" w:rightChars="-40" w:firstLine="420"/>
        <w:rPr>
          <w:rFonts w:ascii="宋体"/>
          <w:bCs/>
          <w:spacing w:val="-2"/>
          <w:szCs w:val="21"/>
        </w:rPr>
      </w:pPr>
      <w:r>
        <w:rPr>
          <w:rFonts w:hint="eastAsia" w:ascii="宋体"/>
          <w:bCs/>
          <w:spacing w:val="-2"/>
          <w:szCs w:val="21"/>
        </w:rPr>
        <w:t>4.由于供应商检测质量达不到标准或相关规范要求而导致采购人设施损坏或人员受伤的，供应商须按照情况承担全部相应责任以及赔偿采购人相应的经济损失。</w:t>
      </w:r>
    </w:p>
    <w:p>
      <w:pPr>
        <w:snapToGrid w:val="0"/>
        <w:spacing w:line="300" w:lineRule="exact"/>
        <w:ind w:right="-84" w:rightChars="-40" w:firstLine="412" w:firstLineChars="200"/>
        <w:rPr>
          <w:rFonts w:hint="eastAsia" w:ascii="宋体"/>
          <w:bCs/>
          <w:spacing w:val="-2"/>
          <w:szCs w:val="21"/>
        </w:rPr>
      </w:pPr>
      <w:r>
        <w:rPr>
          <w:rFonts w:hint="eastAsia" w:ascii="宋体"/>
          <w:bCs/>
          <w:spacing w:val="-2"/>
          <w:szCs w:val="21"/>
        </w:rPr>
        <w:t>5</w:t>
      </w:r>
      <w:r>
        <w:rPr>
          <w:rFonts w:ascii="宋体"/>
          <w:bCs/>
          <w:spacing w:val="-2"/>
          <w:szCs w:val="21"/>
        </w:rPr>
        <w:t>.</w:t>
      </w:r>
      <w:r>
        <w:rPr>
          <w:rFonts w:hint="eastAsia" w:ascii="宋体"/>
          <w:bCs/>
          <w:spacing w:val="-2"/>
          <w:szCs w:val="21"/>
        </w:rPr>
        <w:t>供应商负责其派出的检测服务人员人身意外保险。</w:t>
      </w:r>
    </w:p>
    <w:p>
      <w:pPr>
        <w:snapToGrid w:val="0"/>
        <w:spacing w:line="300" w:lineRule="exact"/>
        <w:ind w:right="-84" w:rightChars="-40" w:firstLine="420"/>
        <w:rPr>
          <w:rFonts w:ascii="宋体"/>
          <w:bCs/>
          <w:spacing w:val="-2"/>
          <w:szCs w:val="21"/>
        </w:rPr>
      </w:pPr>
      <w:r>
        <w:rPr>
          <w:rFonts w:hint="eastAsia" w:ascii="宋体"/>
          <w:bCs/>
          <w:spacing w:val="-2"/>
          <w:szCs w:val="21"/>
        </w:rPr>
        <w:t>6</w:t>
      </w:r>
      <w:r>
        <w:rPr>
          <w:rFonts w:ascii="宋体"/>
          <w:bCs/>
          <w:spacing w:val="-2"/>
          <w:szCs w:val="21"/>
        </w:rPr>
        <w:t>.</w:t>
      </w:r>
      <w:r>
        <w:rPr>
          <w:rFonts w:hint="eastAsia" w:ascii="宋体"/>
          <w:bCs/>
          <w:spacing w:val="-2"/>
          <w:szCs w:val="21"/>
        </w:rPr>
        <w:t>质量要求：合格。保证作出的检测结论符合国标、部颁标准以及相关的国际标准。</w:t>
      </w:r>
    </w:p>
    <w:p>
      <w:pPr>
        <w:snapToGrid w:val="0"/>
        <w:spacing w:line="300" w:lineRule="exact"/>
        <w:ind w:right="-84" w:rightChars="-40" w:firstLine="420"/>
        <w:rPr>
          <w:rFonts w:hint="eastAsia" w:ascii="宋体"/>
          <w:bCs/>
          <w:spacing w:val="-2"/>
          <w:szCs w:val="21"/>
        </w:rPr>
      </w:pPr>
      <w:r>
        <w:rPr>
          <w:rFonts w:hint="eastAsia" w:ascii="宋体"/>
          <w:bCs/>
          <w:spacing w:val="-2"/>
          <w:szCs w:val="21"/>
        </w:rPr>
        <w:t>7</w:t>
      </w:r>
      <w:r>
        <w:rPr>
          <w:rFonts w:ascii="宋体"/>
          <w:bCs/>
          <w:spacing w:val="-2"/>
          <w:szCs w:val="21"/>
        </w:rPr>
        <w:t>.</w:t>
      </w:r>
      <w:r>
        <w:rPr>
          <w:rFonts w:hint="eastAsia" w:ascii="宋体"/>
          <w:bCs/>
          <w:spacing w:val="-2"/>
          <w:szCs w:val="21"/>
        </w:rPr>
        <w:t>供应商要确保作出检测结论的防雷装置正常使用，不合格的建筑物及防雷装置根据整改意见整改后正常使用。</w:t>
      </w:r>
    </w:p>
    <w:p>
      <w:pPr>
        <w:snapToGrid w:val="0"/>
        <w:spacing w:line="300" w:lineRule="exact"/>
        <w:ind w:right="-84" w:rightChars="-40" w:firstLine="420"/>
        <w:rPr>
          <w:rFonts w:ascii="宋体"/>
          <w:bCs/>
          <w:spacing w:val="-2"/>
          <w:szCs w:val="21"/>
          <w:highlight w:val="yellow"/>
        </w:rPr>
      </w:pPr>
      <w:r>
        <w:rPr>
          <w:rFonts w:hint="eastAsia" w:ascii="宋体"/>
          <w:bCs/>
          <w:spacing w:val="-2"/>
          <w:szCs w:val="21"/>
          <w:highlight w:val="yellow"/>
        </w:rPr>
        <w:t>8.项目验收：在所有服务项目完成后，可提请采购人验收。由</w:t>
      </w:r>
      <w:r>
        <w:rPr>
          <w:rFonts w:ascii="宋体"/>
          <w:bCs/>
          <w:spacing w:val="-2"/>
          <w:szCs w:val="21"/>
          <w:highlight w:val="yellow"/>
        </w:rPr>
        <w:t>供应商</w:t>
      </w:r>
      <w:r>
        <w:rPr>
          <w:rFonts w:hint="eastAsia" w:ascii="宋体"/>
          <w:bCs/>
          <w:spacing w:val="-2"/>
          <w:szCs w:val="21"/>
          <w:highlight w:val="yellow"/>
        </w:rPr>
        <w:t>与采购人共同验收，采购人在验收记录上签署验收意见。</w:t>
      </w:r>
    </w:p>
    <w:p>
      <w:pPr>
        <w:snapToGrid w:val="0"/>
        <w:spacing w:line="300" w:lineRule="exact"/>
        <w:ind w:right="-84" w:rightChars="-40" w:firstLine="420"/>
        <w:rPr>
          <w:rFonts w:hint="eastAsia" w:ascii="宋体"/>
          <w:bCs/>
          <w:spacing w:val="-2"/>
          <w:szCs w:val="21"/>
        </w:rPr>
      </w:pPr>
      <w:r>
        <w:rPr>
          <w:rFonts w:hint="eastAsia" w:ascii="宋体"/>
          <w:bCs/>
          <w:spacing w:val="-2"/>
          <w:szCs w:val="21"/>
          <w:highlight w:val="yellow"/>
        </w:rPr>
        <w:t>9.供应商必须确保在规定时间内完成采购人服务内容，否则所造成的一切损失均由供应商负责承担。</w:t>
      </w:r>
    </w:p>
    <w:p>
      <w:pPr>
        <w:snapToGrid w:val="0"/>
        <w:spacing w:line="300" w:lineRule="exact"/>
        <w:ind w:right="-84" w:rightChars="-40" w:firstLine="420"/>
        <w:rPr>
          <w:rFonts w:ascii="宋体"/>
          <w:b/>
          <w:bCs/>
          <w:spacing w:val="-2"/>
          <w:szCs w:val="21"/>
        </w:rPr>
      </w:pPr>
      <w:r>
        <w:rPr>
          <w:rFonts w:hint="eastAsia" w:ascii="宋体"/>
          <w:b/>
          <w:bCs/>
          <w:spacing w:val="-2"/>
          <w:szCs w:val="21"/>
        </w:rPr>
        <w:t>七、违约责任</w:t>
      </w:r>
    </w:p>
    <w:p>
      <w:pPr>
        <w:snapToGrid w:val="0"/>
        <w:spacing w:line="300" w:lineRule="exact"/>
        <w:ind w:right="-84" w:rightChars="-40" w:firstLine="420"/>
        <w:rPr>
          <w:rFonts w:hint="eastAsia" w:ascii="宋体"/>
          <w:bCs/>
          <w:spacing w:val="-2"/>
          <w:szCs w:val="21"/>
        </w:rPr>
      </w:pPr>
      <w:r>
        <w:rPr>
          <w:rFonts w:hint="eastAsia" w:ascii="宋体"/>
          <w:bCs/>
          <w:spacing w:val="-2"/>
          <w:szCs w:val="21"/>
        </w:rPr>
        <w:t>为了保证服务质量，如果供应商未能满足服务要求，则采购人有权从合同中扣除罚金，甚至终止合同。</w:t>
      </w:r>
    </w:p>
    <w:p>
      <w:pPr>
        <w:snapToGrid w:val="0"/>
        <w:spacing w:line="300" w:lineRule="exact"/>
        <w:ind w:right="-84" w:rightChars="-40"/>
        <w:rPr>
          <w:rFonts w:ascii="宋体"/>
          <w:bCs/>
          <w:spacing w:val="-2"/>
          <w:szCs w:val="21"/>
        </w:rPr>
      </w:pPr>
      <w:r>
        <w:rPr>
          <w:rFonts w:hint="eastAsia" w:ascii="宋体"/>
          <w:bCs/>
          <w:spacing w:val="-2"/>
          <w:szCs w:val="21"/>
        </w:rPr>
        <w:t>标准罚金为合同总额的</w:t>
      </w:r>
      <w:r>
        <w:rPr>
          <w:rFonts w:ascii="宋体"/>
          <w:bCs/>
          <w:spacing w:val="-2"/>
          <w:szCs w:val="21"/>
        </w:rPr>
        <w:t>1%</w:t>
      </w:r>
      <w:r>
        <w:rPr>
          <w:rFonts w:hint="eastAsia" w:ascii="宋体"/>
          <w:bCs/>
          <w:spacing w:val="-2"/>
          <w:szCs w:val="21"/>
        </w:rPr>
        <w:t>。</w:t>
      </w:r>
    </w:p>
    <w:p>
      <w:pPr>
        <w:snapToGrid w:val="0"/>
        <w:spacing w:line="300" w:lineRule="exact"/>
        <w:ind w:right="-84" w:rightChars="-40" w:firstLine="420"/>
        <w:rPr>
          <w:rFonts w:ascii="宋体"/>
          <w:bCs/>
          <w:spacing w:val="-2"/>
          <w:szCs w:val="21"/>
        </w:rPr>
      </w:pPr>
      <w:r>
        <w:rPr>
          <w:rFonts w:hint="eastAsia" w:ascii="宋体"/>
          <w:bCs/>
          <w:spacing w:val="-2"/>
          <w:szCs w:val="21"/>
        </w:rPr>
        <w:t>1.如果供应商没有按照规定的时间和质量完成检测工作，则从合同中扣减</w:t>
      </w:r>
      <w:r>
        <w:rPr>
          <w:rFonts w:ascii="宋体"/>
          <w:bCs/>
          <w:spacing w:val="-2"/>
          <w:szCs w:val="21"/>
        </w:rPr>
        <w:t>2</w:t>
      </w:r>
      <w:r>
        <w:rPr>
          <w:rFonts w:hint="eastAsia" w:ascii="宋体"/>
          <w:bCs/>
          <w:spacing w:val="-2"/>
          <w:szCs w:val="21"/>
        </w:rPr>
        <w:t>倍标准罚金，出现不可抗力的因素除外。</w:t>
      </w:r>
    </w:p>
    <w:p>
      <w:pPr>
        <w:snapToGrid w:val="0"/>
        <w:spacing w:line="300" w:lineRule="exact"/>
        <w:ind w:right="-84" w:rightChars="-40" w:firstLine="420"/>
        <w:rPr>
          <w:rFonts w:ascii="宋体"/>
          <w:bCs/>
          <w:spacing w:val="-2"/>
          <w:szCs w:val="21"/>
        </w:rPr>
      </w:pPr>
      <w:r>
        <w:rPr>
          <w:rFonts w:hint="eastAsia" w:ascii="宋体"/>
          <w:bCs/>
          <w:spacing w:val="-2"/>
          <w:szCs w:val="21"/>
        </w:rPr>
        <w:t>2.如果供应商对检测项目降低技术标准或者弄虚作假，向采购人提供虚假的防雷装置检测报告，对采购人生产、经营、管理产生负面影响的，采购人有权终止合同，且向供应商索赔。</w:t>
      </w:r>
    </w:p>
    <w:p>
      <w:pPr>
        <w:snapToGrid w:val="0"/>
        <w:spacing w:line="300" w:lineRule="exact"/>
        <w:ind w:right="-84" w:rightChars="-40" w:firstLine="420"/>
        <w:rPr>
          <w:rFonts w:hint="eastAsia" w:ascii="宋体"/>
          <w:bCs/>
          <w:spacing w:val="-2"/>
          <w:szCs w:val="21"/>
        </w:rPr>
      </w:pPr>
      <w:r>
        <w:rPr>
          <w:rFonts w:hint="eastAsia" w:ascii="宋体"/>
          <w:bCs/>
          <w:spacing w:val="-2"/>
          <w:szCs w:val="21"/>
        </w:rPr>
        <w:t>3.如果供应商在履约过程中因管理不当而发生安全生产责任事故，其责任由供应商承担。当事故对采购人造成不良影响时，采购人有权终止合同，并保留依法追诉权利，具体情况在合同签订时另行约定。</w:t>
      </w:r>
    </w:p>
    <w:p>
      <w:pPr>
        <w:snapToGrid w:val="0"/>
        <w:spacing w:line="300" w:lineRule="exact"/>
        <w:ind w:right="-84" w:rightChars="-40" w:firstLine="420"/>
        <w:rPr>
          <w:rFonts w:ascii="宋体"/>
          <w:b/>
          <w:bCs/>
          <w:spacing w:val="-2"/>
          <w:szCs w:val="21"/>
        </w:rPr>
      </w:pPr>
      <w:r>
        <w:rPr>
          <w:rFonts w:hint="eastAsia" w:ascii="宋体"/>
          <w:b/>
          <w:bCs/>
          <w:spacing w:val="-2"/>
          <w:szCs w:val="21"/>
        </w:rPr>
        <w:t>八、付款方式：</w:t>
      </w:r>
    </w:p>
    <w:p>
      <w:pPr>
        <w:snapToGrid w:val="0"/>
        <w:spacing w:line="300" w:lineRule="exact"/>
        <w:ind w:right="-84" w:rightChars="-40" w:firstLine="420"/>
        <w:rPr>
          <w:rFonts w:ascii="宋体"/>
          <w:bCs/>
          <w:spacing w:val="-2"/>
          <w:szCs w:val="21"/>
        </w:rPr>
      </w:pPr>
      <w:r>
        <w:rPr>
          <w:rFonts w:hint="eastAsia" w:ascii="宋体"/>
          <w:bCs/>
          <w:spacing w:val="-2"/>
          <w:szCs w:val="21"/>
        </w:rPr>
        <w:t>由采购人按下列程序付款：</w:t>
      </w:r>
    </w:p>
    <w:p>
      <w:pPr>
        <w:snapToGrid w:val="0"/>
        <w:spacing w:line="300" w:lineRule="exact"/>
        <w:ind w:right="-84" w:rightChars="-40" w:firstLine="420"/>
        <w:rPr>
          <w:rFonts w:ascii="宋体"/>
          <w:bCs/>
          <w:spacing w:val="-2"/>
          <w:szCs w:val="21"/>
        </w:rPr>
      </w:pPr>
      <w:r>
        <w:rPr>
          <w:rFonts w:hint="eastAsia" w:ascii="宋体"/>
          <w:bCs/>
          <w:spacing w:val="-2"/>
          <w:szCs w:val="21"/>
        </w:rPr>
        <w:t>1.检测费用分两期支付：服务协议签订后</w:t>
      </w:r>
      <w:r>
        <w:rPr>
          <w:rFonts w:ascii="宋体"/>
          <w:bCs/>
          <w:spacing w:val="-2"/>
          <w:szCs w:val="21"/>
        </w:rPr>
        <w:t>10</w:t>
      </w:r>
      <w:r>
        <w:rPr>
          <w:rFonts w:hint="eastAsia" w:ascii="宋体"/>
          <w:bCs/>
          <w:spacing w:val="-2"/>
          <w:szCs w:val="21"/>
        </w:rPr>
        <w:t>个工作日内，支付合同额的</w:t>
      </w:r>
      <w:r>
        <w:rPr>
          <w:rFonts w:ascii="宋体"/>
          <w:bCs/>
          <w:spacing w:val="-2"/>
          <w:szCs w:val="21"/>
        </w:rPr>
        <w:t>50%</w:t>
      </w:r>
      <w:r>
        <w:rPr>
          <w:rFonts w:hint="eastAsia" w:ascii="宋体"/>
          <w:bCs/>
          <w:spacing w:val="-2"/>
          <w:szCs w:val="21"/>
        </w:rPr>
        <w:t>；于检测报告完成并交付采购人后支付合同额的</w:t>
      </w:r>
      <w:r>
        <w:rPr>
          <w:rFonts w:ascii="宋体"/>
          <w:bCs/>
          <w:spacing w:val="-2"/>
          <w:szCs w:val="21"/>
        </w:rPr>
        <w:t>50%</w:t>
      </w:r>
      <w:r>
        <w:rPr>
          <w:rFonts w:hint="eastAsia" w:ascii="宋体"/>
          <w:bCs/>
          <w:spacing w:val="-2"/>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napToGrid w:val="0"/>
        <w:spacing w:line="300" w:lineRule="exact"/>
        <w:ind w:right="-84" w:rightChars="-40" w:firstLine="420"/>
        <w:rPr>
          <w:rFonts w:ascii="宋体"/>
          <w:bCs/>
          <w:spacing w:val="-2"/>
          <w:szCs w:val="21"/>
        </w:rPr>
      </w:pPr>
      <w:r>
        <w:rPr>
          <w:rFonts w:hint="eastAsia" w:ascii="宋体"/>
          <w:bCs/>
          <w:spacing w:val="-2"/>
          <w:szCs w:val="21"/>
        </w:rPr>
        <w:t>2.供应商凭以下有效文件与采购人结算：</w:t>
      </w:r>
    </w:p>
    <w:p>
      <w:pPr>
        <w:snapToGrid w:val="0"/>
        <w:spacing w:line="300" w:lineRule="exact"/>
        <w:ind w:right="-84" w:rightChars="-40" w:firstLine="420"/>
        <w:rPr>
          <w:rFonts w:ascii="宋体"/>
          <w:bCs/>
          <w:spacing w:val="-2"/>
          <w:szCs w:val="21"/>
        </w:rPr>
      </w:pPr>
      <w:r>
        <w:rPr>
          <w:rFonts w:hint="eastAsia" w:ascii="宋体"/>
          <w:bCs/>
          <w:spacing w:val="-2"/>
          <w:szCs w:val="21"/>
        </w:rPr>
        <w:t>（</w:t>
      </w:r>
      <w:r>
        <w:rPr>
          <w:rFonts w:ascii="宋体"/>
          <w:bCs/>
          <w:spacing w:val="-2"/>
          <w:szCs w:val="21"/>
        </w:rPr>
        <w:t>1</w:t>
      </w:r>
      <w:r>
        <w:rPr>
          <w:rFonts w:hint="eastAsia" w:ascii="宋体"/>
          <w:bCs/>
          <w:spacing w:val="-2"/>
          <w:szCs w:val="21"/>
        </w:rPr>
        <w:t>）合同；</w:t>
      </w:r>
    </w:p>
    <w:p>
      <w:pPr>
        <w:snapToGrid w:val="0"/>
        <w:spacing w:line="300" w:lineRule="exact"/>
        <w:ind w:right="-84" w:rightChars="-40" w:firstLine="420"/>
        <w:rPr>
          <w:rFonts w:ascii="宋体"/>
          <w:bCs/>
          <w:spacing w:val="-2"/>
          <w:szCs w:val="21"/>
        </w:rPr>
      </w:pPr>
      <w:r>
        <w:rPr>
          <w:rFonts w:hint="eastAsia" w:ascii="宋体"/>
          <w:bCs/>
          <w:spacing w:val="-2"/>
          <w:szCs w:val="21"/>
        </w:rPr>
        <w:t>（</w:t>
      </w:r>
      <w:r>
        <w:rPr>
          <w:rFonts w:ascii="宋体"/>
          <w:bCs/>
          <w:spacing w:val="-2"/>
          <w:szCs w:val="21"/>
        </w:rPr>
        <w:t>2</w:t>
      </w:r>
      <w:r>
        <w:rPr>
          <w:rFonts w:hint="eastAsia" w:ascii="宋体"/>
          <w:bCs/>
          <w:spacing w:val="-2"/>
          <w:szCs w:val="21"/>
        </w:rPr>
        <w:t>）供应商开具的正式发票；</w:t>
      </w:r>
    </w:p>
    <w:p>
      <w:pPr>
        <w:snapToGrid w:val="0"/>
        <w:spacing w:line="300" w:lineRule="exact"/>
        <w:ind w:right="-84" w:rightChars="-40" w:firstLine="420"/>
        <w:rPr>
          <w:rFonts w:ascii="宋体"/>
          <w:bCs/>
          <w:spacing w:val="-2"/>
          <w:szCs w:val="21"/>
        </w:rPr>
      </w:pPr>
      <w:r>
        <w:rPr>
          <w:rFonts w:hint="eastAsia" w:ascii="宋体"/>
          <w:bCs/>
          <w:spacing w:val="-2"/>
          <w:szCs w:val="21"/>
        </w:rPr>
        <w:t>（</w:t>
      </w:r>
      <w:r>
        <w:rPr>
          <w:rFonts w:ascii="宋体"/>
          <w:bCs/>
          <w:spacing w:val="-2"/>
          <w:szCs w:val="21"/>
        </w:rPr>
        <w:t>3</w:t>
      </w:r>
      <w:r>
        <w:rPr>
          <w:rFonts w:hint="eastAsia" w:ascii="宋体"/>
          <w:bCs/>
          <w:spacing w:val="-2"/>
          <w:szCs w:val="21"/>
        </w:rPr>
        <w:t>）经双方同意确认的项目结算报告（应包括：本项目概况、本项目管理架构、本项目完成的工作量、检测报告样例等内容）；</w:t>
      </w:r>
    </w:p>
    <w:p>
      <w:pPr>
        <w:snapToGrid w:val="0"/>
        <w:spacing w:line="300" w:lineRule="exact"/>
        <w:ind w:right="-84" w:rightChars="-40" w:firstLine="420"/>
        <w:rPr>
          <w:rFonts w:hint="eastAsia" w:ascii="宋体"/>
          <w:bCs/>
          <w:spacing w:val="-2"/>
          <w:szCs w:val="21"/>
        </w:rPr>
      </w:pPr>
      <w:r>
        <w:rPr>
          <w:rFonts w:hint="eastAsia" w:ascii="宋体"/>
          <w:bCs/>
          <w:spacing w:val="-2"/>
          <w:szCs w:val="21"/>
        </w:rPr>
        <w:t>（</w:t>
      </w:r>
      <w:r>
        <w:rPr>
          <w:rFonts w:ascii="宋体"/>
          <w:bCs/>
          <w:spacing w:val="-2"/>
          <w:szCs w:val="21"/>
        </w:rPr>
        <w:t>4</w:t>
      </w:r>
      <w:r>
        <w:rPr>
          <w:rFonts w:hint="eastAsia" w:ascii="宋体"/>
          <w:bCs/>
          <w:spacing w:val="-2"/>
          <w:szCs w:val="21"/>
        </w:rPr>
        <w:t>）中标通知书。</w:t>
      </w:r>
    </w:p>
    <w:p>
      <w:pPr>
        <w:snapToGrid w:val="0"/>
        <w:spacing w:line="300" w:lineRule="exact"/>
        <w:ind w:right="-84" w:rightChars="-40" w:firstLine="420"/>
        <w:rPr>
          <w:rFonts w:hint="eastAsia" w:ascii="宋体"/>
          <w:bCs/>
          <w:spacing w:val="-2"/>
          <w:szCs w:val="21"/>
        </w:rPr>
      </w:pPr>
      <w:r>
        <w:rPr>
          <w:rFonts w:hint="eastAsia" w:ascii="宋体"/>
          <w:bCs/>
          <w:spacing w:val="-2"/>
          <w:szCs w:val="21"/>
        </w:rPr>
        <w:t>附件1：番禺区水利工程管理设施防雷检测信息汇总表</w:t>
      </w:r>
    </w:p>
    <w:tbl>
      <w:tblPr>
        <w:tblStyle w:val="15"/>
        <w:tblW w:w="8760" w:type="dxa"/>
        <w:jc w:val="center"/>
        <w:tblInd w:w="96" w:type="dxa"/>
        <w:tblLayout w:type="fixed"/>
        <w:tblCellMar>
          <w:top w:w="0" w:type="dxa"/>
          <w:left w:w="108" w:type="dxa"/>
          <w:bottom w:w="0" w:type="dxa"/>
          <w:right w:w="108" w:type="dxa"/>
        </w:tblCellMar>
      </w:tblPr>
      <w:tblGrid>
        <w:gridCol w:w="640"/>
        <w:gridCol w:w="2607"/>
        <w:gridCol w:w="992"/>
        <w:gridCol w:w="992"/>
        <w:gridCol w:w="993"/>
        <w:gridCol w:w="2536"/>
      </w:tblGrid>
      <w:tr>
        <w:tblPrEx>
          <w:tblLayout w:type="fixed"/>
          <w:tblCellMar>
            <w:top w:w="0" w:type="dxa"/>
            <w:left w:w="108" w:type="dxa"/>
            <w:bottom w:w="0" w:type="dxa"/>
            <w:right w:w="108" w:type="dxa"/>
          </w:tblCellMar>
        </w:tblPrEx>
        <w:trPr>
          <w:trHeight w:val="283" w:hRule="atLeast"/>
          <w:jc w:val="center"/>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序号</w:t>
            </w:r>
          </w:p>
        </w:tc>
        <w:tc>
          <w:tcPr>
            <w:tcW w:w="2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单位</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需检测水利设施数量</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小计</w:t>
            </w:r>
          </w:p>
        </w:tc>
        <w:tc>
          <w:tcPr>
            <w:tcW w:w="25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备注</w:t>
            </w:r>
          </w:p>
        </w:tc>
      </w:tr>
      <w:tr>
        <w:tblPrEx>
          <w:tblLayout w:type="fixed"/>
          <w:tblCellMar>
            <w:top w:w="0" w:type="dxa"/>
            <w:left w:w="108" w:type="dxa"/>
            <w:bottom w:w="0" w:type="dxa"/>
            <w:right w:w="108" w:type="dxa"/>
          </w:tblCellMar>
        </w:tblPrEx>
        <w:trPr>
          <w:trHeight w:val="283" w:hRule="atLeast"/>
          <w:jc w:val="center"/>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水闸</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泵站</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36"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桥南街</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（已含管理房7座）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大龙街</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3</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南村镇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5</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11</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（已含管理房11座）</w:t>
            </w:r>
          </w:p>
        </w:tc>
      </w:tr>
      <w:tr>
        <w:tblPrEx>
          <w:tblLayout w:type="fixed"/>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4</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沙头街</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5</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石碁镇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4</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16</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（已含管理房15座）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大石街</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4</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11</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（已含管理房1座）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石楼镇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30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28</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58</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（已含管理房56座）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8</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化龙镇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5</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（已含管理房5座）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9</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沙湾镇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13</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37</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（已含管理房21座）</w:t>
            </w:r>
          </w:p>
        </w:tc>
      </w:tr>
      <w:tr>
        <w:tblPrEx>
          <w:tblLayout w:type="fixed"/>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10</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钟村街</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3</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（已含管理房7座）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11</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洛浦街</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9</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34</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（已含管理房21座）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12</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新造镇</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（已含管理房1座）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13</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大学城水利所工程管理所</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16</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（已含管理房16座）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14</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莲花联围管理所</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（已含管理房5座）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15</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石龙联围管理所</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7</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20</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（已含管理房20座）</w:t>
            </w:r>
          </w:p>
        </w:tc>
      </w:tr>
      <w:tr>
        <w:tblPrEx>
          <w:tblLayout w:type="fixed"/>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16</w:t>
            </w: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市桥河工程管理所</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27</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29</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（已含管理房27座）</w:t>
            </w:r>
          </w:p>
        </w:tc>
      </w:tr>
      <w:tr>
        <w:tblPrEx>
          <w:tblLayout w:type="fixed"/>
          <w:tblCellMar>
            <w:top w:w="0" w:type="dxa"/>
            <w:left w:w="108" w:type="dxa"/>
            <w:bottom w:w="0" w:type="dxa"/>
            <w:right w:w="108" w:type="dxa"/>
          </w:tblCellMar>
        </w:tblPrEx>
        <w:trPr>
          <w:trHeight w:val="28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2607"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合计</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180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91</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271</w:t>
            </w:r>
          </w:p>
        </w:tc>
        <w:tc>
          <w:tcPr>
            <w:tcW w:w="2536" w:type="dxa"/>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（已含管理房217座）</w:t>
            </w:r>
          </w:p>
        </w:tc>
      </w:tr>
    </w:tbl>
    <w:p>
      <w:pPr>
        <w:snapToGrid w:val="0"/>
        <w:spacing w:line="300" w:lineRule="exact"/>
        <w:ind w:right="-84" w:rightChars="-40" w:firstLine="420"/>
        <w:rPr>
          <w:rFonts w:hint="eastAsia" w:ascii="宋体"/>
          <w:bCs/>
          <w:spacing w:val="-2"/>
          <w:szCs w:val="21"/>
        </w:rPr>
      </w:pPr>
    </w:p>
    <w:bookmarkEnd w:id="8"/>
    <w:p>
      <w:pPr>
        <w:spacing w:line="360" w:lineRule="auto"/>
        <w:ind w:firstLine="420" w:firstLineChars="20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br w:type="page"/>
      </w: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9" w:name="_Toc435109307"/>
      <w:r>
        <w:rPr>
          <w:rFonts w:hint="eastAsia" w:ascii="宋体" w:hAnsi="宋体"/>
          <w:b/>
          <w:bCs/>
          <w:sz w:val="28"/>
          <w:szCs w:val="28"/>
        </w:rPr>
        <w:t xml:space="preserve">  合同通用条款</w:t>
      </w:r>
      <w:bookmarkEnd w:id="9"/>
    </w:p>
    <w:p>
      <w:pPr>
        <w:widowControl/>
        <w:spacing w:line="276" w:lineRule="auto"/>
        <w:rPr>
          <w:rFonts w:hint="eastAsia" w:ascii="宋体" w:hAnsi="宋体"/>
          <w:szCs w:val="21"/>
        </w:rPr>
      </w:pPr>
      <w:bookmarkStart w:id="10" w:name="_Toc398196950"/>
      <w:r>
        <w:rPr>
          <w:rFonts w:hint="eastAsia" w:ascii="宋体" w:hAnsi="宋体"/>
          <w:szCs w:val="21"/>
        </w:rPr>
        <w:t>甲方（采购人）：                                             合同编号：</w:t>
      </w:r>
    </w:p>
    <w:p>
      <w:pPr>
        <w:spacing w:line="276" w:lineRule="auto"/>
      </w:pPr>
      <w:r>
        <w:rPr>
          <w:rFonts w:hint="eastAsia"/>
        </w:rPr>
        <w:t>乙方（中标供应商）：                                         签约地点：</w:t>
      </w:r>
    </w:p>
    <w:p>
      <w:pPr>
        <w:spacing w:line="276" w:lineRule="auto"/>
        <w:rPr>
          <w:rFonts w:ascii="宋体" w:hAnsi="宋体"/>
          <w:szCs w:val="21"/>
        </w:rPr>
      </w:pPr>
    </w:p>
    <w:p>
      <w:pPr>
        <w:spacing w:line="276" w:lineRule="auto"/>
        <w:rPr>
          <w:rFonts w:hint="eastAsia" w:ascii="宋体" w:hAnsi="宋体"/>
          <w:szCs w:val="21"/>
        </w:rPr>
      </w:pPr>
      <w:r>
        <w:rPr>
          <w:rFonts w:hint="eastAsia" w:ascii="宋体" w:hAnsi="宋体"/>
          <w:szCs w:val="21"/>
        </w:rPr>
        <w:t xml:space="preserve">   </w:t>
      </w:r>
      <w:bookmarkEnd w:id="10"/>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项目的采购结果，按照《中华人民共和国政府采购法》、《中华人民共和国合同法》的规定，本着平等互利和诚实信用的原则，经甲、乙双方协商一致，订立本合同。</w:t>
      </w:r>
    </w:p>
    <w:p>
      <w:pPr>
        <w:numPr>
          <w:ilvl w:val="0"/>
          <w:numId w:val="18"/>
        </w:numPr>
        <w:tabs>
          <w:tab w:val="left" w:pos="851"/>
        </w:tabs>
        <w:spacing w:line="276" w:lineRule="auto"/>
        <w:ind w:left="426" w:firstLine="0"/>
        <w:rPr>
          <w:rFonts w:hint="eastAsia" w:ascii="宋体" w:hAnsi="宋体"/>
          <w:b/>
          <w:szCs w:val="21"/>
        </w:rPr>
      </w:pPr>
      <w:r>
        <w:rPr>
          <w:rFonts w:hint="eastAsia" w:ascii="宋体" w:hAnsi="宋体"/>
          <w:b/>
          <w:szCs w:val="21"/>
        </w:rPr>
        <w:t>服务项目</w:t>
      </w:r>
    </w:p>
    <w:tbl>
      <w:tblPr>
        <w:tblStyle w:val="1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1"/>
        <w:gridCol w:w="709"/>
        <w:gridCol w:w="1984"/>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735" w:type="dxa"/>
            <w:tcBorders>
              <w:left w:val="single" w:color="auto" w:sz="2" w:space="0"/>
              <w:right w:val="single" w:color="auto" w:sz="2" w:space="0"/>
            </w:tcBorders>
            <w:vAlign w:val="center"/>
          </w:tcPr>
          <w:p>
            <w:pPr>
              <w:spacing w:line="276" w:lineRule="auto"/>
              <w:jc w:val="center"/>
              <w:rPr>
                <w:rFonts w:ascii="宋体" w:hAnsi="宋体"/>
                <w:szCs w:val="21"/>
              </w:rPr>
            </w:pPr>
            <w:r>
              <w:rPr>
                <w:rFonts w:hint="eastAsia" w:ascii="宋体" w:hAnsi="宋体"/>
                <w:szCs w:val="21"/>
              </w:rPr>
              <w:t>序号</w:t>
            </w:r>
          </w:p>
        </w:tc>
        <w:tc>
          <w:tcPr>
            <w:tcW w:w="2951" w:type="dxa"/>
            <w:tcBorders>
              <w:left w:val="single" w:color="auto" w:sz="2"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服务项目</w:t>
            </w:r>
          </w:p>
        </w:tc>
        <w:tc>
          <w:tcPr>
            <w:tcW w:w="709" w:type="dxa"/>
            <w:tcBorders>
              <w:left w:val="single" w:color="auto" w:sz="4" w:space="0"/>
              <w:bottom w:val="single" w:color="auto" w:sz="2"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数量</w:t>
            </w:r>
          </w:p>
        </w:tc>
        <w:tc>
          <w:tcPr>
            <w:tcW w:w="1984" w:type="dxa"/>
            <w:tcBorders>
              <w:left w:val="single" w:color="auto" w:sz="4" w:space="0"/>
              <w:bottom w:val="nil"/>
              <w:right w:val="single" w:color="auto" w:sz="4" w:space="0"/>
            </w:tcBorders>
            <w:vAlign w:val="center"/>
          </w:tcPr>
          <w:p>
            <w:pPr>
              <w:widowControl/>
              <w:spacing w:line="276" w:lineRule="auto"/>
              <w:jc w:val="center"/>
              <w:rPr>
                <w:rFonts w:ascii="宋体" w:hAnsi="宋体" w:cs="宋体"/>
                <w:kern w:val="0"/>
                <w:szCs w:val="21"/>
              </w:rPr>
            </w:pPr>
            <w:r>
              <w:rPr>
                <w:rFonts w:hint="eastAsia" w:ascii="宋体" w:hAnsi="宋体" w:cs="宋体"/>
                <w:kern w:val="0"/>
                <w:szCs w:val="21"/>
              </w:rPr>
              <w:t>单价（元）</w:t>
            </w:r>
          </w:p>
        </w:tc>
        <w:tc>
          <w:tcPr>
            <w:tcW w:w="1559" w:type="dxa"/>
            <w:tcBorders>
              <w:left w:val="single" w:color="auto" w:sz="4" w:space="0"/>
              <w:bottom w:val="nil"/>
              <w:right w:val="single" w:color="auto" w:sz="4" w:space="0"/>
            </w:tcBorders>
            <w:vAlign w:val="center"/>
          </w:tcPr>
          <w:p>
            <w:pPr>
              <w:spacing w:line="276" w:lineRule="auto"/>
              <w:jc w:val="center"/>
              <w:rPr>
                <w:rFonts w:ascii="宋体" w:hAnsi="宋体"/>
                <w:szCs w:val="21"/>
              </w:rPr>
            </w:pPr>
            <w:r>
              <w:rPr>
                <w:rFonts w:hint="eastAsia" w:ascii="宋体" w:hAnsi="宋体" w:cs="宋体"/>
                <w:kern w:val="0"/>
                <w:szCs w:val="21"/>
              </w:rPr>
              <w:t>合计（元）</w:t>
            </w:r>
          </w:p>
        </w:tc>
        <w:tc>
          <w:tcPr>
            <w:tcW w:w="1276" w:type="dxa"/>
            <w:tcBorders>
              <w:left w:val="single" w:color="auto" w:sz="4" w:space="0"/>
              <w:bottom w:val="nil"/>
              <w:right w:val="single" w:color="auto" w:sz="2" w:space="0"/>
            </w:tcBorders>
            <w:vAlign w:val="center"/>
          </w:tcPr>
          <w:p>
            <w:pPr>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735" w:type="dxa"/>
            <w:tcBorders>
              <w:left w:val="single" w:color="auto" w:sz="2" w:space="0"/>
              <w:right w:val="single" w:color="auto" w:sz="2" w:space="0"/>
            </w:tcBorders>
            <w:vAlign w:val="center"/>
          </w:tcPr>
          <w:p>
            <w:pPr>
              <w:spacing w:line="276" w:lineRule="auto"/>
              <w:jc w:val="center"/>
              <w:rPr>
                <w:rFonts w:ascii="宋体" w:hAnsi="宋体"/>
                <w:szCs w:val="21"/>
              </w:rPr>
            </w:pPr>
            <w:r>
              <w:rPr>
                <w:rFonts w:hint="eastAsia" w:ascii="宋体" w:hAnsi="宋体"/>
                <w:szCs w:val="21"/>
              </w:rPr>
              <w:t>1</w:t>
            </w:r>
          </w:p>
        </w:tc>
        <w:tc>
          <w:tcPr>
            <w:tcW w:w="2951" w:type="dxa"/>
            <w:tcBorders>
              <w:left w:val="single" w:color="auto" w:sz="2" w:space="0"/>
              <w:right w:val="single" w:color="auto" w:sz="4" w:space="0"/>
            </w:tcBorders>
            <w:vAlign w:val="center"/>
          </w:tcPr>
          <w:p>
            <w:pPr>
              <w:spacing w:line="276" w:lineRule="auto"/>
              <w:jc w:val="center"/>
              <w:rPr>
                <w:rFonts w:ascii="宋体" w:hAnsi="宋体"/>
                <w:szCs w:val="21"/>
              </w:rPr>
            </w:pPr>
          </w:p>
        </w:tc>
        <w:tc>
          <w:tcPr>
            <w:tcW w:w="709" w:type="dxa"/>
            <w:tcBorders>
              <w:top w:val="single" w:color="auto" w:sz="2" w:space="0"/>
              <w:left w:val="single" w:color="auto" w:sz="4" w:space="0"/>
              <w:bottom w:val="single" w:color="auto" w:sz="2" w:space="0"/>
              <w:right w:val="single" w:color="auto" w:sz="4" w:space="0"/>
            </w:tcBorders>
            <w:vAlign w:val="center"/>
          </w:tcPr>
          <w:p>
            <w:pPr>
              <w:spacing w:line="276" w:lineRule="auto"/>
              <w:jc w:val="center"/>
              <w:rPr>
                <w:rFonts w:ascii="宋体" w:hAnsi="宋体"/>
                <w:szCs w:val="21"/>
              </w:rPr>
            </w:pPr>
          </w:p>
        </w:tc>
        <w:tc>
          <w:tcPr>
            <w:tcW w:w="1984" w:type="dxa"/>
            <w:tcBorders>
              <w:left w:val="single" w:color="auto" w:sz="4" w:space="0"/>
              <w:bottom w:val="nil"/>
              <w:right w:val="single" w:color="auto" w:sz="4" w:space="0"/>
            </w:tcBorders>
            <w:vAlign w:val="center"/>
          </w:tcPr>
          <w:p>
            <w:pPr>
              <w:spacing w:line="276" w:lineRule="auto"/>
              <w:jc w:val="center"/>
              <w:rPr>
                <w:rFonts w:ascii="宋体" w:hAnsi="宋体"/>
                <w:szCs w:val="21"/>
              </w:rPr>
            </w:pPr>
          </w:p>
        </w:tc>
        <w:tc>
          <w:tcPr>
            <w:tcW w:w="1559" w:type="dxa"/>
            <w:tcBorders>
              <w:left w:val="single" w:color="auto" w:sz="4" w:space="0"/>
              <w:bottom w:val="nil"/>
              <w:right w:val="single" w:color="auto" w:sz="4" w:space="0"/>
            </w:tcBorders>
            <w:vAlign w:val="center"/>
          </w:tcPr>
          <w:p>
            <w:pPr>
              <w:spacing w:line="276" w:lineRule="auto"/>
              <w:jc w:val="center"/>
              <w:rPr>
                <w:rFonts w:ascii="宋体" w:hAnsi="宋体"/>
                <w:szCs w:val="21"/>
              </w:rPr>
            </w:pPr>
          </w:p>
        </w:tc>
        <w:tc>
          <w:tcPr>
            <w:tcW w:w="1276" w:type="dxa"/>
            <w:tcBorders>
              <w:left w:val="single" w:color="auto" w:sz="4" w:space="0"/>
              <w:bottom w:val="nil"/>
              <w:right w:val="single" w:color="auto" w:sz="2" w:space="0"/>
            </w:tcBorders>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735" w:type="dxa"/>
            <w:tcBorders>
              <w:left w:val="single" w:color="auto" w:sz="2" w:space="0"/>
              <w:right w:val="single" w:color="auto" w:sz="2" w:space="0"/>
            </w:tcBorders>
            <w:vAlign w:val="center"/>
          </w:tcPr>
          <w:p>
            <w:pPr>
              <w:spacing w:line="276" w:lineRule="auto"/>
              <w:jc w:val="center"/>
              <w:rPr>
                <w:rFonts w:ascii="宋体" w:hAnsi="宋体"/>
                <w:szCs w:val="21"/>
              </w:rPr>
            </w:pPr>
            <w:r>
              <w:rPr>
                <w:rFonts w:hint="eastAsia" w:ascii="宋体" w:hAnsi="宋体"/>
                <w:szCs w:val="21"/>
              </w:rPr>
              <w:t>2</w:t>
            </w:r>
          </w:p>
        </w:tc>
        <w:tc>
          <w:tcPr>
            <w:tcW w:w="2951" w:type="dxa"/>
            <w:tcBorders>
              <w:left w:val="single" w:color="auto" w:sz="2" w:space="0"/>
              <w:right w:val="single" w:color="auto" w:sz="4" w:space="0"/>
            </w:tcBorders>
            <w:vAlign w:val="center"/>
          </w:tcPr>
          <w:p>
            <w:pPr>
              <w:spacing w:line="276" w:lineRule="auto"/>
              <w:jc w:val="center"/>
              <w:rPr>
                <w:rFonts w:ascii="宋体" w:hAnsi="宋体"/>
                <w:szCs w:val="21"/>
              </w:rPr>
            </w:pPr>
          </w:p>
        </w:tc>
        <w:tc>
          <w:tcPr>
            <w:tcW w:w="709" w:type="dxa"/>
            <w:tcBorders>
              <w:top w:val="single" w:color="auto" w:sz="2" w:space="0"/>
              <w:left w:val="single" w:color="auto" w:sz="4" w:space="0"/>
              <w:bottom w:val="single" w:color="auto" w:sz="2" w:space="0"/>
              <w:right w:val="single" w:color="auto" w:sz="4" w:space="0"/>
            </w:tcBorders>
            <w:vAlign w:val="center"/>
          </w:tcPr>
          <w:p>
            <w:pPr>
              <w:spacing w:line="276" w:lineRule="auto"/>
              <w:jc w:val="center"/>
              <w:rPr>
                <w:rFonts w:ascii="宋体" w:hAnsi="宋体"/>
                <w:szCs w:val="21"/>
              </w:rPr>
            </w:pPr>
          </w:p>
        </w:tc>
        <w:tc>
          <w:tcPr>
            <w:tcW w:w="1984" w:type="dxa"/>
            <w:tcBorders>
              <w:left w:val="single" w:color="auto" w:sz="4" w:space="0"/>
              <w:bottom w:val="nil"/>
              <w:right w:val="single" w:color="auto" w:sz="4" w:space="0"/>
            </w:tcBorders>
            <w:vAlign w:val="center"/>
          </w:tcPr>
          <w:p>
            <w:pPr>
              <w:spacing w:line="276" w:lineRule="auto"/>
              <w:jc w:val="center"/>
              <w:rPr>
                <w:rFonts w:ascii="宋体" w:hAnsi="宋体"/>
                <w:szCs w:val="21"/>
              </w:rPr>
            </w:pPr>
          </w:p>
        </w:tc>
        <w:tc>
          <w:tcPr>
            <w:tcW w:w="1559" w:type="dxa"/>
            <w:tcBorders>
              <w:left w:val="single" w:color="auto" w:sz="4" w:space="0"/>
              <w:bottom w:val="nil"/>
              <w:right w:val="single" w:color="auto" w:sz="4" w:space="0"/>
            </w:tcBorders>
            <w:vAlign w:val="center"/>
          </w:tcPr>
          <w:p>
            <w:pPr>
              <w:spacing w:line="276" w:lineRule="auto"/>
              <w:jc w:val="center"/>
              <w:rPr>
                <w:rFonts w:ascii="宋体" w:hAnsi="宋体"/>
                <w:szCs w:val="21"/>
              </w:rPr>
            </w:pPr>
          </w:p>
        </w:tc>
        <w:tc>
          <w:tcPr>
            <w:tcW w:w="1276" w:type="dxa"/>
            <w:tcBorders>
              <w:left w:val="single" w:color="auto" w:sz="4" w:space="0"/>
              <w:bottom w:val="nil"/>
              <w:right w:val="single" w:color="auto" w:sz="2" w:space="0"/>
            </w:tcBorders>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735" w:type="dxa"/>
            <w:tcBorders>
              <w:left w:val="single" w:color="auto" w:sz="2" w:space="0"/>
              <w:right w:val="single" w:color="auto" w:sz="2" w:space="0"/>
            </w:tcBorders>
            <w:vAlign w:val="center"/>
          </w:tcPr>
          <w:p>
            <w:pPr>
              <w:spacing w:line="276" w:lineRule="auto"/>
              <w:jc w:val="center"/>
              <w:rPr>
                <w:rFonts w:ascii="宋体" w:hAnsi="宋体"/>
                <w:szCs w:val="21"/>
              </w:rPr>
            </w:pPr>
            <w:r>
              <w:rPr>
                <w:rFonts w:ascii="宋体" w:hAnsi="宋体"/>
                <w:szCs w:val="21"/>
              </w:rPr>
              <w:t>…</w:t>
            </w:r>
          </w:p>
        </w:tc>
        <w:tc>
          <w:tcPr>
            <w:tcW w:w="2951" w:type="dxa"/>
            <w:tcBorders>
              <w:left w:val="single" w:color="auto" w:sz="2" w:space="0"/>
              <w:right w:val="single" w:color="auto" w:sz="4" w:space="0"/>
            </w:tcBorders>
            <w:vAlign w:val="center"/>
          </w:tcPr>
          <w:p>
            <w:pPr>
              <w:spacing w:line="276" w:lineRule="auto"/>
              <w:jc w:val="center"/>
              <w:rPr>
                <w:rFonts w:ascii="宋体" w:hAnsi="宋体"/>
                <w:szCs w:val="21"/>
              </w:rPr>
            </w:pPr>
          </w:p>
        </w:tc>
        <w:tc>
          <w:tcPr>
            <w:tcW w:w="709" w:type="dxa"/>
            <w:tcBorders>
              <w:top w:val="single" w:color="auto" w:sz="2" w:space="0"/>
              <w:left w:val="single" w:color="auto" w:sz="4" w:space="0"/>
              <w:bottom w:val="single" w:color="auto" w:sz="2" w:space="0"/>
              <w:right w:val="single" w:color="auto" w:sz="4" w:space="0"/>
            </w:tcBorders>
            <w:vAlign w:val="center"/>
          </w:tcPr>
          <w:p>
            <w:pPr>
              <w:spacing w:line="276" w:lineRule="auto"/>
              <w:jc w:val="center"/>
              <w:rPr>
                <w:rFonts w:ascii="宋体" w:hAnsi="宋体"/>
                <w:szCs w:val="21"/>
              </w:rPr>
            </w:pPr>
          </w:p>
        </w:tc>
        <w:tc>
          <w:tcPr>
            <w:tcW w:w="1984" w:type="dxa"/>
            <w:tcBorders>
              <w:left w:val="single" w:color="auto" w:sz="4" w:space="0"/>
              <w:right w:val="single" w:color="auto" w:sz="4" w:space="0"/>
            </w:tcBorders>
            <w:vAlign w:val="center"/>
          </w:tcPr>
          <w:p>
            <w:pPr>
              <w:spacing w:line="276" w:lineRule="auto"/>
              <w:jc w:val="center"/>
              <w:rPr>
                <w:rFonts w:ascii="宋体" w:hAnsi="宋体"/>
                <w:szCs w:val="21"/>
              </w:rPr>
            </w:pPr>
          </w:p>
        </w:tc>
        <w:tc>
          <w:tcPr>
            <w:tcW w:w="1559" w:type="dxa"/>
            <w:tcBorders>
              <w:left w:val="single" w:color="auto" w:sz="4" w:space="0"/>
              <w:right w:val="single" w:color="auto" w:sz="4" w:space="0"/>
            </w:tcBorders>
            <w:vAlign w:val="center"/>
          </w:tcPr>
          <w:p>
            <w:pPr>
              <w:spacing w:line="276" w:lineRule="auto"/>
              <w:jc w:val="center"/>
              <w:rPr>
                <w:rFonts w:ascii="宋体" w:hAnsi="宋体"/>
                <w:szCs w:val="21"/>
              </w:rPr>
            </w:pPr>
          </w:p>
        </w:tc>
        <w:tc>
          <w:tcPr>
            <w:tcW w:w="1276" w:type="dxa"/>
            <w:tcBorders>
              <w:left w:val="single" w:color="auto" w:sz="4" w:space="0"/>
              <w:right w:val="single" w:color="auto" w:sz="2" w:space="0"/>
            </w:tcBorders>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 w:hRule="atLeast"/>
          <w:jc w:val="center"/>
        </w:trPr>
        <w:tc>
          <w:tcPr>
            <w:tcW w:w="9214" w:type="dxa"/>
            <w:gridSpan w:val="6"/>
            <w:tcBorders>
              <w:left w:val="single" w:color="auto" w:sz="2" w:space="0"/>
              <w:right w:val="single" w:color="auto" w:sz="2" w:space="0"/>
            </w:tcBorders>
            <w:vAlign w:val="center"/>
          </w:tcPr>
          <w:p>
            <w:pPr>
              <w:spacing w:line="276" w:lineRule="auto"/>
              <w:rPr>
                <w:rFonts w:ascii="宋体" w:hAnsi="宋体"/>
                <w:szCs w:val="21"/>
              </w:rPr>
            </w:pPr>
            <w:r>
              <w:rPr>
                <w:rFonts w:hint="eastAsia" w:ascii="宋体" w:hAnsi="宋体"/>
                <w:szCs w:val="21"/>
              </w:rPr>
              <w:t xml:space="preserve">  合同总额：（小写）￥       元；    大写：         </w:t>
            </w:r>
          </w:p>
        </w:tc>
      </w:tr>
    </w:tbl>
    <w:p>
      <w:pPr>
        <w:spacing w:line="276" w:lineRule="auto"/>
        <w:ind w:firstLine="420" w:firstLineChars="200"/>
        <w:outlineLvl w:val="1"/>
        <w:rPr>
          <w:rFonts w:hint="eastAsia" w:ascii="宋体"/>
          <w:bCs/>
          <w:spacing w:val="-2"/>
          <w:szCs w:val="21"/>
        </w:rPr>
      </w:pPr>
      <w:r>
        <w:rPr>
          <w:rFonts w:hint="eastAsia" w:ascii="宋体" w:hAnsi="宋体" w:cs="宋体"/>
          <w:szCs w:val="21"/>
        </w:rPr>
        <w:t>注：</w:t>
      </w:r>
      <w:r>
        <w:rPr>
          <w:rFonts w:hint="eastAsia" w:ascii="宋体" w:hAnsi="宋体" w:cs="宋体"/>
          <w:bCs/>
          <w:szCs w:val="21"/>
        </w:rPr>
        <w:t>本项目为总价包干项目，合同总额包括项目方案、人员费用、检测费用、检测工具费用、版权专利、所有税费和其他服务以及合同实施过程中应预见和不可预见的一切费用。如发生缺漏项视同以包含在</w:t>
      </w:r>
      <w:r>
        <w:rPr>
          <w:rFonts w:hint="eastAsia" w:ascii="宋体"/>
          <w:bCs/>
          <w:spacing w:val="-2"/>
          <w:szCs w:val="21"/>
        </w:rPr>
        <w:t>合同总额之中。乙方需完成本项目所有服务项目，甲方不再额外支付任何费用。</w:t>
      </w:r>
    </w:p>
    <w:p>
      <w:pPr>
        <w:spacing w:line="276" w:lineRule="auto"/>
        <w:ind w:firstLine="422" w:firstLineChars="200"/>
        <w:outlineLvl w:val="1"/>
        <w:rPr>
          <w:rFonts w:hint="eastAsia" w:ascii="宋体" w:hAnsi="宋体"/>
          <w:b/>
          <w:bCs/>
          <w:szCs w:val="21"/>
        </w:rPr>
      </w:pPr>
      <w:r>
        <w:rPr>
          <w:rFonts w:hint="eastAsia" w:ascii="宋体" w:hAnsi="宋体"/>
          <w:b/>
          <w:bCs/>
          <w:szCs w:val="21"/>
        </w:rPr>
        <w:t xml:space="preserve">服务期限：从 </w:t>
      </w:r>
      <w:r>
        <w:rPr>
          <w:rFonts w:hint="eastAsia" w:ascii="宋体" w:hAnsi="宋体"/>
          <w:b/>
          <w:bCs/>
          <w:szCs w:val="21"/>
          <w:u w:val="single"/>
        </w:rPr>
        <w:t xml:space="preserve">     </w:t>
      </w:r>
      <w:r>
        <w:rPr>
          <w:rFonts w:hint="eastAsia" w:ascii="宋体" w:hAnsi="宋体"/>
          <w:b/>
          <w:bCs/>
          <w:szCs w:val="21"/>
        </w:rPr>
        <w:t xml:space="preserve">年 </w:t>
      </w:r>
      <w:r>
        <w:rPr>
          <w:rFonts w:hint="eastAsia" w:ascii="宋体" w:hAnsi="宋体"/>
          <w:b/>
          <w:bCs/>
          <w:szCs w:val="21"/>
          <w:u w:val="single"/>
        </w:rPr>
        <w:t xml:space="preserve">    </w:t>
      </w:r>
      <w:r>
        <w:rPr>
          <w:rFonts w:hint="eastAsia" w:ascii="宋体" w:hAnsi="宋体"/>
          <w:b/>
          <w:bCs/>
          <w:szCs w:val="21"/>
        </w:rPr>
        <w:t>月</w:t>
      </w:r>
      <w:r>
        <w:rPr>
          <w:rFonts w:hint="eastAsia" w:ascii="宋体" w:hAnsi="宋体"/>
          <w:b/>
          <w:bCs/>
          <w:szCs w:val="21"/>
          <w:u w:val="single"/>
        </w:rPr>
        <w:t xml:space="preserve">    </w:t>
      </w:r>
      <w:r>
        <w:rPr>
          <w:rFonts w:hint="eastAsia" w:ascii="宋体" w:hAnsi="宋体"/>
          <w:b/>
          <w:bCs/>
          <w:szCs w:val="21"/>
        </w:rPr>
        <w:t>日至</w:t>
      </w:r>
      <w:r>
        <w:rPr>
          <w:rFonts w:hint="eastAsia" w:ascii="宋体" w:hAnsi="宋体"/>
          <w:b/>
          <w:bCs/>
          <w:szCs w:val="21"/>
          <w:u w:val="single"/>
        </w:rPr>
        <w:t xml:space="preserve">    </w:t>
      </w:r>
      <w:r>
        <w:rPr>
          <w:rFonts w:hint="eastAsia" w:ascii="宋体" w:hAnsi="宋体"/>
          <w:b/>
          <w:bCs/>
          <w:szCs w:val="21"/>
        </w:rPr>
        <w:t>年</w:t>
      </w:r>
      <w:r>
        <w:rPr>
          <w:rFonts w:hint="eastAsia" w:ascii="宋体" w:hAnsi="宋体"/>
          <w:b/>
          <w:bCs/>
          <w:szCs w:val="21"/>
          <w:u w:val="single"/>
        </w:rPr>
        <w:t xml:space="preserve">    </w:t>
      </w:r>
      <w:r>
        <w:rPr>
          <w:rFonts w:hint="eastAsia" w:ascii="宋体" w:hAnsi="宋体"/>
          <w:b/>
          <w:bCs/>
          <w:szCs w:val="21"/>
        </w:rPr>
        <w:t>月</w:t>
      </w:r>
      <w:r>
        <w:rPr>
          <w:rFonts w:hint="eastAsia" w:ascii="宋体" w:hAnsi="宋体"/>
          <w:b/>
          <w:bCs/>
          <w:szCs w:val="21"/>
          <w:u w:val="single"/>
        </w:rPr>
        <w:t xml:space="preserve">    </w:t>
      </w:r>
      <w:r>
        <w:rPr>
          <w:rFonts w:hint="eastAsia" w:ascii="宋体" w:hAnsi="宋体"/>
          <w:b/>
          <w:bCs/>
          <w:szCs w:val="21"/>
        </w:rPr>
        <w:t>日</w:t>
      </w:r>
    </w:p>
    <w:p>
      <w:pPr>
        <w:spacing w:line="276" w:lineRule="auto"/>
        <w:ind w:firstLine="422" w:firstLineChars="200"/>
        <w:outlineLvl w:val="1"/>
        <w:rPr>
          <w:rFonts w:hint="eastAsia" w:ascii="宋体" w:hAnsi="宋体"/>
          <w:b/>
          <w:bCs/>
          <w:szCs w:val="21"/>
        </w:rPr>
      </w:pPr>
      <w:r>
        <w:rPr>
          <w:rFonts w:hint="eastAsia" w:ascii="宋体" w:hAnsi="宋体"/>
          <w:b/>
          <w:bCs/>
          <w:szCs w:val="21"/>
        </w:rPr>
        <w:t>服务地点：甲方指定地点</w:t>
      </w:r>
    </w:p>
    <w:p>
      <w:pPr>
        <w:spacing w:line="276" w:lineRule="auto"/>
        <w:ind w:firstLine="422" w:firstLineChars="200"/>
        <w:outlineLvl w:val="1"/>
        <w:rPr>
          <w:rFonts w:hint="eastAsia" w:ascii="宋体" w:hAnsi="宋体"/>
          <w:bCs/>
          <w:szCs w:val="21"/>
        </w:rPr>
      </w:pPr>
      <w:r>
        <w:rPr>
          <w:rFonts w:hint="eastAsia" w:ascii="宋体" w:hAnsi="宋体"/>
          <w:b/>
          <w:bCs/>
          <w:szCs w:val="21"/>
        </w:rPr>
        <w:t>二、防雷装置检测服务项目</w:t>
      </w:r>
    </w:p>
    <w:p>
      <w:pPr>
        <w:ind w:firstLine="412" w:firstLineChars="200"/>
        <w:rPr>
          <w:rFonts w:hint="eastAsia" w:ascii="宋体" w:hAnsi="宋体"/>
          <w:b/>
          <w:szCs w:val="21"/>
        </w:rPr>
      </w:pPr>
      <w:r>
        <w:rPr>
          <w:rFonts w:hint="eastAsia" w:ascii="宋体"/>
          <w:bCs/>
          <w:spacing w:val="-2"/>
          <w:szCs w:val="21"/>
        </w:rPr>
        <w:t>1.服务期内，乙方按“四、</w:t>
      </w:r>
      <w:r>
        <w:rPr>
          <w:rFonts w:hint="eastAsia" w:ascii="宋体" w:hAnsi="宋体"/>
          <w:szCs w:val="21"/>
        </w:rPr>
        <w:t>主要检查内容</w:t>
      </w:r>
      <w:r>
        <w:rPr>
          <w:rFonts w:hint="eastAsia" w:ascii="宋体"/>
          <w:bCs/>
          <w:spacing w:val="-2"/>
          <w:szCs w:val="21"/>
        </w:rPr>
        <w:t>”要求对番禺区现有水利工程管理设施共</w:t>
      </w:r>
      <w:r>
        <w:rPr>
          <w:rFonts w:ascii="宋体"/>
          <w:bCs/>
          <w:spacing w:val="-2"/>
          <w:szCs w:val="21"/>
        </w:rPr>
        <w:t>271</w:t>
      </w:r>
      <w:r>
        <w:rPr>
          <w:rFonts w:hint="eastAsia" w:ascii="宋体"/>
          <w:bCs/>
          <w:spacing w:val="-2"/>
          <w:szCs w:val="21"/>
        </w:rPr>
        <w:t>处（水闸</w:t>
      </w:r>
      <w:r>
        <w:rPr>
          <w:rFonts w:ascii="宋体"/>
          <w:bCs/>
          <w:spacing w:val="-2"/>
          <w:szCs w:val="21"/>
        </w:rPr>
        <w:t>180</w:t>
      </w:r>
      <w:r>
        <w:rPr>
          <w:rFonts w:hint="eastAsia" w:ascii="宋体"/>
          <w:bCs/>
          <w:spacing w:val="-2"/>
          <w:szCs w:val="21"/>
        </w:rPr>
        <w:t>座、泵站</w:t>
      </w:r>
      <w:r>
        <w:rPr>
          <w:rFonts w:ascii="宋体"/>
          <w:bCs/>
          <w:spacing w:val="-2"/>
          <w:szCs w:val="21"/>
        </w:rPr>
        <w:t>91</w:t>
      </w:r>
      <w:r>
        <w:rPr>
          <w:rFonts w:hint="eastAsia" w:ascii="宋体"/>
          <w:bCs/>
          <w:spacing w:val="-2"/>
          <w:szCs w:val="21"/>
        </w:rPr>
        <w:t>座、管理房等附属设施</w:t>
      </w:r>
      <w:r>
        <w:rPr>
          <w:rFonts w:ascii="宋体"/>
          <w:bCs/>
          <w:spacing w:val="-2"/>
          <w:szCs w:val="21"/>
        </w:rPr>
        <w:t>217</w:t>
      </w:r>
      <w:r>
        <w:rPr>
          <w:rFonts w:hint="eastAsia" w:ascii="宋体"/>
          <w:bCs/>
          <w:spacing w:val="-2"/>
          <w:szCs w:val="21"/>
        </w:rPr>
        <w:t>座）防雷接地装置、引下线、接闪器、等电位连接、设备安全保护接地以及</w:t>
      </w:r>
      <w:r>
        <w:rPr>
          <w:rFonts w:ascii="宋体"/>
          <w:bCs/>
          <w:spacing w:val="-2"/>
          <w:szCs w:val="21"/>
        </w:rPr>
        <w:t>SPD</w:t>
      </w:r>
      <w:r>
        <w:rPr>
          <w:rFonts w:hint="eastAsia" w:ascii="宋体"/>
          <w:bCs/>
          <w:spacing w:val="-2"/>
          <w:szCs w:val="21"/>
        </w:rPr>
        <w:t>等防雷装置逐项</w:t>
      </w:r>
      <w:r>
        <w:rPr>
          <w:rFonts w:hint="eastAsia" w:ascii="宋体"/>
          <w:bCs/>
          <w:spacing w:val="-2"/>
          <w:szCs w:val="21"/>
          <w:highlight w:val="yellow"/>
        </w:rPr>
        <w:t>至少进行1次</w:t>
      </w:r>
      <w:r>
        <w:rPr>
          <w:rFonts w:hint="eastAsia" w:ascii="宋体"/>
          <w:bCs/>
          <w:spacing w:val="-2"/>
          <w:szCs w:val="21"/>
        </w:rPr>
        <w:t>的跟踪检测，出具检测报告。</w:t>
      </w:r>
    </w:p>
    <w:p>
      <w:pPr>
        <w:snapToGrid w:val="0"/>
        <w:spacing w:line="300" w:lineRule="exact"/>
        <w:ind w:right="-84" w:rightChars="-40" w:firstLine="420"/>
        <w:rPr>
          <w:rFonts w:hint="eastAsia" w:ascii="宋体"/>
          <w:bCs/>
          <w:spacing w:val="-2"/>
          <w:szCs w:val="21"/>
        </w:rPr>
      </w:pPr>
      <w:r>
        <w:rPr>
          <w:rFonts w:hint="eastAsia" w:ascii="宋体"/>
          <w:bCs/>
          <w:spacing w:val="-2"/>
          <w:szCs w:val="21"/>
        </w:rPr>
        <w:t>2.供乙方提供的检测服务应符合广东省防雷安全在线管理监察平台的相关要求，并执行平台相关信息录入的对接工作。</w:t>
      </w:r>
    </w:p>
    <w:p>
      <w:pPr>
        <w:snapToGrid w:val="0"/>
        <w:spacing w:line="300" w:lineRule="exact"/>
        <w:ind w:right="-84" w:rightChars="-40" w:firstLine="420"/>
        <w:rPr>
          <w:rFonts w:hint="eastAsia" w:ascii="宋体"/>
          <w:bCs/>
          <w:spacing w:val="-2"/>
          <w:szCs w:val="21"/>
        </w:rPr>
      </w:pPr>
      <w:r>
        <w:rPr>
          <w:rFonts w:hint="eastAsia" w:ascii="宋体"/>
          <w:bCs/>
          <w:spacing w:val="-2"/>
          <w:szCs w:val="21"/>
        </w:rPr>
        <w:t>3.乙方提供的防雷装置检测报告需在广东省网上办事大厅登记。</w:t>
      </w:r>
    </w:p>
    <w:p>
      <w:pPr>
        <w:snapToGrid w:val="0"/>
        <w:spacing w:line="300" w:lineRule="exact"/>
        <w:ind w:right="-84" w:rightChars="-40" w:firstLine="420"/>
        <w:rPr>
          <w:rFonts w:ascii="宋体"/>
          <w:bCs/>
          <w:spacing w:val="-2"/>
          <w:szCs w:val="21"/>
        </w:rPr>
      </w:pPr>
      <w:r>
        <w:rPr>
          <w:rFonts w:hint="eastAsia" w:ascii="宋体"/>
          <w:bCs/>
          <w:spacing w:val="-2"/>
          <w:szCs w:val="21"/>
        </w:rPr>
        <w:t>4.乙方须提供其信用档案及安全生产管理制度。</w:t>
      </w:r>
    </w:p>
    <w:p>
      <w:pPr>
        <w:spacing w:line="276" w:lineRule="auto"/>
        <w:ind w:firstLine="420" w:firstLineChars="200"/>
        <w:outlineLvl w:val="1"/>
        <w:rPr>
          <w:rFonts w:ascii="宋体" w:hAnsi="宋体"/>
          <w:bCs/>
          <w:szCs w:val="21"/>
        </w:rPr>
      </w:pPr>
      <w:r>
        <w:rPr>
          <w:rFonts w:hint="eastAsia" w:ascii="宋体" w:hAnsi="宋体"/>
          <w:bCs/>
          <w:szCs w:val="21"/>
        </w:rPr>
        <w:t>三、</w:t>
      </w:r>
      <w:r>
        <w:rPr>
          <w:rFonts w:hint="eastAsia" w:ascii="宋体" w:hAnsi="宋体"/>
          <w:b/>
          <w:bCs/>
          <w:szCs w:val="21"/>
        </w:rPr>
        <w:t>服务标准及要求</w:t>
      </w:r>
    </w:p>
    <w:p>
      <w:pPr>
        <w:spacing w:line="276" w:lineRule="auto"/>
        <w:ind w:firstLine="420" w:firstLineChars="200"/>
        <w:outlineLvl w:val="1"/>
        <w:rPr>
          <w:rFonts w:ascii="宋体" w:hAnsi="宋体"/>
          <w:bCs/>
          <w:szCs w:val="21"/>
        </w:rPr>
      </w:pPr>
      <w:r>
        <w:rPr>
          <w:rFonts w:ascii="宋体" w:hAnsi="宋体"/>
          <w:bCs/>
          <w:szCs w:val="21"/>
        </w:rPr>
        <w:t>1</w:t>
      </w:r>
      <w:r>
        <w:rPr>
          <w:rFonts w:hint="eastAsia" w:ascii="宋体" w:hAnsi="宋体"/>
          <w:bCs/>
          <w:szCs w:val="21"/>
        </w:rPr>
        <w:t>.乙方应按照甲方提供番禺区现有水利工程管理设施共</w:t>
      </w:r>
      <w:r>
        <w:rPr>
          <w:rFonts w:ascii="宋体" w:hAnsi="宋体"/>
          <w:bCs/>
          <w:szCs w:val="21"/>
        </w:rPr>
        <w:t>271</w:t>
      </w:r>
      <w:r>
        <w:rPr>
          <w:rFonts w:hint="eastAsia" w:ascii="宋体" w:hAnsi="宋体"/>
          <w:bCs/>
          <w:szCs w:val="21"/>
        </w:rPr>
        <w:t>处（水闸</w:t>
      </w:r>
      <w:r>
        <w:rPr>
          <w:rFonts w:ascii="宋体" w:hAnsi="宋体"/>
          <w:bCs/>
          <w:szCs w:val="21"/>
        </w:rPr>
        <w:t>180</w:t>
      </w:r>
      <w:r>
        <w:rPr>
          <w:rFonts w:hint="eastAsia" w:ascii="宋体" w:hAnsi="宋体"/>
          <w:bCs/>
          <w:szCs w:val="21"/>
        </w:rPr>
        <w:t>座、泵站</w:t>
      </w:r>
      <w:r>
        <w:rPr>
          <w:rFonts w:ascii="宋体" w:hAnsi="宋体"/>
          <w:bCs/>
          <w:szCs w:val="21"/>
        </w:rPr>
        <w:t>91</w:t>
      </w:r>
      <w:r>
        <w:rPr>
          <w:rFonts w:hint="eastAsia" w:ascii="宋体" w:hAnsi="宋体"/>
          <w:bCs/>
          <w:szCs w:val="21"/>
        </w:rPr>
        <w:t>座、管理房等附属设施</w:t>
      </w:r>
      <w:r>
        <w:rPr>
          <w:rFonts w:ascii="宋体" w:hAnsi="宋体"/>
          <w:bCs/>
          <w:szCs w:val="21"/>
        </w:rPr>
        <w:t>217</w:t>
      </w:r>
      <w:r>
        <w:rPr>
          <w:rFonts w:hint="eastAsia" w:ascii="宋体" w:hAnsi="宋体"/>
          <w:bCs/>
          <w:szCs w:val="21"/>
        </w:rPr>
        <w:t>座）的资料开展检测服务。</w:t>
      </w:r>
    </w:p>
    <w:p>
      <w:pPr>
        <w:spacing w:line="276" w:lineRule="auto"/>
        <w:ind w:firstLine="420" w:firstLineChars="200"/>
        <w:outlineLvl w:val="1"/>
        <w:rPr>
          <w:rFonts w:ascii="宋体" w:hAnsi="宋体"/>
          <w:bCs/>
          <w:szCs w:val="21"/>
        </w:rPr>
      </w:pPr>
      <w:r>
        <w:rPr>
          <w:rFonts w:hint="eastAsia" w:ascii="宋体" w:hAnsi="宋体"/>
          <w:bCs/>
          <w:szCs w:val="21"/>
        </w:rPr>
        <w:t>2.乙方应制定检测方案并提交甲方审核，安排防雷装置检测服务专员跟进项目的检测工作，检测服务技术人员按国家技术规范、标准、规程以及地方防雷管理要求对本项目进行检测。</w:t>
      </w:r>
    </w:p>
    <w:p>
      <w:pPr>
        <w:spacing w:line="276" w:lineRule="auto"/>
        <w:ind w:firstLine="420" w:firstLineChars="200"/>
        <w:outlineLvl w:val="1"/>
        <w:rPr>
          <w:rFonts w:ascii="宋体" w:hAnsi="宋体"/>
          <w:bCs/>
          <w:szCs w:val="21"/>
        </w:rPr>
      </w:pPr>
      <w:r>
        <w:rPr>
          <w:rFonts w:ascii="宋体" w:hAnsi="宋体"/>
          <w:bCs/>
          <w:szCs w:val="21"/>
        </w:rPr>
        <w:t>3.</w:t>
      </w:r>
      <w:r>
        <w:rPr>
          <w:rFonts w:hint="eastAsia" w:ascii="宋体" w:hAnsi="宋体"/>
          <w:bCs/>
          <w:szCs w:val="21"/>
        </w:rPr>
        <w:t>防雷装置现场检测后，乙方应在</w:t>
      </w:r>
      <w:r>
        <w:rPr>
          <w:rFonts w:ascii="宋体" w:hAnsi="宋体"/>
          <w:bCs/>
          <w:szCs w:val="21"/>
        </w:rPr>
        <w:t>30</w:t>
      </w:r>
      <w:r>
        <w:rPr>
          <w:rFonts w:hint="eastAsia" w:ascii="宋体" w:hAnsi="宋体"/>
          <w:bCs/>
          <w:szCs w:val="21"/>
        </w:rPr>
        <w:t>个工作日内向甲方提供二套完整的防雷装置检测报告以及相关的检测意见。提交的报告及意见应符合法定要求，能科学、客观、公正地反映本采购标的项目的防雷安全情况，且乙方应将出具的报告按规定上传广东省网上办事大厅，取得广东省雷电防雷装置检测标识。（具体录入网址：</w:t>
      </w:r>
      <w:r>
        <w:rPr>
          <w:rFonts w:ascii="宋体" w:hAnsi="宋体"/>
          <w:bCs/>
          <w:szCs w:val="21"/>
        </w:rPr>
        <w:t>http://www.gdbs.gov.cn/portal/guide/30694300000694109802440000.html</w:t>
      </w:r>
      <w:r>
        <w:rPr>
          <w:rFonts w:hint="eastAsia" w:ascii="宋体" w:hAnsi="宋体"/>
          <w:bCs/>
          <w:szCs w:val="21"/>
        </w:rPr>
        <w:t>）</w:t>
      </w:r>
    </w:p>
    <w:p>
      <w:pPr>
        <w:spacing w:line="276" w:lineRule="auto"/>
        <w:ind w:firstLine="420" w:firstLineChars="200"/>
        <w:outlineLvl w:val="1"/>
        <w:rPr>
          <w:rFonts w:ascii="宋体" w:hAnsi="宋体"/>
          <w:bCs/>
          <w:szCs w:val="21"/>
        </w:rPr>
      </w:pPr>
      <w:r>
        <w:rPr>
          <w:rFonts w:hint="eastAsia" w:ascii="宋体" w:hAnsi="宋体"/>
          <w:bCs/>
          <w:szCs w:val="21"/>
        </w:rPr>
        <w:t>4.乙方应按照《广东省人民政府办公厅关于做好优化建设工程防雷许可有关工作的通知》（粤府办〔</w:t>
      </w:r>
      <w:r>
        <w:rPr>
          <w:rFonts w:ascii="宋体" w:hAnsi="宋体"/>
          <w:bCs/>
          <w:szCs w:val="21"/>
        </w:rPr>
        <w:t>2016</w:t>
      </w:r>
      <w:r>
        <w:rPr>
          <w:rFonts w:hint="eastAsia" w:ascii="宋体" w:hAnsi="宋体"/>
          <w:bCs/>
          <w:szCs w:val="21"/>
        </w:rPr>
        <w:t>〕</w:t>
      </w:r>
      <w:r>
        <w:rPr>
          <w:rFonts w:ascii="宋体" w:hAnsi="宋体"/>
          <w:bCs/>
          <w:szCs w:val="21"/>
        </w:rPr>
        <w:t>131</w:t>
      </w:r>
      <w:r>
        <w:rPr>
          <w:rFonts w:hint="eastAsia" w:ascii="宋体" w:hAnsi="宋体"/>
          <w:bCs/>
          <w:szCs w:val="21"/>
        </w:rPr>
        <w:t>号）的要求，配合甲方落实本项目相关数据与广东省防雷安全在线管理监察平台的信息共享工作。</w:t>
      </w:r>
    </w:p>
    <w:p>
      <w:pPr>
        <w:spacing w:line="276" w:lineRule="auto"/>
        <w:ind w:firstLine="420" w:firstLineChars="200"/>
        <w:outlineLvl w:val="1"/>
        <w:rPr>
          <w:rFonts w:ascii="宋体" w:hAnsi="宋体"/>
          <w:bCs/>
          <w:szCs w:val="21"/>
        </w:rPr>
      </w:pPr>
      <w:r>
        <w:rPr>
          <w:rFonts w:hint="eastAsia" w:ascii="宋体" w:hAnsi="宋体"/>
          <w:bCs/>
          <w:szCs w:val="21"/>
        </w:rPr>
        <w:t>5.乙方应就本采购项目提出有针对性的售后服务方案。</w:t>
      </w:r>
    </w:p>
    <w:p>
      <w:pPr>
        <w:spacing w:line="276" w:lineRule="auto"/>
        <w:ind w:firstLine="420" w:firstLineChars="200"/>
        <w:outlineLvl w:val="1"/>
        <w:rPr>
          <w:rFonts w:hint="eastAsia" w:ascii="宋体" w:hAnsi="宋体"/>
          <w:bCs/>
          <w:szCs w:val="21"/>
        </w:rPr>
      </w:pPr>
      <w:r>
        <w:rPr>
          <w:rFonts w:hint="eastAsia" w:ascii="宋体" w:hAnsi="宋体"/>
          <w:bCs/>
          <w:szCs w:val="21"/>
        </w:rPr>
        <w:t>6.乙方应保护甲方提供项目的知识产权，不得向第三方泄露、转让甲方提供的技术、经济资料。</w:t>
      </w:r>
    </w:p>
    <w:p>
      <w:pPr>
        <w:spacing w:line="276" w:lineRule="auto"/>
        <w:ind w:firstLine="420" w:firstLineChars="200"/>
        <w:outlineLvl w:val="1"/>
        <w:rPr>
          <w:rFonts w:ascii="宋体" w:hAnsi="宋体"/>
          <w:bCs/>
          <w:szCs w:val="21"/>
        </w:rPr>
      </w:pPr>
      <w:r>
        <w:rPr>
          <w:rFonts w:hint="eastAsia" w:ascii="宋体" w:hAnsi="宋体"/>
          <w:bCs/>
          <w:szCs w:val="21"/>
        </w:rPr>
        <w:t>7.乙方须提供其信用档案及安全生产管理制度。</w:t>
      </w:r>
    </w:p>
    <w:p>
      <w:pPr>
        <w:ind w:firstLine="414" w:firstLineChars="200"/>
        <w:rPr>
          <w:rFonts w:hint="eastAsia" w:ascii="宋体" w:hAnsi="宋体"/>
          <w:b/>
          <w:szCs w:val="21"/>
        </w:rPr>
      </w:pPr>
      <w:r>
        <w:rPr>
          <w:rFonts w:hint="eastAsia" w:ascii="宋体"/>
          <w:b/>
          <w:bCs/>
          <w:spacing w:val="-2"/>
          <w:szCs w:val="21"/>
        </w:rPr>
        <w:t>四、</w:t>
      </w:r>
      <w:r>
        <w:rPr>
          <w:rFonts w:hint="eastAsia" w:ascii="宋体" w:hAnsi="宋体"/>
          <w:b/>
          <w:szCs w:val="21"/>
        </w:rPr>
        <w:t>主要检查内容</w:t>
      </w:r>
    </w:p>
    <w:p>
      <w:pPr>
        <w:ind w:firstLine="420" w:firstLineChars="200"/>
        <w:rPr>
          <w:rFonts w:hint="eastAsia" w:ascii="宋体"/>
          <w:bCs/>
          <w:spacing w:val="-2"/>
          <w:szCs w:val="21"/>
        </w:rPr>
      </w:pPr>
      <w:r>
        <w:rPr>
          <w:rFonts w:hint="eastAsia" w:ascii="宋体" w:hAnsi="宋体"/>
          <w:szCs w:val="21"/>
        </w:rPr>
        <w:t>对</w:t>
      </w:r>
      <w:r>
        <w:rPr>
          <w:rFonts w:hint="eastAsia" w:ascii="宋体"/>
          <w:bCs/>
          <w:spacing w:val="-2"/>
          <w:szCs w:val="21"/>
        </w:rPr>
        <w:t>水利工程管理设施</w:t>
      </w:r>
      <w:r>
        <w:rPr>
          <w:rFonts w:hint="eastAsia" w:ascii="宋体" w:hAnsi="宋体"/>
          <w:szCs w:val="21"/>
        </w:rPr>
        <w:t>防雷装置进行跟踪检测及使用情况进行检测和隐患排查，包含</w:t>
      </w:r>
      <w:r>
        <w:rPr>
          <w:rFonts w:hint="eastAsia" w:ascii="宋体"/>
          <w:bCs/>
          <w:spacing w:val="-2"/>
          <w:szCs w:val="21"/>
        </w:rPr>
        <w:t>防雷接地装置、引下线、接闪器、等电位连接、设备安全保护接地以及</w:t>
      </w:r>
      <w:r>
        <w:rPr>
          <w:rFonts w:ascii="宋体"/>
          <w:bCs/>
          <w:spacing w:val="-2"/>
          <w:szCs w:val="21"/>
        </w:rPr>
        <w:t>SPD</w:t>
      </w:r>
      <w:r>
        <w:rPr>
          <w:rFonts w:hint="eastAsia" w:ascii="宋体"/>
          <w:bCs/>
          <w:spacing w:val="-2"/>
          <w:szCs w:val="21"/>
        </w:rPr>
        <w:t>等防雷装置。</w:t>
      </w:r>
    </w:p>
    <w:p>
      <w:pPr>
        <w:ind w:firstLine="420" w:firstLineChars="200"/>
        <w:rPr>
          <w:rFonts w:ascii="宋体" w:hAnsi="宋体"/>
          <w:szCs w:val="21"/>
        </w:rPr>
      </w:pPr>
      <w:r>
        <w:rPr>
          <w:rFonts w:hint="eastAsia" w:ascii="宋体" w:hAnsi="宋体"/>
          <w:szCs w:val="21"/>
        </w:rPr>
        <w:t>（一）接闪杆检测内容：</w:t>
      </w:r>
    </w:p>
    <w:p>
      <w:pPr>
        <w:ind w:firstLine="420" w:firstLineChars="200"/>
        <w:rPr>
          <w:rFonts w:ascii="宋体" w:hAnsi="宋体"/>
          <w:szCs w:val="21"/>
        </w:rPr>
      </w:pPr>
      <w:r>
        <w:rPr>
          <w:rFonts w:ascii="宋体" w:hAnsi="宋体"/>
          <w:szCs w:val="21"/>
        </w:rPr>
        <w:t>1</w:t>
      </w:r>
      <w:r>
        <w:rPr>
          <w:rFonts w:hint="eastAsia" w:ascii="宋体" w:hAnsi="宋体"/>
          <w:szCs w:val="21"/>
        </w:rPr>
        <w:t>、类型、</w:t>
      </w:r>
    </w:p>
    <w:p>
      <w:pPr>
        <w:ind w:firstLine="420" w:firstLineChars="200"/>
        <w:rPr>
          <w:rFonts w:ascii="宋体" w:hAnsi="宋体"/>
          <w:szCs w:val="21"/>
        </w:rPr>
      </w:pPr>
      <w:r>
        <w:rPr>
          <w:rFonts w:hint="eastAsia" w:ascii="宋体" w:hAnsi="宋体"/>
          <w:szCs w:val="21"/>
        </w:rPr>
        <w:t>2、材料、规格、</w:t>
      </w:r>
    </w:p>
    <w:p>
      <w:pPr>
        <w:ind w:firstLine="420" w:firstLineChars="200"/>
        <w:rPr>
          <w:rFonts w:ascii="宋体" w:hAnsi="宋体"/>
          <w:szCs w:val="21"/>
        </w:rPr>
      </w:pPr>
      <w:r>
        <w:rPr>
          <w:rFonts w:hint="eastAsia" w:ascii="宋体" w:hAnsi="宋体"/>
          <w:szCs w:val="21"/>
        </w:rPr>
        <w:t>3、高度、连接形式。</w:t>
      </w:r>
    </w:p>
    <w:p>
      <w:pPr>
        <w:ind w:firstLine="420" w:firstLineChars="200"/>
        <w:rPr>
          <w:rFonts w:ascii="宋体" w:hAnsi="宋体"/>
          <w:szCs w:val="21"/>
        </w:rPr>
      </w:pPr>
      <w:r>
        <w:rPr>
          <w:rFonts w:ascii="宋体" w:hAnsi="宋体"/>
          <w:szCs w:val="21"/>
        </w:rPr>
        <w:t>4</w:t>
      </w:r>
      <w:r>
        <w:rPr>
          <w:rFonts w:hint="eastAsia" w:ascii="宋体" w:hAnsi="宋体"/>
          <w:szCs w:val="21"/>
        </w:rPr>
        <w:t>、保护范围</w:t>
      </w:r>
    </w:p>
    <w:p>
      <w:pPr>
        <w:ind w:firstLine="420" w:firstLineChars="200"/>
        <w:rPr>
          <w:rFonts w:ascii="宋体" w:hAnsi="宋体"/>
          <w:szCs w:val="21"/>
        </w:rPr>
      </w:pPr>
      <w:r>
        <w:rPr>
          <w:rFonts w:hint="eastAsia" w:ascii="宋体" w:hAnsi="宋体"/>
          <w:szCs w:val="21"/>
        </w:rPr>
        <w:t>5、接地电阻值、</w:t>
      </w:r>
    </w:p>
    <w:p>
      <w:pPr>
        <w:ind w:firstLine="420" w:firstLineChars="200"/>
        <w:rPr>
          <w:rFonts w:ascii="宋体" w:hAnsi="宋体"/>
          <w:szCs w:val="21"/>
        </w:rPr>
      </w:pPr>
      <w:r>
        <w:rPr>
          <w:rFonts w:ascii="宋体" w:hAnsi="宋体"/>
          <w:szCs w:val="21"/>
        </w:rPr>
        <w:t>4</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（二）接闪带检测内容：</w:t>
      </w:r>
    </w:p>
    <w:p>
      <w:pPr>
        <w:ind w:firstLine="420" w:firstLineChars="200"/>
        <w:rPr>
          <w:rFonts w:ascii="宋体" w:hAnsi="宋体"/>
          <w:szCs w:val="21"/>
        </w:rPr>
      </w:pPr>
      <w:r>
        <w:rPr>
          <w:rFonts w:ascii="宋体" w:hAnsi="宋体"/>
          <w:szCs w:val="21"/>
        </w:rPr>
        <w:t>1</w:t>
      </w:r>
      <w:r>
        <w:rPr>
          <w:rFonts w:hint="eastAsia" w:ascii="宋体" w:hAnsi="宋体"/>
          <w:szCs w:val="21"/>
        </w:rPr>
        <w:t>、敷设方式、</w:t>
      </w:r>
    </w:p>
    <w:p>
      <w:pPr>
        <w:ind w:firstLine="420" w:firstLineChars="200"/>
        <w:rPr>
          <w:rFonts w:ascii="宋体" w:hAnsi="宋体"/>
          <w:szCs w:val="21"/>
        </w:rPr>
      </w:pPr>
      <w:r>
        <w:rPr>
          <w:rFonts w:hint="eastAsia" w:ascii="宋体" w:hAnsi="宋体"/>
          <w:szCs w:val="21"/>
        </w:rPr>
        <w:t>2、材料、规格、</w:t>
      </w:r>
    </w:p>
    <w:p>
      <w:pPr>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支持</w:t>
      </w:r>
      <w:r>
        <w:rPr>
          <w:rFonts w:hint="eastAsia" w:ascii="宋体" w:hAnsi="宋体"/>
          <w:szCs w:val="21"/>
        </w:rPr>
        <w:t>卡高度、</w:t>
      </w:r>
    </w:p>
    <w:p>
      <w:pPr>
        <w:ind w:firstLine="420" w:firstLineChars="200"/>
        <w:rPr>
          <w:rFonts w:ascii="宋体" w:hAnsi="宋体"/>
          <w:szCs w:val="21"/>
        </w:rPr>
      </w:pPr>
      <w:r>
        <w:rPr>
          <w:rFonts w:hint="eastAsia" w:ascii="宋体" w:hAnsi="宋体"/>
          <w:szCs w:val="21"/>
        </w:rPr>
        <w:t>4、</w:t>
      </w:r>
      <w:r>
        <w:rPr>
          <w:rFonts w:ascii="宋体" w:hAnsi="宋体"/>
          <w:szCs w:val="21"/>
        </w:rPr>
        <w:t>支持</w:t>
      </w:r>
      <w:r>
        <w:rPr>
          <w:rFonts w:hint="eastAsia" w:ascii="宋体" w:hAnsi="宋体"/>
          <w:szCs w:val="21"/>
        </w:rPr>
        <w:t>卡间距、</w:t>
      </w:r>
    </w:p>
    <w:p>
      <w:pPr>
        <w:ind w:firstLine="420" w:firstLineChars="200"/>
        <w:rPr>
          <w:rFonts w:ascii="宋体" w:hAnsi="宋体"/>
          <w:szCs w:val="21"/>
        </w:rPr>
      </w:pPr>
      <w:r>
        <w:rPr>
          <w:rFonts w:hint="eastAsia" w:ascii="宋体" w:hAnsi="宋体"/>
          <w:szCs w:val="21"/>
        </w:rPr>
        <w:t>5、保护范围、</w:t>
      </w:r>
    </w:p>
    <w:p>
      <w:pPr>
        <w:ind w:firstLine="420" w:firstLineChars="200"/>
        <w:rPr>
          <w:rFonts w:ascii="宋体" w:hAnsi="宋体"/>
          <w:szCs w:val="21"/>
        </w:rPr>
      </w:pPr>
      <w:r>
        <w:rPr>
          <w:rFonts w:hint="eastAsia" w:ascii="宋体" w:hAnsi="宋体"/>
          <w:szCs w:val="21"/>
        </w:rPr>
        <w:t>6、接地电阻值、</w:t>
      </w:r>
    </w:p>
    <w:p>
      <w:pPr>
        <w:ind w:firstLine="420" w:firstLineChars="200"/>
        <w:rPr>
          <w:rFonts w:ascii="宋体" w:hAnsi="宋体"/>
          <w:szCs w:val="21"/>
        </w:rPr>
      </w:pPr>
      <w:r>
        <w:rPr>
          <w:rFonts w:hint="eastAsia" w:ascii="宋体" w:hAnsi="宋体"/>
          <w:szCs w:val="21"/>
        </w:rPr>
        <w:t>7、腐蚀情况。</w:t>
      </w:r>
    </w:p>
    <w:p>
      <w:pPr>
        <w:ind w:firstLine="420" w:firstLineChars="200"/>
        <w:rPr>
          <w:rFonts w:ascii="宋体" w:hAnsi="宋体"/>
          <w:szCs w:val="21"/>
        </w:rPr>
      </w:pPr>
      <w:r>
        <w:rPr>
          <w:rFonts w:hint="eastAsia" w:ascii="宋体" w:hAnsi="宋体"/>
          <w:szCs w:val="21"/>
        </w:rPr>
        <w:t>（三）接闪网格检测内容：</w:t>
      </w:r>
    </w:p>
    <w:p>
      <w:pPr>
        <w:ind w:firstLine="420" w:firstLineChars="200"/>
        <w:rPr>
          <w:rFonts w:ascii="宋体" w:hAnsi="宋体"/>
          <w:szCs w:val="21"/>
        </w:rPr>
      </w:pPr>
      <w:r>
        <w:rPr>
          <w:rFonts w:ascii="宋体" w:hAnsi="宋体"/>
          <w:szCs w:val="21"/>
        </w:rPr>
        <w:t>1</w:t>
      </w:r>
      <w:r>
        <w:rPr>
          <w:rFonts w:hint="eastAsia" w:ascii="宋体" w:hAnsi="宋体"/>
          <w:szCs w:val="21"/>
        </w:rPr>
        <w:t>、网格规格、</w:t>
      </w:r>
    </w:p>
    <w:p>
      <w:pPr>
        <w:ind w:firstLine="420" w:firstLineChars="200"/>
        <w:rPr>
          <w:rFonts w:ascii="宋体" w:hAnsi="宋体"/>
          <w:szCs w:val="21"/>
        </w:rPr>
      </w:pPr>
      <w:r>
        <w:rPr>
          <w:rFonts w:hint="eastAsia" w:ascii="宋体" w:hAnsi="宋体"/>
          <w:szCs w:val="21"/>
        </w:rPr>
        <w:t>2、材料及规格、</w:t>
      </w:r>
    </w:p>
    <w:p>
      <w:pPr>
        <w:ind w:firstLine="420" w:firstLineChars="200"/>
        <w:rPr>
          <w:rFonts w:ascii="宋体" w:hAnsi="宋体"/>
          <w:szCs w:val="21"/>
        </w:rPr>
      </w:pPr>
      <w:r>
        <w:rPr>
          <w:rFonts w:hint="eastAsia" w:ascii="宋体" w:hAnsi="宋体"/>
          <w:szCs w:val="21"/>
        </w:rPr>
        <w:t>3、接地电阻值、</w:t>
      </w:r>
    </w:p>
    <w:p>
      <w:pPr>
        <w:ind w:firstLine="420" w:firstLineChars="200"/>
        <w:rPr>
          <w:rFonts w:ascii="宋体" w:hAnsi="宋体"/>
          <w:szCs w:val="21"/>
        </w:rPr>
      </w:pPr>
      <w:r>
        <w:rPr>
          <w:rFonts w:ascii="宋体" w:hAnsi="宋体"/>
          <w:szCs w:val="21"/>
        </w:rPr>
        <w:t>4</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（四）引下线检测内容：</w:t>
      </w:r>
    </w:p>
    <w:p>
      <w:pPr>
        <w:ind w:firstLine="420" w:firstLineChars="200"/>
        <w:rPr>
          <w:rFonts w:ascii="宋体" w:hAnsi="宋体"/>
          <w:szCs w:val="21"/>
        </w:rPr>
      </w:pPr>
      <w:r>
        <w:rPr>
          <w:rFonts w:ascii="宋体" w:hAnsi="宋体"/>
          <w:szCs w:val="21"/>
        </w:rPr>
        <w:t>1</w:t>
      </w:r>
      <w:r>
        <w:rPr>
          <w:rFonts w:hint="eastAsia" w:ascii="宋体" w:hAnsi="宋体"/>
          <w:szCs w:val="21"/>
        </w:rPr>
        <w:t>、敷设方式、</w:t>
      </w:r>
    </w:p>
    <w:p>
      <w:pPr>
        <w:ind w:firstLine="420" w:firstLineChars="200"/>
        <w:rPr>
          <w:rFonts w:ascii="宋体" w:hAnsi="宋体"/>
          <w:szCs w:val="21"/>
        </w:rPr>
      </w:pPr>
      <w:r>
        <w:rPr>
          <w:rFonts w:hint="eastAsia" w:ascii="宋体" w:hAnsi="宋体"/>
          <w:szCs w:val="21"/>
        </w:rPr>
        <w:t>2、间距、</w:t>
      </w:r>
    </w:p>
    <w:p>
      <w:pPr>
        <w:ind w:firstLine="420" w:firstLineChars="200"/>
        <w:rPr>
          <w:rFonts w:ascii="宋体" w:hAnsi="宋体"/>
          <w:szCs w:val="21"/>
        </w:rPr>
      </w:pPr>
      <w:r>
        <w:rPr>
          <w:rFonts w:hint="eastAsia" w:ascii="宋体" w:hAnsi="宋体"/>
          <w:szCs w:val="21"/>
        </w:rPr>
        <w:t>3、材料、规格</w:t>
      </w:r>
    </w:p>
    <w:p>
      <w:pPr>
        <w:ind w:firstLine="420" w:firstLineChars="200"/>
        <w:rPr>
          <w:rFonts w:ascii="宋体" w:hAnsi="宋体"/>
          <w:szCs w:val="21"/>
        </w:rPr>
      </w:pPr>
      <w:r>
        <w:rPr>
          <w:rFonts w:hint="eastAsia" w:ascii="宋体" w:hAnsi="宋体"/>
          <w:szCs w:val="21"/>
        </w:rPr>
        <w:t>4、</w:t>
      </w:r>
      <w:r>
        <w:rPr>
          <w:rFonts w:ascii="宋体" w:hAnsi="宋体"/>
          <w:szCs w:val="21"/>
        </w:rPr>
        <w:t>防雷</w:t>
      </w:r>
      <w:r>
        <w:rPr>
          <w:rFonts w:hint="eastAsia" w:ascii="宋体" w:hAnsi="宋体"/>
          <w:szCs w:val="21"/>
        </w:rPr>
        <w:t>测试点标志</w:t>
      </w:r>
    </w:p>
    <w:p>
      <w:pPr>
        <w:ind w:firstLine="420" w:firstLineChars="200"/>
        <w:rPr>
          <w:rFonts w:ascii="宋体" w:hAnsi="宋体"/>
          <w:szCs w:val="21"/>
        </w:rPr>
      </w:pPr>
      <w:r>
        <w:rPr>
          <w:rFonts w:hint="eastAsia" w:ascii="宋体" w:hAnsi="宋体"/>
          <w:szCs w:val="21"/>
        </w:rPr>
        <w:t>5、接地电阻值、</w:t>
      </w:r>
    </w:p>
    <w:p>
      <w:pPr>
        <w:ind w:firstLine="420" w:firstLineChars="200"/>
        <w:rPr>
          <w:rFonts w:ascii="宋体" w:hAnsi="宋体"/>
          <w:szCs w:val="21"/>
        </w:rPr>
      </w:pPr>
      <w:r>
        <w:rPr>
          <w:rFonts w:ascii="宋体" w:hAnsi="宋体"/>
          <w:szCs w:val="21"/>
        </w:rPr>
        <w:t>6</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（五）接地装置检测内容：</w:t>
      </w:r>
    </w:p>
    <w:p>
      <w:pPr>
        <w:ind w:firstLine="420" w:firstLineChars="200"/>
        <w:rPr>
          <w:rFonts w:ascii="宋体" w:hAnsi="宋体"/>
          <w:szCs w:val="21"/>
        </w:rPr>
      </w:pPr>
      <w:r>
        <w:rPr>
          <w:rFonts w:hint="eastAsia" w:ascii="宋体" w:hAnsi="宋体"/>
          <w:szCs w:val="21"/>
        </w:rPr>
        <w:t>1、</w:t>
      </w:r>
      <w:r>
        <w:rPr>
          <w:rFonts w:ascii="宋体" w:hAnsi="宋体"/>
          <w:szCs w:val="21"/>
        </w:rPr>
        <w:t>接地</w:t>
      </w:r>
      <w:r>
        <w:rPr>
          <w:rFonts w:hint="eastAsia" w:ascii="宋体" w:hAnsi="宋体"/>
          <w:szCs w:val="21"/>
        </w:rPr>
        <w:t>装置类型</w:t>
      </w:r>
    </w:p>
    <w:p>
      <w:pPr>
        <w:ind w:firstLine="420" w:firstLineChars="200"/>
        <w:rPr>
          <w:rFonts w:ascii="宋体" w:hAnsi="宋体"/>
          <w:szCs w:val="21"/>
        </w:rPr>
      </w:pPr>
      <w:r>
        <w:rPr>
          <w:rFonts w:hint="eastAsia" w:ascii="宋体" w:hAnsi="宋体"/>
          <w:szCs w:val="21"/>
        </w:rPr>
        <w:t>2、</w:t>
      </w:r>
      <w:r>
        <w:rPr>
          <w:rFonts w:ascii="宋体" w:hAnsi="宋体"/>
          <w:szCs w:val="21"/>
        </w:rPr>
        <w:t>接地</w:t>
      </w:r>
      <w:r>
        <w:rPr>
          <w:rFonts w:hint="eastAsia" w:ascii="宋体" w:hAnsi="宋体"/>
          <w:szCs w:val="21"/>
        </w:rPr>
        <w:t>电阻</w:t>
      </w:r>
    </w:p>
    <w:p>
      <w:pPr>
        <w:ind w:firstLine="420" w:firstLineChars="200"/>
        <w:rPr>
          <w:rFonts w:ascii="宋体" w:hAnsi="宋体"/>
          <w:szCs w:val="21"/>
        </w:rPr>
      </w:pPr>
      <w:r>
        <w:rPr>
          <w:rFonts w:hint="eastAsia" w:ascii="宋体" w:hAnsi="宋体"/>
          <w:szCs w:val="21"/>
        </w:rPr>
        <w:t>（六）等电位连接检测内容：</w:t>
      </w:r>
    </w:p>
    <w:p>
      <w:pPr>
        <w:ind w:firstLine="420" w:firstLineChars="200"/>
        <w:rPr>
          <w:rFonts w:ascii="宋体" w:hAnsi="宋体"/>
          <w:szCs w:val="21"/>
        </w:rPr>
      </w:pPr>
      <w:r>
        <w:rPr>
          <w:rFonts w:hint="eastAsia" w:ascii="宋体" w:hAnsi="宋体"/>
          <w:szCs w:val="21"/>
        </w:rPr>
        <w:t>1、天面金属装置等电位连接、</w:t>
      </w:r>
    </w:p>
    <w:p>
      <w:pPr>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金属</w:t>
      </w:r>
      <w:r>
        <w:rPr>
          <w:rFonts w:hint="eastAsia" w:ascii="宋体" w:hAnsi="宋体"/>
          <w:szCs w:val="21"/>
        </w:rPr>
        <w:t>管道等电位连接、</w:t>
      </w:r>
    </w:p>
    <w:p>
      <w:pPr>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材料</w:t>
      </w:r>
      <w:r>
        <w:rPr>
          <w:rFonts w:hint="eastAsia" w:ascii="宋体" w:hAnsi="宋体"/>
          <w:szCs w:val="21"/>
        </w:rPr>
        <w:t>、</w:t>
      </w:r>
      <w:r>
        <w:rPr>
          <w:rFonts w:ascii="宋体" w:hAnsi="宋体"/>
          <w:szCs w:val="21"/>
        </w:rPr>
        <w:t>规格</w:t>
      </w:r>
      <w:r>
        <w:rPr>
          <w:rFonts w:hint="eastAsia" w:ascii="宋体" w:hAnsi="宋体"/>
          <w:szCs w:val="21"/>
        </w:rPr>
        <w:t>、</w:t>
      </w:r>
    </w:p>
    <w:p>
      <w:pPr>
        <w:ind w:firstLine="420" w:firstLineChars="200"/>
        <w:rPr>
          <w:rFonts w:ascii="宋体" w:hAnsi="宋体"/>
          <w:szCs w:val="21"/>
        </w:rPr>
      </w:pPr>
      <w:r>
        <w:rPr>
          <w:rFonts w:ascii="宋体" w:hAnsi="宋体"/>
          <w:szCs w:val="21"/>
        </w:rPr>
        <w:t>4</w:t>
      </w:r>
      <w:r>
        <w:rPr>
          <w:rFonts w:hint="eastAsia" w:ascii="宋体" w:hAnsi="宋体"/>
          <w:szCs w:val="21"/>
        </w:rPr>
        <w:t>、接地电阻值、</w:t>
      </w:r>
    </w:p>
    <w:p>
      <w:pPr>
        <w:ind w:firstLine="420" w:firstLineChars="200"/>
        <w:rPr>
          <w:rFonts w:ascii="宋体" w:hAnsi="宋体"/>
          <w:szCs w:val="21"/>
        </w:rPr>
      </w:pPr>
      <w:r>
        <w:rPr>
          <w:rFonts w:ascii="宋体" w:hAnsi="宋体"/>
          <w:szCs w:val="21"/>
        </w:rPr>
        <w:t>5</w:t>
      </w:r>
      <w:r>
        <w:rPr>
          <w:rFonts w:hint="eastAsia" w:ascii="宋体" w:hAnsi="宋体"/>
          <w:szCs w:val="21"/>
        </w:rPr>
        <w:t>、腐蚀情况。</w:t>
      </w:r>
    </w:p>
    <w:p>
      <w:pPr>
        <w:ind w:firstLine="420" w:firstLineChars="200"/>
        <w:rPr>
          <w:rFonts w:ascii="宋体" w:hAnsi="宋体"/>
          <w:szCs w:val="21"/>
        </w:rPr>
      </w:pPr>
      <w:r>
        <w:rPr>
          <w:rFonts w:hint="eastAsia" w:ascii="宋体" w:hAnsi="宋体"/>
          <w:szCs w:val="21"/>
        </w:rPr>
        <w:t>（七）设备安全保护接地（</w:t>
      </w:r>
      <w:r>
        <w:rPr>
          <w:rFonts w:ascii="宋体" w:hAnsi="宋体"/>
          <w:szCs w:val="21"/>
        </w:rPr>
        <w:t>静电</w:t>
      </w:r>
      <w:r>
        <w:rPr>
          <w:rFonts w:hint="eastAsia" w:ascii="宋体" w:hAnsi="宋体"/>
          <w:szCs w:val="21"/>
        </w:rPr>
        <w:t>接地）检测内容：</w:t>
      </w:r>
    </w:p>
    <w:p>
      <w:pPr>
        <w:ind w:firstLine="420" w:firstLineChars="200"/>
        <w:rPr>
          <w:rFonts w:ascii="宋体" w:hAnsi="宋体"/>
          <w:szCs w:val="21"/>
        </w:rPr>
      </w:pPr>
      <w:r>
        <w:rPr>
          <w:rFonts w:hint="eastAsia" w:ascii="宋体" w:hAnsi="宋体"/>
          <w:szCs w:val="21"/>
        </w:rPr>
        <w:t>1、</w:t>
      </w:r>
      <w:r>
        <w:rPr>
          <w:rFonts w:ascii="宋体" w:hAnsi="宋体"/>
          <w:szCs w:val="21"/>
        </w:rPr>
        <w:t>接地</w:t>
      </w:r>
      <w:r>
        <w:rPr>
          <w:rFonts w:hint="eastAsia" w:ascii="宋体" w:hAnsi="宋体"/>
          <w:szCs w:val="21"/>
        </w:rPr>
        <w:t>线材料、</w:t>
      </w:r>
      <w:r>
        <w:rPr>
          <w:rFonts w:ascii="宋体" w:hAnsi="宋体"/>
          <w:szCs w:val="21"/>
        </w:rPr>
        <w:t>规格</w:t>
      </w:r>
      <w:r>
        <w:rPr>
          <w:rFonts w:hint="eastAsia" w:ascii="宋体" w:hAnsi="宋体"/>
          <w:szCs w:val="21"/>
        </w:rPr>
        <w:t>、</w:t>
      </w:r>
    </w:p>
    <w:p>
      <w:pPr>
        <w:ind w:firstLine="420" w:firstLineChars="200"/>
        <w:rPr>
          <w:rFonts w:ascii="宋体" w:hAnsi="宋体"/>
          <w:szCs w:val="21"/>
        </w:rPr>
      </w:pPr>
      <w:r>
        <w:rPr>
          <w:rFonts w:hint="eastAsia" w:ascii="宋体" w:hAnsi="宋体"/>
          <w:szCs w:val="21"/>
        </w:rPr>
        <w:t>2、接地电阻值、</w:t>
      </w:r>
    </w:p>
    <w:p>
      <w:pPr>
        <w:ind w:firstLine="420" w:firstLineChars="200"/>
        <w:rPr>
          <w:rFonts w:ascii="宋体" w:hAnsi="宋体"/>
          <w:szCs w:val="21"/>
        </w:rPr>
      </w:pPr>
      <w:r>
        <w:rPr>
          <w:rFonts w:hint="eastAsia" w:ascii="宋体" w:hAnsi="宋体"/>
          <w:szCs w:val="21"/>
        </w:rPr>
        <w:t>3、腐蚀情况。</w:t>
      </w:r>
    </w:p>
    <w:p>
      <w:pPr>
        <w:ind w:firstLine="420" w:firstLineChars="200"/>
        <w:rPr>
          <w:rFonts w:ascii="宋体" w:hAnsi="宋体"/>
          <w:szCs w:val="21"/>
        </w:rPr>
      </w:pPr>
      <w:r>
        <w:rPr>
          <w:rFonts w:hint="eastAsia" w:ascii="宋体" w:hAnsi="宋体"/>
          <w:szCs w:val="21"/>
        </w:rPr>
        <w:t>（八）低压电源系统电涌保护器（</w:t>
      </w:r>
      <w:r>
        <w:rPr>
          <w:rFonts w:ascii="宋体" w:hAnsi="宋体"/>
          <w:szCs w:val="21"/>
        </w:rPr>
        <w:t>SPD</w:t>
      </w:r>
      <w:r>
        <w:rPr>
          <w:rFonts w:hint="eastAsia" w:ascii="宋体" w:hAnsi="宋体"/>
          <w:szCs w:val="21"/>
        </w:rPr>
        <w:t>）检测内容：</w:t>
      </w:r>
    </w:p>
    <w:p>
      <w:pPr>
        <w:ind w:firstLine="420" w:firstLineChars="200"/>
        <w:rPr>
          <w:rFonts w:ascii="宋体" w:hAnsi="宋体"/>
          <w:szCs w:val="21"/>
        </w:rPr>
      </w:pPr>
      <w:r>
        <w:rPr>
          <w:rFonts w:ascii="宋体" w:hAnsi="宋体"/>
          <w:szCs w:val="21"/>
        </w:rPr>
        <w:t>1</w:t>
      </w:r>
      <w:r>
        <w:rPr>
          <w:rFonts w:hint="eastAsia" w:ascii="宋体" w:hAnsi="宋体"/>
          <w:szCs w:val="21"/>
        </w:rPr>
        <w:t>、低压供电线路入户方式（</w:t>
      </w:r>
      <w:r>
        <w:rPr>
          <w:rFonts w:ascii="宋体" w:hAnsi="宋体"/>
          <w:szCs w:val="21"/>
        </w:rPr>
        <w:t>埋地</w:t>
      </w:r>
      <w:r>
        <w:rPr>
          <w:rFonts w:hint="eastAsia" w:ascii="宋体" w:hAnsi="宋体"/>
          <w:szCs w:val="21"/>
        </w:rPr>
        <w:t>或架空）</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、低压供电线路屏蔽情况、</w:t>
      </w:r>
    </w:p>
    <w:p>
      <w:pPr>
        <w:ind w:firstLine="420" w:firstLineChars="200"/>
        <w:rPr>
          <w:rFonts w:ascii="宋体" w:hAnsi="宋体"/>
          <w:szCs w:val="21"/>
        </w:rPr>
      </w:pPr>
      <w:r>
        <w:rPr>
          <w:rFonts w:hint="eastAsia" w:ascii="宋体" w:hAnsi="宋体"/>
          <w:szCs w:val="21"/>
        </w:rPr>
        <w:t>3、低压供电接地制式</w:t>
      </w:r>
    </w:p>
    <w:p>
      <w:pPr>
        <w:ind w:firstLine="420" w:firstLineChars="200"/>
        <w:rPr>
          <w:rFonts w:ascii="宋体" w:hAnsi="宋体"/>
          <w:szCs w:val="21"/>
        </w:rPr>
      </w:pPr>
      <w:r>
        <w:rPr>
          <w:rFonts w:hint="eastAsia" w:ascii="宋体" w:hAnsi="宋体"/>
          <w:szCs w:val="21"/>
        </w:rPr>
        <w:t>4、</w:t>
      </w:r>
      <w:r>
        <w:rPr>
          <w:rFonts w:ascii="宋体" w:hAnsi="宋体"/>
          <w:szCs w:val="21"/>
        </w:rPr>
        <w:t>保护</w:t>
      </w:r>
      <w:r>
        <w:rPr>
          <w:rFonts w:hint="eastAsia" w:ascii="宋体" w:hAnsi="宋体"/>
          <w:szCs w:val="21"/>
        </w:rPr>
        <w:t>级数</w:t>
      </w:r>
    </w:p>
    <w:p>
      <w:pPr>
        <w:ind w:firstLine="420" w:firstLineChars="200"/>
        <w:rPr>
          <w:rFonts w:ascii="宋体" w:hAnsi="宋体"/>
          <w:szCs w:val="21"/>
        </w:rPr>
      </w:pPr>
      <w:r>
        <w:rPr>
          <w:rFonts w:hint="eastAsia" w:ascii="宋体" w:hAnsi="宋体"/>
          <w:szCs w:val="21"/>
        </w:rPr>
        <w:t>5、</w:t>
      </w:r>
      <w:r>
        <w:rPr>
          <w:rFonts w:ascii="宋体" w:hAnsi="宋体"/>
          <w:szCs w:val="21"/>
        </w:rPr>
        <w:t>标称</w:t>
      </w:r>
      <w:r>
        <w:rPr>
          <w:rFonts w:hint="eastAsia" w:ascii="宋体" w:hAnsi="宋体"/>
          <w:szCs w:val="21"/>
        </w:rPr>
        <w:t>参数（</w:t>
      </w:r>
      <w:r>
        <w:rPr>
          <w:rFonts w:ascii="宋体" w:hAnsi="宋体"/>
          <w:szCs w:val="21"/>
        </w:rPr>
        <w:t>SPD</w:t>
      </w:r>
      <w:r>
        <w:rPr>
          <w:rFonts w:hint="eastAsia" w:ascii="宋体" w:hAnsi="宋体"/>
          <w:szCs w:val="21"/>
        </w:rPr>
        <w:t>型号、</w:t>
      </w:r>
      <w:r>
        <w:rPr>
          <w:rFonts w:ascii="宋体" w:hAnsi="宋体"/>
          <w:szCs w:val="21"/>
        </w:rPr>
        <w:t>冲击</w:t>
      </w:r>
      <w:r>
        <w:rPr>
          <w:rFonts w:hint="eastAsia" w:ascii="宋体" w:hAnsi="宋体"/>
          <w:szCs w:val="21"/>
        </w:rPr>
        <w:t>电流、</w:t>
      </w:r>
      <w:r>
        <w:rPr>
          <w:rFonts w:ascii="宋体" w:hAnsi="宋体"/>
          <w:szCs w:val="21"/>
        </w:rPr>
        <w:t>标称</w:t>
      </w:r>
      <w:r>
        <w:rPr>
          <w:rFonts w:hint="eastAsia" w:ascii="宋体" w:hAnsi="宋体"/>
          <w:szCs w:val="21"/>
        </w:rPr>
        <w:t>放电电流、</w:t>
      </w:r>
      <w:r>
        <w:rPr>
          <w:rFonts w:ascii="宋体" w:hAnsi="宋体"/>
          <w:szCs w:val="21"/>
        </w:rPr>
        <w:t>最大</w:t>
      </w:r>
      <w:r>
        <w:rPr>
          <w:rFonts w:hint="eastAsia" w:ascii="宋体" w:hAnsi="宋体"/>
          <w:szCs w:val="21"/>
        </w:rPr>
        <w:t>通流量、</w:t>
      </w:r>
      <w:r>
        <w:rPr>
          <w:rFonts w:ascii="宋体" w:hAnsi="宋体"/>
          <w:szCs w:val="21"/>
        </w:rPr>
        <w:t>保护</w:t>
      </w:r>
      <w:r>
        <w:rPr>
          <w:rFonts w:hint="eastAsia" w:ascii="宋体" w:hAnsi="宋体"/>
          <w:szCs w:val="21"/>
        </w:rPr>
        <w:t>模式、</w:t>
      </w:r>
      <w:r>
        <w:rPr>
          <w:rFonts w:ascii="宋体" w:hAnsi="宋体"/>
          <w:szCs w:val="21"/>
        </w:rPr>
        <w:t>电压</w:t>
      </w:r>
      <w:r>
        <w:rPr>
          <w:rFonts w:hint="eastAsia" w:ascii="宋体" w:hAnsi="宋体"/>
          <w:szCs w:val="21"/>
        </w:rPr>
        <w:t>保护水平、</w:t>
      </w:r>
      <w:r>
        <w:rPr>
          <w:rFonts w:ascii="宋体" w:hAnsi="宋体"/>
          <w:szCs w:val="21"/>
        </w:rPr>
        <w:t>工作</w:t>
      </w:r>
      <w:r>
        <w:rPr>
          <w:rFonts w:hint="eastAsia" w:ascii="宋体" w:hAnsi="宋体"/>
          <w:szCs w:val="21"/>
        </w:rPr>
        <w:t>电压、</w:t>
      </w:r>
      <w:r>
        <w:rPr>
          <w:rFonts w:ascii="宋体" w:hAnsi="宋体"/>
          <w:szCs w:val="21"/>
        </w:rPr>
        <w:t>响应</w:t>
      </w:r>
      <w:r>
        <w:rPr>
          <w:rFonts w:hint="eastAsia" w:ascii="宋体" w:hAnsi="宋体"/>
          <w:szCs w:val="21"/>
        </w:rPr>
        <w:t>时间）</w:t>
      </w:r>
      <w:r>
        <w:rPr>
          <w:rFonts w:ascii="宋体" w:hAnsi="宋体"/>
          <w:szCs w:val="21"/>
        </w:rPr>
        <w:t>、</w:t>
      </w:r>
    </w:p>
    <w:p>
      <w:pPr>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接线</w:t>
      </w:r>
      <w:r>
        <w:rPr>
          <w:rFonts w:hint="eastAsia" w:ascii="宋体" w:hAnsi="宋体"/>
          <w:szCs w:val="21"/>
        </w:rPr>
        <w:t>方式、</w:t>
      </w:r>
    </w:p>
    <w:p>
      <w:pPr>
        <w:ind w:firstLine="420" w:firstLineChars="200"/>
        <w:rPr>
          <w:rFonts w:ascii="宋体" w:hAnsi="宋体"/>
          <w:szCs w:val="21"/>
        </w:rPr>
      </w:pPr>
      <w:r>
        <w:rPr>
          <w:rFonts w:hint="eastAsia" w:ascii="宋体" w:hAnsi="宋体"/>
          <w:szCs w:val="21"/>
        </w:rPr>
        <w:t>7、</w:t>
      </w:r>
      <w:r>
        <w:rPr>
          <w:rFonts w:ascii="宋体" w:hAnsi="宋体"/>
          <w:szCs w:val="21"/>
        </w:rPr>
        <w:t>漏</w:t>
      </w:r>
      <w:r>
        <w:rPr>
          <w:rFonts w:hint="eastAsia" w:ascii="宋体" w:hAnsi="宋体"/>
          <w:szCs w:val="21"/>
        </w:rPr>
        <w:t>电流、</w:t>
      </w:r>
    </w:p>
    <w:p>
      <w:pPr>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rPr>
        <w:t>压敏</w:t>
      </w:r>
      <w:r>
        <w:rPr>
          <w:rFonts w:hint="eastAsia" w:ascii="宋体" w:hAnsi="宋体"/>
          <w:szCs w:val="21"/>
        </w:rPr>
        <w:t>电压、</w:t>
      </w:r>
    </w:p>
    <w:p>
      <w:pPr>
        <w:ind w:firstLine="420" w:firstLineChars="200"/>
        <w:rPr>
          <w:rFonts w:ascii="宋体" w:hAnsi="宋体"/>
          <w:szCs w:val="21"/>
        </w:rPr>
      </w:pPr>
      <w:r>
        <w:rPr>
          <w:rFonts w:hint="eastAsia" w:ascii="宋体" w:hAnsi="宋体"/>
          <w:szCs w:val="21"/>
        </w:rPr>
        <w:t>9、SPD安装位置、</w:t>
      </w:r>
    </w:p>
    <w:p>
      <w:pPr>
        <w:ind w:firstLine="420" w:firstLineChars="200"/>
        <w:rPr>
          <w:rFonts w:ascii="宋体" w:hAnsi="宋体"/>
          <w:szCs w:val="21"/>
        </w:rPr>
      </w:pPr>
      <w:r>
        <w:rPr>
          <w:rFonts w:hint="eastAsia" w:ascii="宋体" w:hAnsi="宋体"/>
          <w:szCs w:val="21"/>
        </w:rPr>
        <w:t>10、SPD两端连接线总长度、</w:t>
      </w:r>
    </w:p>
    <w:p>
      <w:pPr>
        <w:ind w:firstLine="420" w:firstLineChars="200"/>
        <w:rPr>
          <w:rFonts w:ascii="宋体" w:hAnsi="宋体"/>
          <w:szCs w:val="21"/>
        </w:rPr>
      </w:pPr>
      <w:r>
        <w:rPr>
          <w:rFonts w:ascii="宋体" w:hAnsi="宋体"/>
          <w:szCs w:val="21"/>
        </w:rPr>
        <w:t>11</w:t>
      </w:r>
      <w:r>
        <w:rPr>
          <w:rFonts w:hint="eastAsia" w:ascii="宋体" w:hAnsi="宋体"/>
          <w:szCs w:val="21"/>
        </w:rPr>
        <w:t>、SPD接地线规格</w:t>
      </w:r>
    </w:p>
    <w:p>
      <w:pPr>
        <w:ind w:firstLine="420" w:firstLineChars="200"/>
        <w:rPr>
          <w:rFonts w:ascii="宋体" w:hAnsi="宋体"/>
          <w:szCs w:val="21"/>
        </w:rPr>
      </w:pPr>
      <w:r>
        <w:rPr>
          <w:rFonts w:hint="eastAsia" w:ascii="宋体" w:hAnsi="宋体"/>
          <w:szCs w:val="21"/>
        </w:rPr>
        <w:t>12、</w:t>
      </w:r>
      <w:r>
        <w:rPr>
          <w:rFonts w:ascii="宋体" w:hAnsi="宋体"/>
          <w:szCs w:val="21"/>
        </w:rPr>
        <w:t>接地</w:t>
      </w:r>
      <w:r>
        <w:rPr>
          <w:rFonts w:hint="eastAsia" w:ascii="宋体" w:hAnsi="宋体"/>
          <w:szCs w:val="21"/>
        </w:rPr>
        <w:t>电阻、</w:t>
      </w:r>
    </w:p>
    <w:p>
      <w:pPr>
        <w:ind w:firstLine="420" w:firstLineChars="200"/>
        <w:rPr>
          <w:rFonts w:hint="eastAsia" w:ascii="宋体" w:hAnsi="宋体"/>
          <w:szCs w:val="21"/>
        </w:rPr>
      </w:pPr>
      <w:r>
        <w:rPr>
          <w:rFonts w:hint="eastAsia" w:ascii="宋体" w:hAnsi="宋体"/>
          <w:szCs w:val="21"/>
        </w:rPr>
        <w:t>13、</w:t>
      </w:r>
      <w:r>
        <w:rPr>
          <w:rFonts w:ascii="宋体" w:hAnsi="宋体"/>
          <w:szCs w:val="21"/>
        </w:rPr>
        <w:t>质量</w:t>
      </w:r>
      <w:r>
        <w:rPr>
          <w:rFonts w:hint="eastAsia" w:ascii="宋体" w:hAnsi="宋体"/>
          <w:szCs w:val="21"/>
        </w:rPr>
        <w:t>情况。</w:t>
      </w:r>
    </w:p>
    <w:p>
      <w:pPr>
        <w:snapToGrid w:val="0"/>
        <w:spacing w:line="300" w:lineRule="exact"/>
        <w:ind w:right="-84" w:rightChars="-40" w:firstLine="420"/>
        <w:rPr>
          <w:rFonts w:ascii="宋体"/>
          <w:b/>
          <w:bCs/>
          <w:spacing w:val="-2"/>
          <w:szCs w:val="21"/>
        </w:rPr>
      </w:pPr>
      <w:r>
        <w:rPr>
          <w:rFonts w:hint="eastAsia" w:ascii="宋体"/>
          <w:b/>
          <w:bCs/>
          <w:spacing w:val="-2"/>
          <w:szCs w:val="21"/>
        </w:rPr>
        <w:t>五、检测适用标准</w:t>
      </w:r>
    </w:p>
    <w:p>
      <w:pPr>
        <w:snapToGrid w:val="0"/>
        <w:spacing w:line="300" w:lineRule="exact"/>
        <w:ind w:right="-84" w:rightChars="-40" w:firstLine="420"/>
        <w:rPr>
          <w:rFonts w:ascii="宋体"/>
          <w:bCs/>
          <w:spacing w:val="-2"/>
          <w:szCs w:val="21"/>
        </w:rPr>
      </w:pPr>
      <w:r>
        <w:rPr>
          <w:rFonts w:ascii="宋体"/>
          <w:bCs/>
          <w:spacing w:val="-2"/>
          <w:szCs w:val="21"/>
        </w:rPr>
        <w:t>1.</w:t>
      </w:r>
      <w:r>
        <w:rPr>
          <w:rFonts w:hint="eastAsia" w:ascii="宋体"/>
          <w:bCs/>
          <w:spacing w:val="-2"/>
          <w:szCs w:val="21"/>
        </w:rPr>
        <w:t>《建筑物防雷装置检测技术规范》</w:t>
      </w:r>
      <w:r>
        <w:rPr>
          <w:rFonts w:ascii="宋体"/>
          <w:bCs/>
          <w:spacing w:val="-2"/>
          <w:szCs w:val="21"/>
        </w:rPr>
        <w:t>GB/T21431-2015</w:t>
      </w:r>
    </w:p>
    <w:p>
      <w:pPr>
        <w:snapToGrid w:val="0"/>
        <w:spacing w:line="300" w:lineRule="exact"/>
        <w:ind w:right="-84" w:rightChars="-40" w:firstLine="420"/>
        <w:rPr>
          <w:rFonts w:ascii="宋体"/>
          <w:bCs/>
          <w:spacing w:val="-2"/>
          <w:szCs w:val="21"/>
        </w:rPr>
      </w:pPr>
      <w:r>
        <w:rPr>
          <w:rFonts w:ascii="宋体"/>
          <w:bCs/>
          <w:spacing w:val="-2"/>
          <w:szCs w:val="21"/>
        </w:rPr>
        <w:t>2.</w:t>
      </w:r>
      <w:r>
        <w:rPr>
          <w:rFonts w:hint="eastAsia" w:ascii="宋体"/>
          <w:bCs/>
          <w:spacing w:val="-2"/>
          <w:szCs w:val="21"/>
        </w:rPr>
        <w:t>《建筑物防雷设计规范》</w:t>
      </w:r>
      <w:r>
        <w:rPr>
          <w:rFonts w:ascii="宋体"/>
          <w:bCs/>
          <w:spacing w:val="-2"/>
          <w:szCs w:val="21"/>
        </w:rPr>
        <w:t>GB 50057-2010</w:t>
      </w:r>
    </w:p>
    <w:p>
      <w:pPr>
        <w:snapToGrid w:val="0"/>
        <w:spacing w:line="300" w:lineRule="exact"/>
        <w:ind w:right="-84" w:rightChars="-40" w:firstLine="420"/>
        <w:rPr>
          <w:rFonts w:ascii="宋体"/>
          <w:bCs/>
          <w:spacing w:val="-2"/>
          <w:szCs w:val="21"/>
        </w:rPr>
      </w:pPr>
      <w:r>
        <w:rPr>
          <w:rFonts w:ascii="宋体"/>
          <w:bCs/>
          <w:spacing w:val="-2"/>
          <w:szCs w:val="21"/>
        </w:rPr>
        <w:t>3.</w:t>
      </w:r>
      <w:r>
        <w:rPr>
          <w:rFonts w:hint="eastAsia" w:ascii="宋体"/>
          <w:bCs/>
          <w:spacing w:val="-2"/>
          <w:szCs w:val="21"/>
        </w:rPr>
        <w:t>《建筑物电子信息系统防雷技术规范》</w:t>
      </w:r>
      <w:r>
        <w:rPr>
          <w:rFonts w:ascii="宋体"/>
          <w:bCs/>
          <w:spacing w:val="-2"/>
          <w:szCs w:val="21"/>
        </w:rPr>
        <w:t>GB50343-2012</w:t>
      </w:r>
    </w:p>
    <w:p>
      <w:pPr>
        <w:snapToGrid w:val="0"/>
        <w:spacing w:line="300" w:lineRule="exact"/>
        <w:ind w:right="-84" w:rightChars="-40" w:firstLine="420"/>
        <w:rPr>
          <w:rFonts w:ascii="宋体"/>
          <w:bCs/>
          <w:spacing w:val="-2"/>
          <w:szCs w:val="21"/>
        </w:rPr>
      </w:pPr>
      <w:r>
        <w:rPr>
          <w:rFonts w:ascii="宋体"/>
          <w:bCs/>
          <w:spacing w:val="-2"/>
          <w:szCs w:val="21"/>
        </w:rPr>
        <w:t>4.</w:t>
      </w:r>
      <w:r>
        <w:rPr>
          <w:rFonts w:hint="eastAsia" w:ascii="宋体"/>
          <w:bCs/>
          <w:spacing w:val="-2"/>
          <w:szCs w:val="21"/>
        </w:rPr>
        <w:t>《低压配电设计规范》（</w:t>
      </w:r>
      <w:r>
        <w:rPr>
          <w:rFonts w:ascii="宋体"/>
          <w:bCs/>
          <w:spacing w:val="-2"/>
          <w:szCs w:val="21"/>
        </w:rPr>
        <w:t>GB50054-2011</w:t>
      </w:r>
      <w:r>
        <w:rPr>
          <w:rFonts w:hint="eastAsia" w:ascii="宋体"/>
          <w:bCs/>
          <w:spacing w:val="-2"/>
          <w:szCs w:val="21"/>
        </w:rPr>
        <w:t>）</w:t>
      </w:r>
    </w:p>
    <w:p>
      <w:pPr>
        <w:snapToGrid w:val="0"/>
        <w:spacing w:line="300" w:lineRule="exact"/>
        <w:ind w:right="-84" w:rightChars="-40" w:firstLine="420"/>
        <w:rPr>
          <w:rFonts w:ascii="宋体"/>
          <w:bCs/>
          <w:spacing w:val="-2"/>
          <w:szCs w:val="21"/>
        </w:rPr>
      </w:pPr>
      <w:r>
        <w:rPr>
          <w:rFonts w:ascii="宋体"/>
          <w:bCs/>
          <w:spacing w:val="-2"/>
          <w:szCs w:val="21"/>
        </w:rPr>
        <w:t>5.</w:t>
      </w:r>
      <w:r>
        <w:rPr>
          <w:rFonts w:hint="eastAsia" w:ascii="宋体"/>
          <w:bCs/>
          <w:spacing w:val="-2"/>
          <w:szCs w:val="21"/>
        </w:rPr>
        <w:t>《民用建筑电气设计规范》</w:t>
      </w:r>
      <w:r>
        <w:rPr>
          <w:rFonts w:ascii="宋体"/>
          <w:bCs/>
          <w:spacing w:val="-2"/>
          <w:szCs w:val="21"/>
        </w:rPr>
        <w:t>JGJ/T16-92</w:t>
      </w:r>
    </w:p>
    <w:p>
      <w:pPr>
        <w:snapToGrid w:val="0"/>
        <w:spacing w:line="300" w:lineRule="exact"/>
        <w:ind w:right="-84" w:rightChars="-40" w:firstLine="420"/>
        <w:rPr>
          <w:rFonts w:ascii="宋体"/>
          <w:bCs/>
          <w:spacing w:val="-2"/>
          <w:szCs w:val="21"/>
        </w:rPr>
      </w:pPr>
      <w:r>
        <w:rPr>
          <w:rFonts w:ascii="宋体"/>
          <w:bCs/>
          <w:spacing w:val="-2"/>
          <w:szCs w:val="21"/>
        </w:rPr>
        <w:t>6.</w:t>
      </w:r>
      <w:r>
        <w:rPr>
          <w:rFonts w:hint="eastAsia" w:ascii="宋体"/>
          <w:bCs/>
          <w:spacing w:val="-2"/>
          <w:szCs w:val="21"/>
        </w:rPr>
        <w:t>《建筑物防雷设施安全》</w:t>
      </w:r>
      <w:r>
        <w:rPr>
          <w:rFonts w:ascii="宋体"/>
          <w:bCs/>
          <w:spacing w:val="-2"/>
          <w:szCs w:val="21"/>
        </w:rPr>
        <w:t>99D501-1</w:t>
      </w:r>
    </w:p>
    <w:p>
      <w:pPr>
        <w:snapToGrid w:val="0"/>
        <w:spacing w:line="300" w:lineRule="exact"/>
        <w:ind w:right="-84" w:rightChars="-40" w:firstLine="420"/>
        <w:rPr>
          <w:rFonts w:hint="eastAsia" w:ascii="宋体"/>
          <w:bCs/>
          <w:spacing w:val="-2"/>
          <w:szCs w:val="21"/>
        </w:rPr>
      </w:pPr>
      <w:r>
        <w:rPr>
          <w:rFonts w:hint="eastAsia" w:ascii="宋体"/>
          <w:bCs/>
          <w:spacing w:val="-2"/>
          <w:szCs w:val="21"/>
        </w:rPr>
        <w:t>7</w:t>
      </w:r>
      <w:r>
        <w:rPr>
          <w:rFonts w:ascii="宋体"/>
          <w:bCs/>
          <w:spacing w:val="-2"/>
          <w:szCs w:val="21"/>
        </w:rPr>
        <w:t>.</w:t>
      </w:r>
      <w:r>
        <w:rPr>
          <w:rFonts w:hint="eastAsia" w:ascii="宋体"/>
          <w:bCs/>
          <w:spacing w:val="-2"/>
          <w:szCs w:val="21"/>
        </w:rPr>
        <w:t>《建筑物防雷》</w:t>
      </w:r>
      <w:r>
        <w:rPr>
          <w:rFonts w:ascii="宋体"/>
          <w:bCs/>
          <w:spacing w:val="-2"/>
          <w:szCs w:val="21"/>
        </w:rPr>
        <w:t>IEC61024</w:t>
      </w:r>
    </w:p>
    <w:p>
      <w:pPr>
        <w:spacing w:line="276" w:lineRule="auto"/>
        <w:ind w:firstLine="422" w:firstLineChars="200"/>
        <w:outlineLvl w:val="1"/>
        <w:rPr>
          <w:rFonts w:ascii="宋体" w:hAnsi="宋体"/>
          <w:b/>
          <w:bCs/>
          <w:szCs w:val="21"/>
        </w:rPr>
      </w:pPr>
      <w:r>
        <w:rPr>
          <w:rFonts w:hint="eastAsia" w:ascii="宋体" w:hAnsi="宋体"/>
          <w:b/>
          <w:bCs/>
          <w:szCs w:val="21"/>
        </w:rPr>
        <w:t>六、项目管理及安排要求</w:t>
      </w:r>
    </w:p>
    <w:p>
      <w:pPr>
        <w:snapToGrid w:val="0"/>
        <w:spacing w:line="300" w:lineRule="exact"/>
        <w:ind w:right="-84" w:rightChars="-40" w:firstLine="420"/>
        <w:rPr>
          <w:rFonts w:ascii="宋体"/>
          <w:bCs/>
          <w:spacing w:val="-2"/>
          <w:szCs w:val="21"/>
        </w:rPr>
      </w:pPr>
      <w:r>
        <w:rPr>
          <w:rFonts w:hint="eastAsia" w:ascii="宋体"/>
          <w:bCs/>
          <w:spacing w:val="-2"/>
          <w:szCs w:val="21"/>
        </w:rPr>
        <w:t>1.为了配合甲方的项目需要，乙方需指派充足的防雷专业技术人员落实现场检测服务工作。</w:t>
      </w:r>
    </w:p>
    <w:p>
      <w:pPr>
        <w:snapToGrid w:val="0"/>
        <w:spacing w:line="300" w:lineRule="exact"/>
        <w:ind w:right="-84" w:rightChars="-40" w:firstLine="420"/>
        <w:rPr>
          <w:rFonts w:ascii="宋体"/>
          <w:bCs/>
          <w:spacing w:val="-2"/>
          <w:szCs w:val="21"/>
        </w:rPr>
      </w:pPr>
      <w:r>
        <w:rPr>
          <w:rFonts w:hint="eastAsia" w:ascii="宋体"/>
          <w:bCs/>
          <w:spacing w:val="-2"/>
          <w:szCs w:val="21"/>
        </w:rPr>
        <w:t>2.乙方必须接受甲方的监督管理，现场检测服务工作过程中，乙方技术服务人员对甲方检测服务要求应及时回应。</w:t>
      </w:r>
    </w:p>
    <w:p>
      <w:pPr>
        <w:snapToGrid w:val="0"/>
        <w:spacing w:line="300" w:lineRule="exact"/>
        <w:ind w:right="-84" w:rightChars="-40" w:firstLine="420"/>
        <w:rPr>
          <w:rFonts w:hint="eastAsia" w:ascii="宋体"/>
          <w:bCs/>
          <w:spacing w:val="-2"/>
          <w:szCs w:val="21"/>
        </w:rPr>
      </w:pPr>
      <w:r>
        <w:rPr>
          <w:rFonts w:hint="eastAsia" w:ascii="宋体"/>
          <w:bCs/>
          <w:spacing w:val="-2"/>
          <w:szCs w:val="21"/>
        </w:rPr>
        <w:t>3.乙方必须按照标的项目所在地安全生产监管要求，落实现场检测工作的安全生产主体责任，制定相应的安全生产管理制度并配备专人管理，严防安全生产责任事故发生。</w:t>
      </w:r>
    </w:p>
    <w:p>
      <w:pPr>
        <w:snapToGrid w:val="0"/>
        <w:spacing w:line="300" w:lineRule="exact"/>
        <w:ind w:right="-84" w:rightChars="-40" w:firstLine="420"/>
        <w:rPr>
          <w:rFonts w:ascii="宋体"/>
          <w:bCs/>
          <w:spacing w:val="-2"/>
          <w:szCs w:val="21"/>
        </w:rPr>
      </w:pPr>
      <w:r>
        <w:rPr>
          <w:rFonts w:hint="eastAsia" w:ascii="宋体"/>
          <w:bCs/>
          <w:spacing w:val="-2"/>
          <w:szCs w:val="21"/>
        </w:rPr>
        <w:t>4.由于乙方检测质量达不到标准或相关规范要求而导致甲方设施损坏或人员受伤的，乙方须按照情况承担全部相应责任以及赔偿甲方相应的经济损失。</w:t>
      </w:r>
    </w:p>
    <w:p>
      <w:pPr>
        <w:snapToGrid w:val="0"/>
        <w:spacing w:line="300" w:lineRule="exact"/>
        <w:ind w:right="-84" w:rightChars="-40" w:firstLine="412" w:firstLineChars="200"/>
        <w:rPr>
          <w:rFonts w:hint="eastAsia" w:ascii="宋体"/>
          <w:bCs/>
          <w:spacing w:val="-2"/>
          <w:szCs w:val="21"/>
        </w:rPr>
      </w:pPr>
      <w:r>
        <w:rPr>
          <w:rFonts w:hint="eastAsia" w:ascii="宋体"/>
          <w:bCs/>
          <w:spacing w:val="-2"/>
          <w:szCs w:val="21"/>
        </w:rPr>
        <w:t>5</w:t>
      </w:r>
      <w:r>
        <w:rPr>
          <w:rFonts w:ascii="宋体"/>
          <w:bCs/>
          <w:spacing w:val="-2"/>
          <w:szCs w:val="21"/>
        </w:rPr>
        <w:t>.</w:t>
      </w:r>
      <w:r>
        <w:rPr>
          <w:rFonts w:hint="eastAsia" w:ascii="宋体"/>
          <w:bCs/>
          <w:spacing w:val="-2"/>
          <w:szCs w:val="21"/>
        </w:rPr>
        <w:t>乙方负责其派出的检测服务人员人身意外保险。</w:t>
      </w:r>
    </w:p>
    <w:p>
      <w:pPr>
        <w:snapToGrid w:val="0"/>
        <w:spacing w:line="300" w:lineRule="exact"/>
        <w:ind w:right="-84" w:rightChars="-40" w:firstLine="420"/>
        <w:rPr>
          <w:rFonts w:ascii="宋体"/>
          <w:bCs/>
          <w:spacing w:val="-2"/>
          <w:szCs w:val="21"/>
        </w:rPr>
      </w:pPr>
      <w:r>
        <w:rPr>
          <w:rFonts w:hint="eastAsia" w:ascii="宋体"/>
          <w:bCs/>
          <w:spacing w:val="-2"/>
          <w:szCs w:val="21"/>
        </w:rPr>
        <w:t>6</w:t>
      </w:r>
      <w:r>
        <w:rPr>
          <w:rFonts w:ascii="宋体"/>
          <w:bCs/>
          <w:spacing w:val="-2"/>
          <w:szCs w:val="21"/>
        </w:rPr>
        <w:t>.</w:t>
      </w:r>
      <w:r>
        <w:rPr>
          <w:rFonts w:hint="eastAsia" w:ascii="宋体"/>
          <w:bCs/>
          <w:spacing w:val="-2"/>
          <w:szCs w:val="21"/>
        </w:rPr>
        <w:t>质量要求：合格。保证作出的检测结论符合国标、部颁标准以及相关的国际标准。</w:t>
      </w:r>
    </w:p>
    <w:p>
      <w:pPr>
        <w:snapToGrid w:val="0"/>
        <w:spacing w:line="300" w:lineRule="exact"/>
        <w:ind w:right="-84" w:rightChars="-40" w:firstLine="420"/>
        <w:rPr>
          <w:rFonts w:hint="eastAsia" w:ascii="宋体"/>
          <w:bCs/>
          <w:spacing w:val="-2"/>
          <w:szCs w:val="21"/>
        </w:rPr>
      </w:pPr>
      <w:r>
        <w:rPr>
          <w:rFonts w:hint="eastAsia" w:ascii="宋体"/>
          <w:bCs/>
          <w:spacing w:val="-2"/>
          <w:szCs w:val="21"/>
        </w:rPr>
        <w:t>7</w:t>
      </w:r>
      <w:r>
        <w:rPr>
          <w:rFonts w:ascii="宋体"/>
          <w:bCs/>
          <w:spacing w:val="-2"/>
          <w:szCs w:val="21"/>
        </w:rPr>
        <w:t>.</w:t>
      </w:r>
      <w:r>
        <w:rPr>
          <w:rFonts w:hint="eastAsia" w:ascii="宋体"/>
          <w:bCs/>
          <w:spacing w:val="-2"/>
          <w:szCs w:val="21"/>
        </w:rPr>
        <w:t>乙方要确保作出检测结论的防雷装置正常使用，不合格的建筑物及防雷装置根据整改意见整改后正常使用。</w:t>
      </w:r>
    </w:p>
    <w:p>
      <w:pPr>
        <w:snapToGrid w:val="0"/>
        <w:spacing w:line="300" w:lineRule="exact"/>
        <w:ind w:right="-84" w:rightChars="-40" w:firstLine="420"/>
        <w:rPr>
          <w:rFonts w:ascii="宋体"/>
          <w:bCs/>
          <w:spacing w:val="-2"/>
          <w:szCs w:val="21"/>
        </w:rPr>
      </w:pPr>
      <w:r>
        <w:rPr>
          <w:rFonts w:hint="eastAsia" w:ascii="宋体"/>
          <w:bCs/>
          <w:spacing w:val="-2"/>
          <w:szCs w:val="21"/>
        </w:rPr>
        <w:t>8.项目验收：在所有服务项目完成后，可提请甲方验收。由乙方与甲方共同验收，甲方在验收记录上签署验收意见。</w:t>
      </w:r>
    </w:p>
    <w:p>
      <w:pPr>
        <w:snapToGrid w:val="0"/>
        <w:spacing w:line="300" w:lineRule="exact"/>
        <w:ind w:right="-84" w:rightChars="-40" w:firstLine="420"/>
        <w:rPr>
          <w:rFonts w:hint="eastAsia" w:ascii="宋体"/>
          <w:bCs/>
          <w:spacing w:val="-2"/>
          <w:szCs w:val="21"/>
        </w:rPr>
      </w:pPr>
      <w:r>
        <w:rPr>
          <w:rFonts w:hint="eastAsia" w:ascii="宋体"/>
          <w:bCs/>
          <w:spacing w:val="-2"/>
          <w:szCs w:val="21"/>
        </w:rPr>
        <w:t>9.乙方必须确保在规定时间内完成甲方服务内容，否则所造成的一切损失均由乙方负责承担。</w:t>
      </w:r>
    </w:p>
    <w:p>
      <w:pPr>
        <w:spacing w:line="276" w:lineRule="auto"/>
        <w:ind w:firstLine="422" w:firstLineChars="200"/>
        <w:outlineLvl w:val="1"/>
        <w:rPr>
          <w:rFonts w:ascii="宋体" w:hAnsi="宋体"/>
          <w:b/>
          <w:bCs/>
          <w:szCs w:val="21"/>
        </w:rPr>
      </w:pPr>
      <w:r>
        <w:rPr>
          <w:rFonts w:hint="eastAsia" w:ascii="宋体" w:hAnsi="宋体"/>
          <w:b/>
          <w:bCs/>
          <w:szCs w:val="21"/>
        </w:rPr>
        <w:t>七、付款方式：</w:t>
      </w:r>
    </w:p>
    <w:p>
      <w:pPr>
        <w:snapToGrid w:val="0"/>
        <w:spacing w:line="300" w:lineRule="exact"/>
        <w:ind w:right="-84" w:rightChars="-40" w:firstLine="420"/>
        <w:rPr>
          <w:rFonts w:ascii="宋体"/>
          <w:bCs/>
          <w:spacing w:val="-2"/>
          <w:szCs w:val="21"/>
        </w:rPr>
      </w:pPr>
      <w:r>
        <w:rPr>
          <w:rFonts w:hint="eastAsia" w:ascii="宋体"/>
          <w:bCs/>
          <w:spacing w:val="-2"/>
          <w:szCs w:val="21"/>
        </w:rPr>
        <w:t>由甲方按下列程序付款：</w:t>
      </w:r>
    </w:p>
    <w:p>
      <w:pPr>
        <w:snapToGrid w:val="0"/>
        <w:spacing w:line="300" w:lineRule="exact"/>
        <w:ind w:right="-84" w:rightChars="-40" w:firstLine="420"/>
        <w:rPr>
          <w:rFonts w:ascii="宋体"/>
          <w:bCs/>
          <w:spacing w:val="-2"/>
          <w:szCs w:val="21"/>
        </w:rPr>
      </w:pPr>
      <w:r>
        <w:rPr>
          <w:rFonts w:hint="eastAsia" w:ascii="宋体"/>
          <w:bCs/>
          <w:spacing w:val="-2"/>
          <w:szCs w:val="21"/>
        </w:rPr>
        <w:t>1.检测费用分两期支付：服务协议签订后</w:t>
      </w:r>
      <w:r>
        <w:rPr>
          <w:rFonts w:ascii="宋体"/>
          <w:bCs/>
          <w:spacing w:val="-2"/>
          <w:szCs w:val="21"/>
        </w:rPr>
        <w:t>10</w:t>
      </w:r>
      <w:r>
        <w:rPr>
          <w:rFonts w:hint="eastAsia" w:ascii="宋体"/>
          <w:bCs/>
          <w:spacing w:val="-2"/>
          <w:szCs w:val="21"/>
        </w:rPr>
        <w:t>个工作日内，支付合同额的</w:t>
      </w:r>
      <w:r>
        <w:rPr>
          <w:rFonts w:ascii="宋体"/>
          <w:bCs/>
          <w:spacing w:val="-2"/>
          <w:szCs w:val="21"/>
        </w:rPr>
        <w:t>50%</w:t>
      </w:r>
      <w:r>
        <w:rPr>
          <w:rFonts w:hint="eastAsia" w:ascii="宋体"/>
          <w:bCs/>
          <w:spacing w:val="-2"/>
          <w:szCs w:val="21"/>
        </w:rPr>
        <w:t>；于检测报告完成并交付甲方后支付合同额的</w:t>
      </w:r>
      <w:r>
        <w:rPr>
          <w:rFonts w:ascii="宋体"/>
          <w:bCs/>
          <w:spacing w:val="-2"/>
          <w:szCs w:val="21"/>
        </w:rPr>
        <w:t>50%</w:t>
      </w:r>
      <w:r>
        <w:rPr>
          <w:rFonts w:hint="eastAsia" w:ascii="宋体"/>
          <w:bCs/>
          <w:spacing w:val="-2"/>
          <w:szCs w:val="21"/>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snapToGrid w:val="0"/>
        <w:spacing w:line="300" w:lineRule="exact"/>
        <w:ind w:right="-84" w:rightChars="-40" w:firstLine="420"/>
        <w:rPr>
          <w:rFonts w:ascii="宋体"/>
          <w:bCs/>
          <w:spacing w:val="-2"/>
          <w:szCs w:val="21"/>
        </w:rPr>
      </w:pPr>
      <w:r>
        <w:rPr>
          <w:rFonts w:hint="eastAsia" w:ascii="宋体"/>
          <w:bCs/>
          <w:spacing w:val="-2"/>
          <w:szCs w:val="21"/>
        </w:rPr>
        <w:t>2.乙方凭以下有效文件与甲方结算：</w:t>
      </w:r>
    </w:p>
    <w:p>
      <w:pPr>
        <w:snapToGrid w:val="0"/>
        <w:spacing w:line="300" w:lineRule="exact"/>
        <w:ind w:right="-84" w:rightChars="-40" w:firstLine="420"/>
        <w:rPr>
          <w:rFonts w:ascii="宋体"/>
          <w:bCs/>
          <w:spacing w:val="-2"/>
          <w:szCs w:val="21"/>
        </w:rPr>
      </w:pPr>
      <w:r>
        <w:rPr>
          <w:rFonts w:hint="eastAsia" w:ascii="宋体"/>
          <w:bCs/>
          <w:spacing w:val="-2"/>
          <w:szCs w:val="21"/>
        </w:rPr>
        <w:t>（</w:t>
      </w:r>
      <w:r>
        <w:rPr>
          <w:rFonts w:ascii="宋体"/>
          <w:bCs/>
          <w:spacing w:val="-2"/>
          <w:szCs w:val="21"/>
        </w:rPr>
        <w:t>1</w:t>
      </w:r>
      <w:r>
        <w:rPr>
          <w:rFonts w:hint="eastAsia" w:ascii="宋体"/>
          <w:bCs/>
          <w:spacing w:val="-2"/>
          <w:szCs w:val="21"/>
        </w:rPr>
        <w:t>）合同；</w:t>
      </w:r>
    </w:p>
    <w:p>
      <w:pPr>
        <w:snapToGrid w:val="0"/>
        <w:spacing w:line="300" w:lineRule="exact"/>
        <w:ind w:right="-84" w:rightChars="-40" w:firstLine="420"/>
        <w:rPr>
          <w:rFonts w:ascii="宋体"/>
          <w:bCs/>
          <w:spacing w:val="-2"/>
          <w:szCs w:val="21"/>
        </w:rPr>
      </w:pPr>
      <w:r>
        <w:rPr>
          <w:rFonts w:hint="eastAsia" w:ascii="宋体"/>
          <w:bCs/>
          <w:spacing w:val="-2"/>
          <w:szCs w:val="21"/>
        </w:rPr>
        <w:t>（</w:t>
      </w:r>
      <w:r>
        <w:rPr>
          <w:rFonts w:ascii="宋体"/>
          <w:bCs/>
          <w:spacing w:val="-2"/>
          <w:szCs w:val="21"/>
        </w:rPr>
        <w:t>2</w:t>
      </w:r>
      <w:r>
        <w:rPr>
          <w:rFonts w:hint="eastAsia" w:ascii="宋体"/>
          <w:bCs/>
          <w:spacing w:val="-2"/>
          <w:szCs w:val="21"/>
        </w:rPr>
        <w:t>）乙方开具的正式发票；</w:t>
      </w:r>
    </w:p>
    <w:p>
      <w:pPr>
        <w:snapToGrid w:val="0"/>
        <w:spacing w:line="300" w:lineRule="exact"/>
        <w:ind w:right="-84" w:rightChars="-40" w:firstLine="420"/>
        <w:rPr>
          <w:rFonts w:ascii="宋体"/>
          <w:bCs/>
          <w:spacing w:val="-2"/>
          <w:szCs w:val="21"/>
        </w:rPr>
      </w:pPr>
      <w:r>
        <w:rPr>
          <w:rFonts w:hint="eastAsia" w:ascii="宋体"/>
          <w:bCs/>
          <w:spacing w:val="-2"/>
          <w:szCs w:val="21"/>
        </w:rPr>
        <w:t>（</w:t>
      </w:r>
      <w:r>
        <w:rPr>
          <w:rFonts w:ascii="宋体"/>
          <w:bCs/>
          <w:spacing w:val="-2"/>
          <w:szCs w:val="21"/>
        </w:rPr>
        <w:t>3</w:t>
      </w:r>
      <w:r>
        <w:rPr>
          <w:rFonts w:hint="eastAsia" w:ascii="宋体"/>
          <w:bCs/>
          <w:spacing w:val="-2"/>
          <w:szCs w:val="21"/>
        </w:rPr>
        <w:t>）经双方同意确认的项目结算报告（应包括：本项目概况、本项目管理架构、本项目完成的工作量、检测报告样例等内容）；</w:t>
      </w:r>
    </w:p>
    <w:p>
      <w:pPr>
        <w:snapToGrid w:val="0"/>
        <w:spacing w:line="300" w:lineRule="exact"/>
        <w:ind w:right="-84" w:rightChars="-40" w:firstLine="420"/>
        <w:rPr>
          <w:rFonts w:hint="eastAsia" w:ascii="宋体"/>
          <w:bCs/>
          <w:spacing w:val="-2"/>
          <w:szCs w:val="21"/>
        </w:rPr>
      </w:pPr>
      <w:r>
        <w:rPr>
          <w:rFonts w:hint="eastAsia" w:ascii="宋体"/>
          <w:bCs/>
          <w:spacing w:val="-2"/>
          <w:szCs w:val="21"/>
        </w:rPr>
        <w:t>（</w:t>
      </w:r>
      <w:r>
        <w:rPr>
          <w:rFonts w:ascii="宋体"/>
          <w:bCs/>
          <w:spacing w:val="-2"/>
          <w:szCs w:val="21"/>
        </w:rPr>
        <w:t>4</w:t>
      </w:r>
      <w:r>
        <w:rPr>
          <w:rFonts w:hint="eastAsia" w:ascii="宋体"/>
          <w:bCs/>
          <w:spacing w:val="-2"/>
          <w:szCs w:val="21"/>
        </w:rPr>
        <w:t>）中标通知书。</w:t>
      </w:r>
    </w:p>
    <w:p>
      <w:pPr>
        <w:spacing w:line="276" w:lineRule="auto"/>
        <w:ind w:firstLine="422" w:firstLineChars="200"/>
        <w:rPr>
          <w:rFonts w:hint="eastAsia" w:ascii="宋体" w:hAnsi="宋体"/>
          <w:b/>
          <w:highlight w:val="yellow"/>
        </w:rPr>
      </w:pPr>
      <w:r>
        <w:rPr>
          <w:rFonts w:hint="eastAsia" w:ascii="宋体" w:hAnsi="宋体"/>
          <w:b/>
          <w:szCs w:val="21"/>
          <w:highlight w:val="yellow"/>
        </w:rPr>
        <w:t>八、</w:t>
      </w:r>
      <w:r>
        <w:rPr>
          <w:rFonts w:hint="eastAsia" w:ascii="宋体" w:hAnsi="宋体"/>
          <w:b/>
          <w:highlight w:val="yellow"/>
        </w:rPr>
        <w:t>违约责任与赔偿损失</w:t>
      </w:r>
    </w:p>
    <w:p>
      <w:pPr>
        <w:snapToGrid w:val="0"/>
        <w:spacing w:line="300" w:lineRule="exact"/>
        <w:ind w:right="-84" w:rightChars="-40" w:firstLine="420"/>
        <w:rPr>
          <w:rFonts w:hint="eastAsia" w:ascii="宋体"/>
          <w:bCs/>
          <w:spacing w:val="-2"/>
          <w:szCs w:val="21"/>
        </w:rPr>
      </w:pPr>
      <w:r>
        <w:rPr>
          <w:rFonts w:hint="eastAsia" w:ascii="宋体"/>
          <w:bCs/>
          <w:spacing w:val="-2"/>
          <w:szCs w:val="21"/>
        </w:rPr>
        <w:t>为了保证服务质量，如果乙方未能满足服务要求，则甲方有权从合同中扣除罚金，甚至终止合同。</w:t>
      </w:r>
    </w:p>
    <w:p>
      <w:pPr>
        <w:snapToGrid w:val="0"/>
        <w:spacing w:line="300" w:lineRule="exact"/>
        <w:ind w:right="-84" w:rightChars="-40" w:firstLine="420"/>
        <w:rPr>
          <w:rFonts w:ascii="宋体"/>
          <w:bCs/>
          <w:spacing w:val="-2"/>
          <w:szCs w:val="21"/>
        </w:rPr>
      </w:pPr>
      <w:r>
        <w:rPr>
          <w:rFonts w:hint="eastAsia" w:ascii="宋体"/>
          <w:bCs/>
          <w:spacing w:val="-2"/>
          <w:szCs w:val="21"/>
        </w:rPr>
        <w:t>标准罚金为合同总额的</w:t>
      </w:r>
      <w:r>
        <w:rPr>
          <w:rFonts w:ascii="宋体"/>
          <w:bCs/>
          <w:spacing w:val="-2"/>
          <w:szCs w:val="21"/>
        </w:rPr>
        <w:t>1%</w:t>
      </w:r>
      <w:r>
        <w:rPr>
          <w:rFonts w:hint="eastAsia" w:ascii="宋体"/>
          <w:bCs/>
          <w:spacing w:val="-2"/>
          <w:szCs w:val="21"/>
        </w:rPr>
        <w:t>。</w:t>
      </w:r>
    </w:p>
    <w:p>
      <w:pPr>
        <w:snapToGrid w:val="0"/>
        <w:spacing w:line="300" w:lineRule="exact"/>
        <w:ind w:right="-84" w:rightChars="-40" w:firstLine="420"/>
        <w:rPr>
          <w:rFonts w:ascii="宋体"/>
          <w:bCs/>
          <w:spacing w:val="-2"/>
          <w:szCs w:val="21"/>
        </w:rPr>
      </w:pPr>
      <w:r>
        <w:rPr>
          <w:rFonts w:hint="eastAsia" w:ascii="宋体"/>
          <w:bCs/>
          <w:spacing w:val="-2"/>
          <w:szCs w:val="21"/>
        </w:rPr>
        <w:t>1.如果乙方没有按照规定的时间和质量完成检测工作，则从合同中扣减</w:t>
      </w:r>
      <w:r>
        <w:rPr>
          <w:rFonts w:ascii="宋体"/>
          <w:bCs/>
          <w:spacing w:val="-2"/>
          <w:szCs w:val="21"/>
        </w:rPr>
        <w:t>2</w:t>
      </w:r>
      <w:r>
        <w:rPr>
          <w:rFonts w:hint="eastAsia" w:ascii="宋体"/>
          <w:bCs/>
          <w:spacing w:val="-2"/>
          <w:szCs w:val="21"/>
        </w:rPr>
        <w:t>倍标准罚金，出现不可抗力的因素除外。</w:t>
      </w:r>
    </w:p>
    <w:p>
      <w:pPr>
        <w:snapToGrid w:val="0"/>
        <w:spacing w:line="300" w:lineRule="exact"/>
        <w:ind w:right="-84" w:rightChars="-40" w:firstLine="420"/>
        <w:rPr>
          <w:rFonts w:ascii="宋体"/>
          <w:bCs/>
          <w:spacing w:val="-2"/>
          <w:szCs w:val="21"/>
        </w:rPr>
      </w:pPr>
      <w:r>
        <w:rPr>
          <w:rFonts w:hint="eastAsia" w:ascii="宋体"/>
          <w:bCs/>
          <w:spacing w:val="-2"/>
          <w:szCs w:val="21"/>
        </w:rPr>
        <w:t>2.如果乙方对检测项目降低技术标准或者弄虚作假，向甲方提供虚假的防雷装置检测报告，对甲方生产、经营、管理产生负面影响的，甲方有权终止合同，且向乙方索赔。</w:t>
      </w:r>
    </w:p>
    <w:p>
      <w:pPr>
        <w:snapToGrid w:val="0"/>
        <w:spacing w:line="300" w:lineRule="exact"/>
        <w:ind w:right="-84" w:rightChars="-40" w:firstLine="420"/>
        <w:rPr>
          <w:rFonts w:hint="eastAsia" w:ascii="宋体"/>
          <w:bCs/>
          <w:spacing w:val="-2"/>
          <w:szCs w:val="21"/>
        </w:rPr>
      </w:pPr>
      <w:r>
        <w:rPr>
          <w:rFonts w:hint="eastAsia" w:ascii="宋体"/>
          <w:bCs/>
          <w:spacing w:val="-2"/>
          <w:szCs w:val="21"/>
        </w:rPr>
        <w:t>3.如果乙方在履约过程中因管理不当而发生安全生产责任事故，其责任由乙方承担。当事故对甲方造成不良影响时，甲方有权终止合同，并保留依法追诉权利，具体情况在合同签订时另行约定。</w:t>
      </w:r>
    </w:p>
    <w:p>
      <w:pPr>
        <w:spacing w:line="276" w:lineRule="auto"/>
        <w:ind w:firstLine="420" w:firstLineChars="200"/>
        <w:rPr>
          <w:rFonts w:hint="eastAsia" w:ascii="宋体" w:hAnsi="宋体" w:cs="Calibri"/>
          <w:szCs w:val="21"/>
          <w:highlight w:val="yellow"/>
        </w:rPr>
      </w:pPr>
      <w:r>
        <w:rPr>
          <w:rFonts w:hint="eastAsia" w:ascii="宋体" w:hAnsi="宋体" w:cs="Calibri"/>
          <w:szCs w:val="21"/>
          <w:highlight w:val="yellow"/>
        </w:rPr>
        <w:t>4.乙方提供的服务不符合采购文件、报价文件或本合同规定的，甲方有权拒收，并且乙方须向甲方支付本合同总价5%的违约金。</w:t>
      </w:r>
    </w:p>
    <w:p>
      <w:pPr>
        <w:spacing w:line="276" w:lineRule="auto"/>
        <w:ind w:firstLine="420" w:firstLineChars="200"/>
        <w:rPr>
          <w:rFonts w:hint="eastAsia" w:ascii="宋体" w:hAnsi="宋体" w:cs="Calibri"/>
          <w:szCs w:val="21"/>
          <w:highlight w:val="yellow"/>
        </w:rPr>
      </w:pPr>
      <w:r>
        <w:rPr>
          <w:rFonts w:hint="eastAsia" w:ascii="宋体" w:hAnsi="宋体" w:cs="Calibri"/>
          <w:szCs w:val="21"/>
          <w:highlight w:val="yellow"/>
        </w:rPr>
        <w:t>5.乙方未能按本合同规定的交货时间提供服务，从逾期之日起每日按本合同总价3‰的数额向甲方支付违约金；逾期半个月以上的，甲方有权终止合同，由此造成的甲方经济损失由乙方承担。</w:t>
      </w:r>
    </w:p>
    <w:p>
      <w:pPr>
        <w:spacing w:line="276" w:lineRule="auto"/>
        <w:ind w:firstLine="420" w:firstLineChars="200"/>
        <w:rPr>
          <w:rFonts w:hint="eastAsia" w:ascii="宋体" w:hAnsi="宋体" w:cs="Calibri"/>
          <w:szCs w:val="21"/>
          <w:highlight w:val="yellow"/>
        </w:rPr>
      </w:pPr>
      <w:r>
        <w:rPr>
          <w:rFonts w:hint="eastAsia" w:ascii="宋体" w:hAnsi="宋体" w:cs="Calibri"/>
          <w:szCs w:val="21"/>
          <w:highlight w:val="yellow"/>
        </w:rPr>
        <w:t>6.甲方无正当理由拒收接受服务，到期拒付服务款项的，甲方向乙方偿付本合同总的5%的违约金。甲方人逾期付款，则每日按本合同总价的3‰向乙方偿付违约金。</w:t>
      </w:r>
    </w:p>
    <w:p>
      <w:pPr>
        <w:spacing w:line="276" w:lineRule="auto"/>
        <w:ind w:firstLine="420" w:firstLineChars="200"/>
        <w:rPr>
          <w:rFonts w:hint="eastAsia" w:ascii="宋体" w:hAnsi="宋体" w:cs="Calibri"/>
          <w:szCs w:val="21"/>
        </w:rPr>
      </w:pPr>
      <w:r>
        <w:rPr>
          <w:rFonts w:hint="eastAsia" w:ascii="宋体" w:hAnsi="宋体" w:cs="Calibri"/>
          <w:szCs w:val="21"/>
          <w:highlight w:val="yellow"/>
        </w:rPr>
        <w:t>7.违约责任按《中华人民共和国合同法》处理。</w:t>
      </w:r>
    </w:p>
    <w:p>
      <w:pPr>
        <w:spacing w:line="276" w:lineRule="auto"/>
        <w:ind w:firstLine="422" w:firstLineChars="200"/>
        <w:rPr>
          <w:rFonts w:ascii="宋体" w:hAnsi="宋体" w:cs="Calibri"/>
          <w:szCs w:val="21"/>
        </w:rPr>
      </w:pPr>
      <w:r>
        <w:rPr>
          <w:rFonts w:hint="eastAsia" w:ascii="宋体" w:hAnsi="宋体"/>
          <w:b/>
          <w:szCs w:val="21"/>
        </w:rPr>
        <w:t>九、争议的解决</w:t>
      </w:r>
    </w:p>
    <w:p>
      <w:pPr>
        <w:spacing w:line="276" w:lineRule="auto"/>
        <w:ind w:firstLine="420" w:firstLineChars="200"/>
        <w:rPr>
          <w:rFonts w:ascii="宋体" w:hAnsi="宋体"/>
          <w:szCs w:val="21"/>
        </w:rPr>
      </w:pPr>
      <w:r>
        <w:rPr>
          <w:rFonts w:hint="eastAsia" w:ascii="宋体" w:hAnsi="宋体"/>
          <w:szCs w:val="21"/>
        </w:rPr>
        <w:t>在履行合同中发生争议的，双方</w:t>
      </w:r>
      <w:r>
        <w:rPr>
          <w:rFonts w:ascii="宋体" w:hAnsi="宋体"/>
          <w:szCs w:val="21"/>
        </w:rPr>
        <w:t>应当协商解决，</w:t>
      </w:r>
      <w:r>
        <w:rPr>
          <w:rFonts w:hint="eastAsia" w:ascii="宋体" w:hAnsi="宋体"/>
          <w:szCs w:val="21"/>
        </w:rPr>
        <w:t>协商不</w:t>
      </w:r>
      <w:r>
        <w:rPr>
          <w:rFonts w:ascii="宋体" w:hAnsi="宋体"/>
          <w:szCs w:val="21"/>
        </w:rPr>
        <w:t>成</w:t>
      </w:r>
      <w:r>
        <w:rPr>
          <w:rFonts w:hint="eastAsia" w:ascii="宋体" w:hAnsi="宋体"/>
          <w:szCs w:val="21"/>
        </w:rPr>
        <w:t>时</w:t>
      </w:r>
      <w:r>
        <w:rPr>
          <w:rFonts w:ascii="宋体" w:hAnsi="宋体"/>
          <w:szCs w:val="21"/>
        </w:rPr>
        <w:t>，可提交主管部门协调，仍不能达成一致时，提交</w:t>
      </w:r>
      <w:r>
        <w:rPr>
          <w:rFonts w:hint="eastAsia" w:ascii="宋体" w:hAnsi="宋体"/>
          <w:szCs w:val="21"/>
        </w:rPr>
        <w:t>广州仲裁机构仲裁。</w:t>
      </w:r>
    </w:p>
    <w:p>
      <w:pPr>
        <w:spacing w:line="276" w:lineRule="auto"/>
        <w:ind w:firstLine="413" w:firstLineChars="196"/>
        <w:rPr>
          <w:rFonts w:hint="eastAsia" w:ascii="宋体" w:hAnsi="宋体"/>
          <w:b/>
          <w:szCs w:val="21"/>
        </w:rPr>
      </w:pPr>
      <w:r>
        <w:rPr>
          <w:rFonts w:hint="eastAsia" w:ascii="宋体" w:hAnsi="宋体"/>
          <w:b/>
          <w:szCs w:val="21"/>
        </w:rPr>
        <w:t>十、不可抗力</w:t>
      </w:r>
    </w:p>
    <w:p>
      <w:pPr>
        <w:spacing w:line="276" w:lineRule="auto"/>
        <w:ind w:firstLine="411" w:firstLineChars="196"/>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补充合同，并根据情况可部分或全部免于承担违约责任。</w:t>
      </w:r>
    </w:p>
    <w:p>
      <w:pPr>
        <w:spacing w:line="276" w:lineRule="auto"/>
        <w:ind w:firstLine="422" w:firstLineChars="200"/>
        <w:rPr>
          <w:rFonts w:hint="eastAsia" w:ascii="宋体" w:hAnsi="宋体"/>
          <w:b/>
          <w:szCs w:val="21"/>
        </w:rPr>
      </w:pPr>
      <w:r>
        <w:rPr>
          <w:rFonts w:hint="eastAsia" w:ascii="宋体" w:hAnsi="宋体"/>
          <w:b/>
          <w:szCs w:val="21"/>
        </w:rPr>
        <w:t>十一、税费</w:t>
      </w:r>
    </w:p>
    <w:p>
      <w:pPr>
        <w:spacing w:line="276"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spacing w:line="276" w:lineRule="auto"/>
        <w:ind w:firstLine="422" w:firstLineChars="200"/>
        <w:rPr>
          <w:rFonts w:ascii="宋体" w:hAnsi="宋体"/>
          <w:b/>
          <w:szCs w:val="21"/>
        </w:rPr>
      </w:pPr>
      <w:r>
        <w:rPr>
          <w:rFonts w:hint="eastAsia" w:ascii="宋体" w:hAnsi="宋体"/>
          <w:b/>
          <w:szCs w:val="21"/>
        </w:rPr>
        <w:t>十二、其它</w:t>
      </w:r>
    </w:p>
    <w:p>
      <w:pPr>
        <w:spacing w:line="276" w:lineRule="auto"/>
        <w:ind w:firstLine="420" w:firstLineChars="200"/>
        <w:rPr>
          <w:rFonts w:ascii="宋体" w:hAnsi="宋体"/>
          <w:b/>
          <w:szCs w:val="21"/>
        </w:rPr>
      </w:pPr>
      <w:r>
        <w:rPr>
          <w:rFonts w:hint="eastAsia" w:ascii="宋体" w:hAnsi="宋体"/>
          <w:szCs w:val="21"/>
        </w:rPr>
        <w:t>1</w:t>
      </w:r>
      <w:r>
        <w:rPr>
          <w:rFonts w:hint="eastAsia" w:ascii="宋体" w:hAnsi="宋体" w:cs="Calibri"/>
          <w:szCs w:val="21"/>
        </w:rPr>
        <w:t>、</w:t>
      </w:r>
      <w:r>
        <w:rPr>
          <w:rFonts w:hint="eastAsia" w:ascii="宋体" w:hAnsi="宋体"/>
          <w:szCs w:val="21"/>
        </w:rPr>
        <w:t>本合同所有附件、采购文件、投标文件、中标通知书均为合同的有效组成部分，与本合同具有同等法律效力。</w:t>
      </w:r>
    </w:p>
    <w:p>
      <w:pPr>
        <w:spacing w:line="276" w:lineRule="auto"/>
        <w:ind w:firstLine="420" w:firstLineChars="200"/>
        <w:rPr>
          <w:rFonts w:ascii="宋体" w:hAnsi="宋体"/>
          <w:szCs w:val="21"/>
        </w:rPr>
      </w:pPr>
      <w:r>
        <w:rPr>
          <w:rFonts w:hint="eastAsia" w:ascii="宋体" w:hAnsi="宋体"/>
          <w:bCs/>
          <w:szCs w:val="21"/>
        </w:rPr>
        <w:t>2</w:t>
      </w:r>
      <w:r>
        <w:rPr>
          <w:rFonts w:hint="eastAsia" w:ascii="宋体" w:hAnsi="宋体" w:cs="Calibri"/>
          <w:szCs w:val="21"/>
        </w:rPr>
        <w:t>、</w:t>
      </w:r>
      <w:r>
        <w:rPr>
          <w:rFonts w:hint="eastAsia" w:ascii="宋体" w:hAnsi="宋体"/>
          <w:szCs w:val="21"/>
        </w:rPr>
        <w:t>在执行本合同的过程中，所有经双方签署确认的文件（包括会议纪要、补充协议、往来信函）即成为本合同的有效组成部分。</w:t>
      </w:r>
    </w:p>
    <w:p>
      <w:pPr>
        <w:spacing w:line="276" w:lineRule="auto"/>
        <w:ind w:firstLine="420" w:firstLineChars="200"/>
        <w:rPr>
          <w:rFonts w:ascii="宋体" w:hAnsi="宋体"/>
          <w:szCs w:val="21"/>
        </w:rPr>
      </w:pPr>
      <w:r>
        <w:rPr>
          <w:rFonts w:hint="eastAsia" w:ascii="宋体" w:hAnsi="宋体"/>
          <w:szCs w:val="21"/>
        </w:rPr>
        <w:t>3</w:t>
      </w:r>
      <w:r>
        <w:rPr>
          <w:rFonts w:hint="eastAsia" w:ascii="宋体" w:hAnsi="宋体" w:cs="Calibri"/>
          <w:szCs w:val="21"/>
        </w:rPr>
        <w:t>、</w:t>
      </w:r>
      <w:r>
        <w:rPr>
          <w:rFonts w:hint="eastAsia" w:ascii="宋体" w:hAnsi="宋体"/>
          <w:szCs w:val="21"/>
        </w:rPr>
        <w:t xml:space="preserve">如一方地址、电话、传真号码有变更，应在变更当日内书面通知对方，否则，应承担相应责任。 </w:t>
      </w:r>
    </w:p>
    <w:p>
      <w:pPr>
        <w:spacing w:line="276" w:lineRule="auto"/>
        <w:ind w:firstLine="420" w:firstLineChars="200"/>
        <w:rPr>
          <w:rFonts w:ascii="宋体" w:hAnsi="宋体"/>
          <w:szCs w:val="21"/>
        </w:rPr>
      </w:pPr>
      <w:r>
        <w:rPr>
          <w:rFonts w:hint="eastAsia" w:ascii="宋体" w:hAnsi="宋体"/>
          <w:szCs w:val="21"/>
        </w:rPr>
        <w:t>4</w:t>
      </w:r>
      <w:r>
        <w:rPr>
          <w:rFonts w:hint="eastAsia" w:ascii="宋体" w:hAnsi="宋体" w:cs="Calibri"/>
          <w:szCs w:val="21"/>
        </w:rPr>
        <w:t>、</w:t>
      </w:r>
      <w:r>
        <w:rPr>
          <w:rFonts w:hint="eastAsia" w:ascii="宋体" w:hAnsi="宋体"/>
          <w:szCs w:val="21"/>
        </w:rPr>
        <w:t>除甲方事先书面同意外，乙方不得部分或全部转让其应履行的合同项下的义务。</w:t>
      </w:r>
    </w:p>
    <w:p>
      <w:pPr>
        <w:spacing w:line="276" w:lineRule="auto"/>
        <w:ind w:firstLine="422" w:firstLineChars="200"/>
        <w:rPr>
          <w:rFonts w:ascii="宋体" w:hAnsi="宋体"/>
          <w:b/>
          <w:szCs w:val="21"/>
        </w:rPr>
      </w:pPr>
      <w:r>
        <w:rPr>
          <w:rFonts w:hint="eastAsia" w:ascii="宋体" w:hAnsi="宋体"/>
          <w:b/>
          <w:szCs w:val="21"/>
        </w:rPr>
        <w:t>十三、合同生效</w:t>
      </w:r>
    </w:p>
    <w:p>
      <w:pPr>
        <w:spacing w:line="276" w:lineRule="auto"/>
        <w:ind w:firstLine="420" w:firstLineChars="200"/>
        <w:rPr>
          <w:rFonts w:ascii="宋体" w:hAnsi="宋体"/>
          <w:szCs w:val="21"/>
        </w:rPr>
      </w:pPr>
      <w:r>
        <w:rPr>
          <w:rFonts w:hint="eastAsia" w:ascii="宋体" w:hAnsi="宋体"/>
          <w:szCs w:val="21"/>
        </w:rPr>
        <w:t>1</w:t>
      </w:r>
      <w:r>
        <w:rPr>
          <w:rFonts w:hint="eastAsia" w:ascii="宋体" w:hAnsi="宋体" w:cs="Calibri"/>
          <w:szCs w:val="21"/>
        </w:rPr>
        <w:t>、</w:t>
      </w:r>
      <w:r>
        <w:rPr>
          <w:rFonts w:hint="eastAsia" w:ascii="宋体" w:hAnsi="宋体"/>
          <w:szCs w:val="21"/>
        </w:rPr>
        <w:t>本合同在甲乙双方法人代表或其授权代表签字盖章后生效。</w:t>
      </w:r>
    </w:p>
    <w:p>
      <w:pPr>
        <w:spacing w:line="276" w:lineRule="auto"/>
        <w:ind w:firstLine="420" w:firstLineChars="200"/>
        <w:rPr>
          <w:rFonts w:hint="eastAsia" w:ascii="宋体" w:hAnsi="宋体"/>
          <w:szCs w:val="21"/>
        </w:rPr>
      </w:pPr>
      <w:r>
        <w:rPr>
          <w:rFonts w:hint="eastAsia" w:ascii="宋体" w:hAnsi="宋体"/>
          <w:szCs w:val="21"/>
        </w:rPr>
        <w:t>2</w:t>
      </w:r>
      <w:r>
        <w:rPr>
          <w:rFonts w:hint="eastAsia" w:ascii="宋体" w:hAnsi="宋体" w:cs="Calibri"/>
          <w:szCs w:val="21"/>
        </w:rPr>
        <w:t>、</w:t>
      </w:r>
      <w:r>
        <w:rPr>
          <w:rFonts w:hint="eastAsia" w:ascii="宋体" w:hAnsi="宋体"/>
          <w:szCs w:val="21"/>
        </w:rPr>
        <w:t>本合同共   份，具有同等法律效力，甲方执    份，乙方执    份,招标代理公司及番禺区政府采购管理办公室各执1份，合同自签字之日起即时生效。</w:t>
      </w:r>
    </w:p>
    <w:p>
      <w:pPr>
        <w:spacing w:line="276" w:lineRule="auto"/>
        <w:rPr>
          <w:rFonts w:ascii="宋体" w:hAnsi="宋体"/>
          <w:b/>
          <w:szCs w:val="21"/>
        </w:rPr>
      </w:pPr>
      <w:r>
        <w:rPr>
          <w:rFonts w:hint="eastAsia" w:ascii="宋体" w:hAnsi="宋体"/>
          <w:b/>
          <w:szCs w:val="21"/>
        </w:rPr>
        <w:t>甲方（盖章）：                                 乙方（盖章）：</w:t>
      </w:r>
    </w:p>
    <w:p>
      <w:pPr>
        <w:spacing w:line="276" w:lineRule="auto"/>
        <w:rPr>
          <w:rFonts w:ascii="宋体" w:hAnsi="宋体"/>
          <w:szCs w:val="21"/>
        </w:rPr>
      </w:pPr>
      <w:r>
        <w:rPr>
          <w:rFonts w:hint="eastAsia" w:ascii="宋体" w:hAnsi="宋体"/>
          <w:szCs w:val="21"/>
        </w:rPr>
        <w:t xml:space="preserve">代表：                                         代表： </w:t>
      </w:r>
    </w:p>
    <w:p>
      <w:pPr>
        <w:spacing w:line="276" w:lineRule="auto"/>
        <w:rPr>
          <w:rFonts w:hint="eastAsia" w:ascii="宋体" w:hAnsi="宋体"/>
          <w:szCs w:val="21"/>
        </w:rPr>
      </w:pPr>
      <w:r>
        <w:rPr>
          <w:rFonts w:hint="eastAsia" w:ascii="宋体" w:hAnsi="宋体"/>
          <w:szCs w:val="21"/>
        </w:rPr>
        <w:t xml:space="preserve">签定日期：        年     月    日              签定日期：        年     月     日    </w:t>
      </w:r>
    </w:p>
    <w:p>
      <w:pPr>
        <w:spacing w:line="276" w:lineRule="auto"/>
        <w:rPr>
          <w:rFonts w:ascii="宋体" w:hAnsi="宋体"/>
          <w:szCs w:val="21"/>
        </w:rPr>
      </w:pPr>
      <w:r>
        <w:rPr>
          <w:rFonts w:hint="eastAsia" w:ascii="宋体" w:hAnsi="宋体"/>
          <w:szCs w:val="21"/>
        </w:rPr>
        <w:t>签定地点：                                     开户名称：</w:t>
      </w:r>
    </w:p>
    <w:p>
      <w:pPr>
        <w:spacing w:line="276" w:lineRule="auto"/>
        <w:ind w:firstLine="4935" w:firstLineChars="2350"/>
        <w:rPr>
          <w:rFonts w:ascii="宋体" w:hAnsi="宋体"/>
          <w:szCs w:val="21"/>
        </w:rPr>
      </w:pPr>
      <w:r>
        <w:rPr>
          <w:rFonts w:hint="eastAsia" w:ascii="宋体" w:hAnsi="宋体"/>
          <w:szCs w:val="21"/>
        </w:rPr>
        <w:t>银行帐号：</w:t>
      </w:r>
    </w:p>
    <w:p>
      <w:pPr>
        <w:spacing w:line="276" w:lineRule="auto"/>
        <w:ind w:firstLine="4935" w:firstLineChars="2350"/>
        <w:rPr>
          <w:rFonts w:hint="eastAsia" w:ascii="宋体" w:hAnsi="宋体"/>
          <w:szCs w:val="21"/>
        </w:rPr>
      </w:pPr>
      <w:r>
        <w:rPr>
          <w:rFonts w:hint="eastAsia" w:ascii="宋体" w:hAnsi="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11" w:name="_Toc492302254"/>
      <w:r>
        <w:rPr>
          <w:rFonts w:hint="eastAsia" w:ascii="宋体" w:hAnsi="宋体"/>
          <w:b/>
          <w:bCs/>
          <w:sz w:val="28"/>
          <w:szCs w:val="28"/>
        </w:rPr>
        <w:t>第六章  投标文件格式</w:t>
      </w:r>
      <w:bookmarkEnd w:id="11"/>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GZBC18FG05002</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番禺区水利工程管理设施防雷装置检测服务采购项目</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hint="eastAsia"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4"/>
              <w:spacing w:line="400" w:lineRule="exact"/>
              <w:ind w:firstLine="900" w:firstLineChars="320"/>
              <w:rPr>
                <w:rFonts w:hint="eastAsia" w:ascii="宋体" w:hAnsi="宋体"/>
                <w:b/>
                <w:kern w:val="2"/>
                <w:sz w:val="28"/>
                <w:szCs w:val="28"/>
              </w:rPr>
            </w:pPr>
          </w:p>
          <w:p>
            <w:pPr>
              <w:pStyle w:val="4"/>
              <w:spacing w:line="400" w:lineRule="exact"/>
              <w:ind w:firstLine="900" w:firstLineChars="320"/>
              <w:rPr>
                <w:rFonts w:hint="eastAsia" w:ascii="宋体" w:hAnsi="宋体"/>
                <w:b/>
                <w:kern w:val="2"/>
                <w:sz w:val="28"/>
                <w:szCs w:val="28"/>
              </w:rPr>
            </w:pPr>
          </w:p>
          <w:p>
            <w:pPr>
              <w:pStyle w:val="4"/>
              <w:spacing w:line="400" w:lineRule="exact"/>
              <w:rPr>
                <w:rFonts w:hint="eastAsia" w:ascii="宋体" w:hAnsi="宋体"/>
                <w:b/>
                <w:kern w:val="2"/>
                <w:sz w:val="28"/>
                <w:szCs w:val="28"/>
              </w:rPr>
            </w:pP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番禺区水利工程管理设施防雷装置检测服务采购项目</w:t>
      </w:r>
    </w:p>
    <w:p>
      <w:pPr>
        <w:ind w:firstLine="210" w:firstLineChars="100"/>
        <w:rPr>
          <w:rFonts w:ascii="宋体" w:hAnsi="宋体"/>
        </w:rPr>
      </w:pPr>
      <w:r>
        <w:rPr>
          <w:rFonts w:hint="eastAsia" w:ascii="宋体" w:hAnsi="宋体"/>
        </w:rPr>
        <w:t>项目编号：</w:t>
      </w:r>
      <w:r>
        <w:rPr>
          <w:rFonts w:hint="eastAsia" w:ascii="宋体" w:hAnsi="宋体"/>
          <w:lang w:eastAsia="zh-CN"/>
        </w:rPr>
        <w:t>GZBC18FG05002</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5"/>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0"/>
              <w:adjustRightInd w:val="0"/>
              <w:snapToGrid w:val="0"/>
              <w:spacing w:before="0" w:beforeAutospacing="0" w:after="0" w:afterAutospacing="0"/>
              <w:jc w:val="center"/>
              <w:rPr>
                <w:rFonts w:hint="eastAsia"/>
                <w:b/>
                <w:sz w:val="21"/>
                <w:szCs w:val="21"/>
              </w:rPr>
            </w:pPr>
            <w:r>
              <w:rPr>
                <w:rFonts w:hint="eastAsia"/>
                <w:b/>
                <w:sz w:val="21"/>
                <w:szCs w:val="21"/>
                <w:lang w:eastAsia="zh-CN"/>
              </w:rPr>
              <w:t>初步</w:t>
            </w:r>
            <w:r>
              <w:rPr>
                <w:rFonts w:hint="eastAsia"/>
                <w:b/>
                <w:sz w:val="21"/>
                <w:szCs w:val="21"/>
              </w:rPr>
              <w:t>审查</w:t>
            </w:r>
          </w:p>
          <w:p>
            <w:pPr>
              <w:pStyle w:val="20"/>
              <w:adjustRightInd w:val="0"/>
              <w:snapToGrid w:val="0"/>
              <w:spacing w:before="0" w:beforeAutospacing="0" w:after="0" w:afterAutospacing="0"/>
              <w:jc w:val="both"/>
              <w:rPr>
                <w:rFonts w:hint="eastAsia"/>
                <w:b/>
                <w:bCs/>
                <w:sz w:val="21"/>
                <w:szCs w:val="21"/>
              </w:rPr>
            </w:pPr>
          </w:p>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numPr>
                <w:ilvl w:val="0"/>
                <w:numId w:val="0"/>
              </w:numPr>
              <w:adjustRightInd w:val="0"/>
              <w:snapToGrid w:val="0"/>
              <w:spacing w:line="240" w:lineRule="auto"/>
              <w:ind w:leftChars="0"/>
              <w:rPr>
                <w:rFonts w:ascii="宋体" w:hAnsi="宋体" w:cs="宋体"/>
                <w:szCs w:val="21"/>
              </w:rPr>
            </w:pPr>
            <w:r>
              <w:rPr>
                <w:rFonts w:hint="eastAsia" w:ascii="宋体" w:hAnsi="宋体" w:cs="宋体"/>
                <w:b/>
                <w:bCs w:val="0"/>
                <w:color w:val="auto"/>
                <w:kern w:val="0"/>
                <w:szCs w:val="21"/>
                <w:lang w:val="en-US" w:eastAsia="zh-CN"/>
              </w:rPr>
              <w:t>1.</w:t>
            </w:r>
            <w:r>
              <w:rPr>
                <w:rFonts w:hint="eastAsia" w:ascii="宋体" w:hAnsi="宋体"/>
                <w:kern w:val="28"/>
                <w:sz w:val="21"/>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2.</w:t>
            </w: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3.</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4.</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5.</w:t>
            </w:r>
            <w:r>
              <w:rPr>
                <w:rFonts w:hint="eastAsia" w:ascii="宋体" w:hAnsi="宋体"/>
                <w:bCs/>
                <w:color w:val="auto"/>
                <w:szCs w:val="21"/>
              </w:rPr>
              <w:t>《公平竞争承诺书》复印件；人民检察院出具的《无行贿犯罪档案记录证明》复印件（原件备查）</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bCs w:val="0"/>
                <w:color w:val="auto"/>
                <w:sz w:val="21"/>
                <w:szCs w:val="21"/>
                <w:lang w:val="en-US" w:eastAsia="zh-CN"/>
              </w:rPr>
              <w:t>6.</w:t>
            </w:r>
            <w:r>
              <w:rPr>
                <w:rFonts w:hint="eastAsia" w:asciiTheme="minorEastAsia" w:hAnsiTheme="minorEastAsia" w:eastAsiaTheme="minorEastAsia" w:cstheme="minorEastAsia"/>
                <w:bCs/>
                <w:color w:val="auto"/>
                <w:sz w:val="21"/>
                <w:szCs w:val="21"/>
              </w:rPr>
              <w:t>法定代表人</w:t>
            </w:r>
            <w:r>
              <w:rPr>
                <w:rFonts w:hint="eastAsia"/>
                <w:bCs/>
                <w:color w:val="auto"/>
                <w:sz w:val="21"/>
                <w:szCs w:val="21"/>
              </w:rPr>
              <w:t>证明书</w:t>
            </w:r>
            <w:r>
              <w:rPr>
                <w:rFonts w:hint="eastAsia"/>
                <w:bCs/>
                <w:color w:val="auto"/>
                <w:sz w:val="21"/>
                <w:szCs w:val="21"/>
                <w:lang w:eastAsia="zh-CN"/>
              </w:rPr>
              <w:t>或</w:t>
            </w:r>
            <w:r>
              <w:rPr>
                <w:rFonts w:hint="eastAsia"/>
                <w:bCs/>
                <w:color w:val="auto"/>
                <w:sz w:val="21"/>
                <w:szCs w:val="21"/>
              </w:rPr>
              <w:t>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7.</w:t>
            </w:r>
            <w:r>
              <w:rPr>
                <w:rFonts w:hint="eastAsia" w:ascii="宋体" w:hAnsi="宋体"/>
                <w:bCs/>
                <w:color w:val="auto"/>
                <w:szCs w:val="21"/>
              </w:rPr>
              <w:t>提供</w:t>
            </w:r>
            <w:r>
              <w:rPr>
                <w:rFonts w:ascii="宋体" w:hAnsi="宋体"/>
                <w:bCs/>
                <w:color w:val="auto"/>
                <w:szCs w:val="21"/>
              </w:rPr>
              <w:t>“信用中国”（www.creditchina.gov.cn）、中国政府采购网（www.ccgp.gov.cn）</w:t>
            </w:r>
            <w:r>
              <w:rPr>
                <w:rFonts w:hint="eastAsia" w:ascii="宋体" w:hAnsi="宋体"/>
                <w:bCs/>
                <w:color w:val="auto"/>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b w:val="0"/>
                <w:bCs w:val="0"/>
                <w:color w:val="FF0000"/>
                <w:lang w:val="en-US" w:eastAsia="zh-CN"/>
              </w:rPr>
              <w:t>8.</w:t>
            </w:r>
            <w:r>
              <w:rPr>
                <w:rFonts w:hint="eastAsia" w:asciiTheme="minorEastAsia" w:hAnsiTheme="minorEastAsia" w:eastAsiaTheme="minorEastAsia" w:cstheme="minorEastAsia"/>
                <w:color w:val="FF0000"/>
                <w:kern w:val="28"/>
                <w:sz w:val="21"/>
                <w:szCs w:val="21"/>
                <w:lang w:eastAsia="zh-CN"/>
              </w:rPr>
              <w:t xml:space="preserve"> 供应商必须具备气象主管部门颁发的雷电防护装置检测乙级或以上资质证书，且经计量行政主管部门计量认证</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9"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szCs w:val="21"/>
                <w:lang w:val="en-US" w:eastAsia="zh-CN"/>
              </w:rPr>
              <w:t>12.</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9"/>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9"/>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Cs w:val="21"/>
              </w:rPr>
            </w:pPr>
            <w:r>
              <w:rPr>
                <w:rFonts w:hint="eastAsia" w:ascii="宋体" w:hAnsi="宋体" w:cs="宋体"/>
                <w:bCs/>
                <w:kern w:val="0"/>
                <w:szCs w:val="21"/>
              </w:rPr>
              <w:t>技术条款响应情况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kern w:val="0"/>
                <w:szCs w:val="21"/>
              </w:rPr>
              <w:t>重点难点</w:t>
            </w:r>
            <w:r>
              <w:rPr>
                <w:rFonts w:ascii="宋体" w:hAnsi="宋体" w:cs="宋体"/>
                <w:kern w:val="0"/>
                <w:szCs w:val="21"/>
              </w:rPr>
              <w:t>分析及合理化建议</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kern w:val="0"/>
                <w:szCs w:val="21"/>
              </w:rPr>
              <w:t>项目安全制度</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质量保障措施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szCs w:val="21"/>
              </w:rPr>
              <w:t>商务条款响应情况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szCs w:val="21"/>
              </w:rPr>
              <w:t>企业资质</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szCs w:val="21"/>
              </w:rPr>
              <w:t>同类业绩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eastAsia="宋体"/>
                <w:szCs w:val="21"/>
                <w:lang w:val="en-US" w:eastAsia="zh-CN"/>
              </w:rPr>
            </w:pPr>
            <w:r>
              <w:rPr>
                <w:rFonts w:hint="eastAsia" w:ascii="宋体" w:hAnsi="宋体"/>
                <w:szCs w:val="21"/>
                <w:lang w:val="en-US" w:eastAsia="zh-CN"/>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kern w:val="0"/>
                <w:szCs w:val="21"/>
              </w:rPr>
              <w:t>拟派本项目技术团队情况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szCs w:val="21"/>
                <w:lang w:val="en-US" w:eastAsia="zh-CN"/>
              </w:rPr>
            </w:pPr>
            <w:r>
              <w:rPr>
                <w:rFonts w:hint="eastAsia" w:ascii="宋体" w:hAnsi="宋体"/>
                <w:szCs w:val="21"/>
                <w:lang w:val="en-US" w:eastAsia="zh-CN"/>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 w:val="21"/>
                <w:szCs w:val="21"/>
                <w:lang w:eastAsia="zh-CN"/>
              </w:rPr>
            </w:pPr>
            <w:r>
              <w:rPr>
                <w:rFonts w:hint="eastAsia" w:ascii="宋体" w:hAnsi="宋体"/>
                <w:szCs w:val="21"/>
              </w:rPr>
              <w:t>售后服务方案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退投标保证金说明</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投标保证金递交证明文件/</w:t>
            </w:r>
            <w:r>
              <w:rPr>
                <w:rFonts w:hint="eastAsia" w:ascii="宋体" w:hAnsi="宋体"/>
                <w:bCs/>
                <w:szCs w:val="21"/>
              </w:rPr>
              <w:t>政府采购投标担保函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23"/>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番禺区水利工程管理设施防雷装置检测服务采购项目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GZBC18FG05002</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24"/>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4"/>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4"/>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24"/>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4"/>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4"/>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4"/>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3"/>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2" w:name="_Toc275865606"/>
      <w:r>
        <w:rPr>
          <w:rFonts w:hint="eastAsia" w:ascii="宋体" w:hAnsi="宋体"/>
          <w:b/>
          <w:sz w:val="28"/>
          <w:szCs w:val="28"/>
        </w:rPr>
        <w:t>投标人资格声明函</w:t>
      </w:r>
      <w:bookmarkEnd w:id="12"/>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番禺区水利工程管理设施防雷装置检测服务采购项目</w:t>
      </w:r>
      <w:r>
        <w:rPr>
          <w:rFonts w:ascii="宋体" w:hAnsi="宋体"/>
          <w:u w:val="single"/>
        </w:rPr>
        <w:t xml:space="preserve">  </w:t>
      </w:r>
      <w:r>
        <w:rPr>
          <w:rFonts w:hint="eastAsia" w:ascii="宋体" w:hAnsi="宋体"/>
        </w:rPr>
        <w:t>项目（项目编号：</w:t>
      </w:r>
      <w:r>
        <w:rPr>
          <w:rFonts w:hint="eastAsia" w:ascii="宋体" w:hAnsi="宋体"/>
          <w:lang w:eastAsia="zh-CN"/>
        </w:rPr>
        <w:t>GZBC18FG05002</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tabs>
          <w:tab w:val="left" w:pos="567"/>
        </w:tabs>
        <w:adjustRightInd w:val="0"/>
        <w:snapToGrid w:val="0"/>
        <w:spacing w:line="360" w:lineRule="auto"/>
        <w:rPr>
          <w:rFonts w:ascii="宋体" w:hAnsi="宋体"/>
          <w:b/>
        </w:rPr>
      </w:pPr>
      <w:r>
        <w:rPr>
          <w:rFonts w:hint="eastAsia" w:ascii="宋体" w:hAnsi="宋体"/>
          <w:b/>
        </w:rPr>
        <w:t>附件：</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7</w:t>
      </w:r>
      <w:r>
        <w:rPr>
          <w:rFonts w:hint="eastAsia" w:ascii="宋体" w:hAnsi="宋体"/>
          <w:bCs/>
          <w:szCs w:val="20"/>
        </w:rPr>
        <w:t>年财务状况报告复印件，其他组织或投标人新成立不足一年，提供银行出具的资信证明材料复印件；</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年开具的缴纳税收的凭据证明材料复印件；如依法免税的，应提供相应文件证明其依法免税；</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23"/>
        </w:numPr>
        <w:spacing w:line="440" w:lineRule="exact"/>
        <w:rPr>
          <w:rFonts w:ascii="宋体" w:hAnsi="宋体"/>
          <w:szCs w:val="21"/>
        </w:rPr>
      </w:pPr>
    </w:p>
    <w:p>
      <w:pPr>
        <w:jc w:val="center"/>
        <w:outlineLvl w:val="2"/>
        <w:rPr>
          <w:rFonts w:ascii="宋体" w:hAnsi="宋体"/>
          <w:b/>
          <w:sz w:val="28"/>
          <w:szCs w:val="28"/>
        </w:rPr>
      </w:pPr>
      <w:bookmarkStart w:id="13" w:name="_Toc275865607"/>
      <w:bookmarkStart w:id="14" w:name="_Toc50737297"/>
      <w:bookmarkStart w:id="15" w:name="_Toc50736477"/>
      <w:bookmarkStart w:id="16" w:name="_Toc52165081"/>
      <w:bookmarkStart w:id="17" w:name="_Toc50737329"/>
      <w:r>
        <w:rPr>
          <w:rFonts w:hint="eastAsia" w:ascii="宋体" w:hAnsi="宋体"/>
          <w:b/>
          <w:sz w:val="28"/>
          <w:szCs w:val="28"/>
        </w:rPr>
        <w:t>法定代表人授权委托书</w:t>
      </w:r>
      <w:bookmarkEnd w:id="13"/>
      <w:bookmarkEnd w:id="14"/>
      <w:bookmarkEnd w:id="15"/>
      <w:bookmarkEnd w:id="16"/>
      <w:bookmarkEnd w:id="17"/>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114300" distR="114300" simplePos="0" relativeHeight="251657216" behindDoc="0" locked="0" layoutInCell="1" allowOverlap="1">
                <wp:simplePos x="0" y="0"/>
                <wp:positionH relativeFrom="column">
                  <wp:posOffset>476250</wp:posOffset>
                </wp:positionH>
                <wp:positionV relativeFrom="paragraph">
                  <wp:posOffset>169545</wp:posOffset>
                </wp:positionV>
                <wp:extent cx="5584190" cy="1487805"/>
                <wp:effectExtent l="4445" t="4445" r="12065" b="12700"/>
                <wp:wrapNone/>
                <wp:docPr id="11" name="组合 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2" name="矩形 3"/>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3" name="矩形 4"/>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37.5pt;margin-top:13.35pt;height:117.15pt;width:439.7pt;z-index:251657216;mso-width-relative:page;mso-height-relative:page;" coordorigin="1410,9240" coordsize="8794,2343" o:gfxdata="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WqAQG2gAAAAkBAAAPAAAAAAAAAAEAIAAA&#10;ACIAAABkcnMvZG93bnJldi54bWxQSwECFAAUAAAACACHTuJAqRzoEbUCAAAoCAAADgAAAAAAAAAB&#10;ACAAAAApAQAAZHJzL2Uyb0RvYy54bWxQSwUGAAAAAAYABgBZAQAAUAYAAAAA&#10;">
                <o:lock v:ext="edit" aspectratio="f"/>
                <v:rect id="矩形 3" o:spid="_x0000_s1026" o:spt="1" style="position:absolute;left:1410;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6" o:spt="1" style="position:absolute;left:5867;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rPr>
      </w:pPr>
    </w:p>
    <w:p>
      <w:pPr>
        <w:jc w:val="center"/>
        <w:outlineLvl w:val="2"/>
        <w:rPr>
          <w:rFonts w:ascii="宋体" w:hAnsi="宋体"/>
          <w:b/>
          <w:sz w:val="28"/>
          <w:szCs w:val="28"/>
        </w:rPr>
      </w:pPr>
      <w:bookmarkStart w:id="18" w:name="_Toc275865608"/>
      <w:r>
        <w:rPr>
          <w:rFonts w:hint="eastAsia" w:ascii="宋体" w:hAnsi="宋体"/>
          <w:b/>
          <w:sz w:val="28"/>
          <w:szCs w:val="28"/>
        </w:rPr>
        <w:t>法定代表人证明书</w:t>
      </w:r>
      <w:bookmarkEnd w:id="18"/>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114300" distR="114300" simplePos="0" relativeHeight="251658240" behindDoc="0" locked="0" layoutInCell="1" allowOverlap="1">
                <wp:simplePos x="0" y="0"/>
                <wp:positionH relativeFrom="column">
                  <wp:posOffset>390525</wp:posOffset>
                </wp:positionH>
                <wp:positionV relativeFrom="paragraph">
                  <wp:posOffset>169545</wp:posOffset>
                </wp:positionV>
                <wp:extent cx="5746115" cy="1497330"/>
                <wp:effectExtent l="4445" t="4445" r="21590" b="22225"/>
                <wp:wrapNone/>
                <wp:docPr id="8" name="组合 5"/>
                <wp:cNvGraphicFramePr/>
                <a:graphic xmlns:a="http://schemas.openxmlformats.org/drawingml/2006/main">
                  <a:graphicData uri="http://schemas.microsoft.com/office/word/2010/wordprocessingGroup">
                    <wpg:wgp>
                      <wpg:cNvGrpSpPr/>
                      <wpg:grpSpPr>
                        <a:xfrm>
                          <a:off x="0" y="0"/>
                          <a:ext cx="5746115" cy="1497330"/>
                          <a:chOff x="1845" y="9210"/>
                          <a:chExt cx="9049" cy="2358"/>
                        </a:xfrm>
                        <a:effectLst/>
                      </wpg:grpSpPr>
                      <wps:wsp>
                        <wps:cNvPr id="9" name="矩形 6"/>
                        <wps:cNvSpPr>
                          <a:spLocks noChangeArrowheads="1"/>
                        </wps:cNvSpPr>
                        <wps:spPr bwMode="auto">
                          <a:xfrm>
                            <a:off x="1845" y="9225"/>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0" name="矩形 7"/>
                        <wps:cNvSpPr>
                          <a:spLocks noChangeArrowheads="1"/>
                        </wps:cNvSpPr>
                        <wps:spPr bwMode="auto">
                          <a:xfrm>
                            <a:off x="6557" y="921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30.75pt;margin-top:13.35pt;height:117.9pt;width:452.45pt;z-index:251658240;mso-width-relative:page;mso-height-relative:page;" coordorigin="1845,9210" coordsize="9049,2358" o:gfxdata="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R/6GNkAAAAJAQAADwAAAAAAAAAB&#10;ACAAAAAiAAAAZHJzL2Rvd25yZXYueG1sUEsBAhQAFAAAAAgAh07iQIMe5oq6AgAAJggAAA4AAAAA&#10;AAAAAQAgAAAAKAEAAGRycy9lMm9Eb2MueG1sUEsFBgAAAAAGAAYAWQEAAFQGAAAAAA==&#10;">
                <o:lock v:ext="edit" aspectratio="f"/>
                <v:rect id="矩形 6" o:spid="_x0000_s1026" o:spt="1" style="position:absolute;left:1845;top:9225;height:2343;width:4337;"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26" o:spt="1" style="position:absolute;left:6557;top:921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番禺区水利工程管理设施防雷装置检测服务采购项目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GZBC18FG05002</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szCs w:val="21"/>
                <w:lang w:eastAsia="zh-CN"/>
              </w:rPr>
            </w:pPr>
            <w:r>
              <w:rPr>
                <w:rFonts w:hint="eastAsia" w:ascii="宋体" w:hAnsi="宋体"/>
                <w:b/>
                <w:szCs w:val="21"/>
                <w:lang w:eastAsia="zh-CN"/>
              </w:rPr>
              <w:t>投标报价（元）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szCs w:val="21"/>
              </w:rPr>
            </w:pPr>
            <w:r>
              <w:rPr>
                <w:rFonts w:hint="eastAsia" w:ascii="宋体" w:hAnsi="宋体"/>
              </w:rPr>
              <w:t>番禺区水利工程管理设施防雷装置检测服务</w:t>
            </w:r>
          </w:p>
        </w:tc>
        <w:tc>
          <w:tcPr>
            <w:tcW w:w="3899" w:type="dxa"/>
            <w:tcBorders>
              <w:top w:val="single" w:color="auto" w:sz="4" w:space="0"/>
            </w:tcBorders>
            <w:vAlign w:val="center"/>
          </w:tcPr>
          <w:p>
            <w:pPr>
              <w:spacing w:line="360" w:lineRule="auto"/>
              <w:ind w:left="-2" w:leftChars="-1" w:firstLine="2" w:firstLineChars="1"/>
              <w:rPr>
                <w:rFonts w:hint="eastAsia" w:ascii="宋体" w:hAnsi="宋体"/>
                <w:sz w:val="21"/>
                <w:szCs w:val="21"/>
              </w:rPr>
            </w:pPr>
            <w:r>
              <w:rPr>
                <w:rFonts w:hint="eastAsia" w:ascii="宋体" w:hAnsi="宋体"/>
                <w:sz w:val="21"/>
                <w:szCs w:val="21"/>
              </w:rPr>
              <w:t>小写：</w:t>
            </w:r>
            <w:r>
              <w:rPr>
                <w:rFonts w:hint="eastAsia" w:ascii="宋体" w:hAnsi="宋体"/>
                <w:sz w:val="21"/>
                <w:szCs w:val="21"/>
                <w:u w:val="single"/>
              </w:rPr>
              <w:t xml:space="preserve">RMB                       </w:t>
            </w:r>
          </w:p>
          <w:p>
            <w:pPr>
              <w:adjustRightInd w:val="0"/>
              <w:snapToGrid w:val="0"/>
              <w:rPr>
                <w:rFonts w:hint="eastAsia" w:ascii="宋体" w:hAnsi="宋体" w:eastAsia="宋体"/>
                <w:bCs/>
                <w:szCs w:val="21"/>
                <w:u w:val="single"/>
                <w:lang w:val="en-US" w:eastAsia="zh-CN"/>
              </w:rPr>
            </w:pPr>
            <w:r>
              <w:rPr>
                <w:rFonts w:hint="eastAsia" w:ascii="宋体" w:hAnsi="宋体"/>
                <w:sz w:val="21"/>
                <w:szCs w:val="21"/>
              </w:rPr>
              <w:t>大写：</w:t>
            </w:r>
            <w:r>
              <w:rPr>
                <w:rFonts w:hint="eastAsia" w:ascii="宋体" w:hAnsi="宋体"/>
                <w:sz w:val="21"/>
                <w:szCs w:val="21"/>
                <w:u w:val="single"/>
              </w:rPr>
              <w:t xml:space="preserve">                          </w:t>
            </w:r>
          </w:p>
        </w:tc>
        <w:tc>
          <w:tcPr>
            <w:tcW w:w="2756" w:type="dxa"/>
            <w:tcBorders>
              <w:top w:val="single" w:color="auto" w:sz="4" w:space="0"/>
            </w:tcBorders>
            <w:vAlign w:val="center"/>
          </w:tcPr>
          <w:p>
            <w:pPr>
              <w:jc w:val="center"/>
              <w:rPr>
                <w:rFonts w:hint="eastAsia" w:ascii="宋体" w:hAnsi="宋体" w:eastAsia="宋体"/>
                <w:bCs/>
                <w:szCs w:val="21"/>
                <w:lang w:eastAsia="zh-CN"/>
              </w:rPr>
            </w:pPr>
            <w:r>
              <w:rPr>
                <w:rFonts w:hint="eastAsia" w:ascii="宋体" w:hAnsi="宋体"/>
                <w:lang w:eastAsia="zh-CN"/>
              </w:rPr>
              <w:t>合同签订之日起至2018年8月5日</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hint="eastAsia"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hint="eastAsia" w:ascii="宋体" w:hAnsi="宋体"/>
          <w:szCs w:val="21"/>
        </w:rPr>
        <w:t>2. 此表除装订于投标文件中外，还应将此表复印一份置于开标信封中。</w:t>
      </w:r>
    </w:p>
    <w:p>
      <w:pPr>
        <w:numPr>
          <w:ilvl w:val="0"/>
          <w:numId w:val="23"/>
        </w:numPr>
        <w:spacing w:line="440" w:lineRule="exact"/>
        <w:rPr>
          <w:rFonts w:ascii="宋体" w:hAnsi="宋体"/>
          <w:spacing w:val="4"/>
        </w:rPr>
      </w:pPr>
      <w:r>
        <w:rPr>
          <w:rFonts w:ascii="宋体" w:hAnsi="宋体"/>
          <w:spacing w:val="4"/>
        </w:rPr>
        <w:br w:type="page"/>
      </w:r>
    </w:p>
    <w:p>
      <w:pPr>
        <w:numPr>
          <w:ilvl w:val="0"/>
          <w:numId w:val="23"/>
        </w:numPr>
        <w:spacing w:line="440" w:lineRule="exact"/>
        <w:rPr>
          <w:rFonts w:ascii="宋体" w:hAnsi="宋体"/>
          <w:spacing w:val="4"/>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6"/>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6"/>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19" w:name="_Toc435515316"/>
      <w:bookmarkStart w:id="20" w:name="_Toc435514876"/>
      <w:r>
        <w:rPr>
          <w:rFonts w:hint="eastAsia" w:ascii="宋体" w:hAnsi="宋体"/>
          <w:szCs w:val="21"/>
          <w:lang w:val="en-GB"/>
        </w:rPr>
        <w:t>备注：</w:t>
      </w:r>
    </w:p>
    <w:p>
      <w:pPr>
        <w:numPr>
          <w:ilvl w:val="0"/>
          <w:numId w:val="27"/>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7"/>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19"/>
      <w:bookmarkEnd w:id="20"/>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GZBC18FG05002</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8"/>
              </w:numPr>
              <w:spacing w:line="400" w:lineRule="exact"/>
              <w:jc w:val="center"/>
              <w:rPr>
                <w:rFonts w:ascii="宋体" w:hAnsi="宋体"/>
                <w:szCs w:val="21"/>
              </w:rPr>
            </w:pPr>
          </w:p>
        </w:tc>
        <w:tc>
          <w:tcPr>
            <w:tcW w:w="3599" w:type="dxa"/>
            <w:tcBorders>
              <w:top w:val="double" w:color="auto" w:sz="4" w:space="0"/>
            </w:tcBorders>
            <w:vAlign w:val="center"/>
          </w:tcPr>
          <w:p>
            <w:pPr>
              <w:rPr>
                <w:rFonts w:ascii="宋体" w:hAnsi="宋体"/>
              </w:rPr>
            </w:pPr>
            <w:r>
              <w:rPr>
                <w:rFonts w:hint="eastAsia" w:ascii="宋体"/>
                <w:b/>
                <w:bCs/>
                <w:spacing w:val="-2"/>
                <w:szCs w:val="21"/>
              </w:rPr>
              <w:t>防雷装置检测服务内容</w:t>
            </w: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rPr>
            </w:pPr>
            <w:r>
              <w:rPr>
                <w:rFonts w:hint="eastAsia" w:ascii="宋体"/>
                <w:b/>
                <w:bCs/>
                <w:spacing w:val="-2"/>
                <w:szCs w:val="21"/>
              </w:rPr>
              <w:t>供应商资格要求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hAnsi="宋体"/>
                <w:b/>
                <w:bCs/>
                <w:sz w:val="21"/>
                <w:szCs w:val="21"/>
                <w:lang w:eastAsia="zh-CN"/>
              </w:rPr>
            </w:pPr>
            <w:r>
              <w:rPr>
                <w:rFonts w:hint="eastAsia" w:ascii="宋体"/>
                <w:b/>
                <w:bCs/>
                <w:spacing w:val="-2"/>
                <w:szCs w:val="21"/>
              </w:rPr>
              <w:t>服务标准及要求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rPr>
            </w:pPr>
            <w:r>
              <w:rPr>
                <w:rFonts w:hint="eastAsia" w:ascii="宋体" w:hAnsi="宋体"/>
                <w:b/>
                <w:szCs w:val="21"/>
              </w:rPr>
              <w:t>主要检查内容</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hAnsi="宋体"/>
                <w:b/>
                <w:szCs w:val="21"/>
              </w:rPr>
            </w:pPr>
            <w:r>
              <w:rPr>
                <w:rFonts w:hint="eastAsia" w:ascii="宋体"/>
                <w:b/>
                <w:bCs/>
                <w:spacing w:val="-2"/>
                <w:szCs w:val="21"/>
              </w:rPr>
              <w:t>检测适用标准</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b/>
                <w:bCs/>
                <w:spacing w:val="-2"/>
                <w:szCs w:val="21"/>
                <w:highlight w:val="yellow"/>
              </w:rPr>
            </w:pPr>
            <w:r>
              <w:rPr>
                <w:rFonts w:hint="eastAsia" w:ascii="宋体"/>
                <w:b/>
                <w:bCs/>
                <w:spacing w:val="-2"/>
                <w:szCs w:val="21"/>
              </w:rPr>
              <w:t>项目管理及安排要求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b/>
                <w:bCs/>
                <w:spacing w:val="-2"/>
                <w:szCs w:val="21"/>
              </w:rPr>
            </w:pPr>
            <w:r>
              <w:rPr>
                <w:rFonts w:hint="eastAsia" w:ascii="宋体"/>
                <w:b/>
                <w:bCs/>
                <w:spacing w:val="-2"/>
                <w:szCs w:val="21"/>
              </w:rPr>
              <w:t>违约责任</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int="eastAsia" w:ascii="宋体"/>
                <w:b/>
                <w:bCs/>
                <w:spacing w:val="-2"/>
                <w:szCs w:val="21"/>
              </w:rPr>
            </w:pPr>
            <w:r>
              <w:rPr>
                <w:rFonts w:hint="eastAsia" w:ascii="宋体"/>
                <w:b/>
                <w:bCs/>
                <w:spacing w:val="-2"/>
                <w:szCs w:val="21"/>
              </w:rPr>
              <w:t>付款方式</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21" w:name="_Toc275865614"/>
      <w:r>
        <w:rPr>
          <w:rFonts w:hint="eastAsia" w:ascii="宋体" w:hAnsi="宋体"/>
          <w:b/>
          <w:sz w:val="28"/>
          <w:szCs w:val="28"/>
        </w:rPr>
        <w:t>投标服务方案</w:t>
      </w:r>
      <w:bookmarkEnd w:id="21"/>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GZBC18FG05002</w:t>
      </w:r>
      <w:r>
        <w:rPr>
          <w:rFonts w:hint="eastAsia" w:ascii="宋体" w:hAnsi="宋体"/>
        </w:rPr>
        <w:t xml:space="preserve">                                   </w:t>
      </w:r>
    </w:p>
    <w:p>
      <w:pPr>
        <w:adjustRightInd w:val="0"/>
        <w:snapToGrid w:val="0"/>
        <w:spacing w:line="360" w:lineRule="auto"/>
        <w:rPr>
          <w:rFonts w:hint="eastAsia" w:ascii="宋体" w:hAnsi="宋体"/>
          <w:b/>
        </w:rPr>
      </w:pPr>
      <w:r>
        <w:rPr>
          <w:rFonts w:hint="eastAsia" w:ascii="宋体" w:hAnsi="宋体"/>
          <w:b/>
        </w:rPr>
        <w:t>主要内容应包括但不限于以下内容（格式自定）：</w:t>
      </w:r>
    </w:p>
    <w:p>
      <w:pPr>
        <w:adjustRightInd w:val="0"/>
        <w:snapToGrid w:val="0"/>
        <w:spacing w:line="360" w:lineRule="auto"/>
        <w:rPr>
          <w:rFonts w:hint="eastAsia" w:ascii="宋体" w:hAnsi="宋体" w:eastAsia="宋体"/>
          <w:b/>
          <w:lang w:val="en-US" w:eastAsia="zh-CN"/>
        </w:rPr>
      </w:pPr>
      <w:r>
        <w:rPr>
          <w:rFonts w:hint="eastAsia" w:ascii="宋体" w:hAnsi="宋体"/>
          <w:b/>
          <w:lang w:val="en-US" w:eastAsia="zh-CN"/>
        </w:rPr>
        <w:t>1.</w:t>
      </w:r>
      <w:r>
        <w:rPr>
          <w:rFonts w:hint="eastAsia" w:ascii="宋体" w:hAnsi="宋体" w:cs="宋体"/>
          <w:bCs/>
          <w:kern w:val="0"/>
          <w:szCs w:val="21"/>
        </w:rPr>
        <w:t>技术条款响应情况</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eastAsia="宋体"/>
          <w:b/>
          <w:lang w:val="en-US" w:eastAsia="zh-CN"/>
        </w:rPr>
      </w:pPr>
      <w:r>
        <w:rPr>
          <w:rFonts w:hint="eastAsia" w:ascii="宋体" w:hAnsi="宋体"/>
          <w:b/>
          <w:lang w:val="en-US" w:eastAsia="zh-CN"/>
        </w:rPr>
        <w:t>2.</w:t>
      </w:r>
      <w:r>
        <w:rPr>
          <w:rFonts w:hint="eastAsia" w:ascii="宋体" w:hAnsi="宋体" w:cs="宋体"/>
          <w:kern w:val="0"/>
          <w:szCs w:val="21"/>
        </w:rPr>
        <w:t>重点难点</w:t>
      </w:r>
      <w:r>
        <w:rPr>
          <w:rFonts w:ascii="宋体" w:hAnsi="宋体" w:cs="宋体"/>
          <w:kern w:val="0"/>
          <w:szCs w:val="21"/>
        </w:rPr>
        <w:t>分析及合理化建议</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szCs w:val="21"/>
          <w:lang w:eastAsia="zh-CN"/>
        </w:rPr>
      </w:pPr>
      <w:r>
        <w:rPr>
          <w:rFonts w:hint="eastAsia" w:ascii="宋体" w:hAnsi="宋体"/>
          <w:b/>
          <w:lang w:val="en-US" w:eastAsia="zh-CN"/>
        </w:rPr>
        <w:t>3.</w:t>
      </w:r>
      <w:r>
        <w:rPr>
          <w:rFonts w:hint="eastAsia" w:ascii="宋体" w:hAnsi="宋体" w:cs="宋体"/>
          <w:kern w:val="0"/>
          <w:szCs w:val="21"/>
        </w:rPr>
        <w:t>项目安全制度</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szCs w:val="21"/>
          <w:lang w:val="en-US" w:eastAsia="zh-CN"/>
        </w:rPr>
      </w:pPr>
      <w:r>
        <w:rPr>
          <w:rFonts w:hint="eastAsia" w:ascii="宋体" w:hAnsi="宋体"/>
          <w:b/>
          <w:bCs/>
          <w:szCs w:val="21"/>
          <w:lang w:val="en-US" w:eastAsia="zh-CN"/>
        </w:rPr>
        <w:t>4.</w:t>
      </w:r>
      <w:r>
        <w:rPr>
          <w:rFonts w:hint="eastAsia" w:ascii="宋体" w:hAnsi="宋体" w:cs="宋体"/>
          <w:kern w:val="0"/>
          <w:szCs w:val="21"/>
        </w:rPr>
        <w:t>质量保障措施</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jc w:val="center"/>
        <w:outlineLvl w:val="2"/>
        <w:rPr>
          <w:rFonts w:ascii="宋体" w:hAnsi="宋体"/>
          <w:b/>
          <w:sz w:val="28"/>
          <w:szCs w:val="28"/>
        </w:rPr>
      </w:pPr>
      <w:bookmarkStart w:id="22" w:name="_Toc173553182"/>
      <w:bookmarkStart w:id="23" w:name="_Toc275865616"/>
      <w:r>
        <w:rPr>
          <w:rFonts w:hint="eastAsia" w:ascii="宋体" w:hAnsi="宋体"/>
          <w:b/>
          <w:sz w:val="28"/>
          <w:szCs w:val="28"/>
        </w:rPr>
        <w:t>投标人基本情况表</w:t>
      </w:r>
      <w:bookmarkEnd w:id="22"/>
      <w:bookmarkEnd w:id="23"/>
    </w:p>
    <w:p>
      <w:pPr>
        <w:numPr>
          <w:ilvl w:val="0"/>
          <w:numId w:val="29"/>
        </w:numPr>
        <w:spacing w:line="360" w:lineRule="auto"/>
        <w:rPr>
          <w:rFonts w:ascii="宋体" w:hAnsi="宋体" w:cs="Arial"/>
          <w:szCs w:val="21"/>
        </w:rPr>
      </w:pPr>
      <w:r>
        <w:rPr>
          <w:rFonts w:ascii="宋体" w:hAnsi="宋体" w:cs="Arial"/>
          <w:szCs w:val="21"/>
        </w:rPr>
        <w:t>公司基本情况</w:t>
      </w:r>
    </w:p>
    <w:p>
      <w:pPr>
        <w:numPr>
          <w:ilvl w:val="1"/>
          <w:numId w:val="29"/>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29"/>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29"/>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29"/>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29"/>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29"/>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29"/>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29"/>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4"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24"/>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3"/>
        </w:numPr>
        <w:spacing w:line="440" w:lineRule="exact"/>
        <w:rPr>
          <w:rFonts w:ascii="宋体" w:hAnsi="宋体"/>
          <w:bCs/>
        </w:rPr>
      </w:pPr>
    </w:p>
    <w:p>
      <w:pPr>
        <w:jc w:val="center"/>
        <w:outlineLvl w:val="2"/>
        <w:rPr>
          <w:rFonts w:ascii="宋体" w:hAnsi="宋体"/>
          <w:b/>
          <w:sz w:val="28"/>
          <w:szCs w:val="28"/>
        </w:rPr>
      </w:pPr>
      <w:bookmarkStart w:id="25" w:name="_Toc50736481"/>
      <w:bookmarkStart w:id="26" w:name="_Toc275865617"/>
      <w:bookmarkStart w:id="27" w:name="_Toc52165085"/>
      <w:bookmarkStart w:id="28" w:name="_Toc50737301"/>
      <w:bookmarkStart w:id="29" w:name="_Toc50737333"/>
      <w:bookmarkStart w:id="30" w:name="_Toc50691044"/>
      <w:r>
        <w:rPr>
          <w:rFonts w:hint="eastAsia" w:ascii="宋体" w:hAnsi="宋体"/>
          <w:b/>
          <w:sz w:val="28"/>
          <w:szCs w:val="28"/>
        </w:rPr>
        <w:t>合同经验情况一览表</w:t>
      </w:r>
      <w:bookmarkEnd w:id="25"/>
      <w:bookmarkEnd w:id="26"/>
      <w:bookmarkEnd w:id="27"/>
      <w:bookmarkEnd w:id="28"/>
      <w:bookmarkEnd w:id="29"/>
      <w:bookmarkEnd w:id="30"/>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GZBC18FG05002</w:t>
      </w:r>
      <w:r>
        <w:rPr>
          <w:rFonts w:hint="eastAsia" w:ascii="宋体" w:hAnsi="宋体"/>
        </w:rPr>
        <w:t xml:space="preserve">                                   </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30"/>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GZBC18FG05002</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1"/>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1"/>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广州市番禺区水务局</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GZBC18FG05002</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GZBC18FG05002</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sym w:font="Wingdings 2" w:char="00A3"/>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u w:val="single"/>
        </w:rPr>
        <w:br w:type="page"/>
      </w:r>
    </w:p>
    <w:p>
      <w:pPr>
        <w:numPr>
          <w:ilvl w:val="0"/>
          <w:numId w:val="23"/>
        </w:numPr>
        <w:spacing w:line="440" w:lineRule="exact"/>
        <w:rPr>
          <w:rFonts w:ascii="宋体" w:hAnsi="宋体"/>
          <w:bCs/>
          <w:sz w:val="28"/>
        </w:rPr>
      </w:pPr>
      <w:bookmarkStart w:id="31" w:name="_Toc275865626"/>
      <w:bookmarkStart w:id="32" w:name="_Toc173553195"/>
    </w:p>
    <w:p>
      <w:pPr>
        <w:ind w:left="425"/>
        <w:jc w:val="center"/>
        <w:outlineLvl w:val="2"/>
        <w:rPr>
          <w:rFonts w:ascii="宋体" w:hAnsi="宋体"/>
          <w:b/>
          <w:sz w:val="28"/>
          <w:szCs w:val="28"/>
        </w:rPr>
      </w:pPr>
      <w:r>
        <w:rPr>
          <w:rFonts w:hint="eastAsia" w:ascii="宋体" w:hAnsi="宋体"/>
          <w:b/>
          <w:sz w:val="28"/>
          <w:szCs w:val="28"/>
        </w:rPr>
        <w:t>退投标保证金说明</w:t>
      </w:r>
      <w:bookmarkEnd w:id="31"/>
      <w:bookmarkEnd w:id="32"/>
    </w:p>
    <w:p>
      <w:pPr>
        <w:spacing w:line="360" w:lineRule="auto"/>
        <w:rPr>
          <w:rFonts w:ascii="宋体" w:hAnsi="宋体"/>
          <w:b/>
        </w:rPr>
      </w:pPr>
      <w:r>
        <w:rPr>
          <w:rFonts w:hint="eastAsia" w:ascii="宋体" w:hAnsi="宋体"/>
          <w:b/>
        </w:rPr>
        <w:t>特别提醒：</w:t>
      </w:r>
    </w:p>
    <w:p>
      <w:pPr>
        <w:spacing w:line="360" w:lineRule="auto"/>
        <w:ind w:firstLine="413" w:firstLineChars="196"/>
        <w:rPr>
          <w:rFonts w:ascii="宋体" w:hAns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hAnsi="宋体"/>
        </w:rPr>
      </w:pPr>
      <w:r>
        <w:rPr>
          <w:rFonts w:hint="eastAsia" w:ascii="宋体" w:hAnsi="宋体"/>
        </w:rPr>
        <w:t>我方为</w:t>
      </w:r>
      <w:r>
        <w:rPr>
          <w:rFonts w:hint="eastAsia" w:ascii="宋体" w:hAnsi="宋体"/>
          <w:u w:val="single"/>
          <w:lang w:eastAsia="zh-CN"/>
        </w:rPr>
        <w:t>番禺区水利工程管理设施防雷装置检测服务采购项目</w:t>
      </w:r>
      <w:r>
        <w:rPr>
          <w:rFonts w:hint="eastAsia" w:ascii="宋体" w:hAnsi="宋体"/>
        </w:rPr>
        <w:t>的投标（项目编号为：</w:t>
      </w:r>
      <w:r>
        <w:rPr>
          <w:rFonts w:hint="eastAsia" w:ascii="宋体" w:hAnsi="宋体"/>
          <w:lang w:eastAsia="zh-CN"/>
        </w:rPr>
        <w:t>GZBC18FG05002</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 xml:space="preserve">  （小写金额）  </w:t>
      </w:r>
      <w:r>
        <w:rPr>
          <w:rFonts w:hint="eastAsia" w:ascii="宋体" w:hAnsi="宋体"/>
        </w:rPr>
        <w:t>元，请划到以下账户：</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收款人名称</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收款人地址</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u w:val="single"/>
              </w:rPr>
              <w:t>（具体到XX银行XX支行）</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账    号</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bl>
    <w:p>
      <w:pPr>
        <w:spacing w:line="360" w:lineRule="auto"/>
        <w:ind w:firstLine="420" w:firstLineChars="200"/>
        <w:rPr>
          <w:rFonts w:ascii="宋体" w:hAnsi="宋体"/>
        </w:rPr>
      </w:pPr>
      <w:r>
        <w:rPr>
          <w:rFonts w:hint="eastAsia" w:ascii="宋体" w:hAnsi="宋体"/>
        </w:rPr>
        <w:t>备注：</w:t>
      </w:r>
      <w:r>
        <w:rPr>
          <w:rFonts w:ascii="宋体" w:hAnsi="宋体"/>
        </w:rPr>
        <w:t>此表须附在开标小信封中</w:t>
      </w:r>
      <w:r>
        <w:rPr>
          <w:rFonts w:hint="eastAsia" w:ascii="宋体" w:hAnsi="宋体"/>
        </w:rPr>
        <w:t>。当投标人收到中标通知书或招标结果通知书，申请退还投标保证金时，招标采购单位按其提供的“退投标保证金说明”，按规定退还投标人的投标保证金。</w:t>
      </w:r>
    </w:p>
    <w:p>
      <w:pPr>
        <w:rPr>
          <w:rFonts w:ascii="宋体" w:hAnsi="宋体"/>
          <w:u w:val="dash"/>
        </w:rPr>
      </w:pPr>
      <w:r>
        <w:rPr>
          <w:rFonts w:hint="eastAsia" w:ascii="宋体" w:hAnsi="宋体"/>
          <w:u w:val="dash"/>
        </w:rPr>
        <w:t xml:space="preserve">                                                                                       </w:t>
      </w:r>
    </w:p>
    <w:p>
      <w:pPr>
        <w:spacing w:line="360" w:lineRule="auto"/>
        <w:ind w:firstLine="413" w:firstLineChars="196"/>
        <w:rPr>
          <w:rFonts w:ascii="宋体" w:hAnsi="宋体"/>
          <w:b/>
        </w:rPr>
      </w:pPr>
      <w:r>
        <w:rPr>
          <w:rFonts w:hint="eastAsia" w:ascii="宋体" w:hAnsi="宋体"/>
          <w:b/>
        </w:rPr>
        <w:t>为及时退还投标人的投标保证金，若存在以下三种情形的，则按以下规定执行：</w:t>
      </w:r>
    </w:p>
    <w:p>
      <w:pPr>
        <w:pStyle w:val="17"/>
        <w:numPr>
          <w:ilvl w:val="0"/>
          <w:numId w:val="32"/>
        </w:numPr>
        <w:spacing w:line="360" w:lineRule="auto"/>
        <w:ind w:firstLineChars="0"/>
        <w:rPr>
          <w:rFonts w:ascii="宋体" w:hAnsi="宋体"/>
          <w:b/>
        </w:rPr>
      </w:pPr>
      <w:r>
        <w:rPr>
          <w:rFonts w:hint="eastAsia" w:ascii="宋体" w:hAnsi="宋体"/>
          <w:b/>
        </w:rPr>
        <w:t>单位名称变更</w:t>
      </w:r>
    </w:p>
    <w:p>
      <w:pPr>
        <w:pStyle w:val="17"/>
        <w:spacing w:line="360" w:lineRule="auto"/>
        <w:ind w:left="420" w:firstLine="0" w:firstLineChars="0"/>
        <w:rPr>
          <w:rFonts w:ascii="宋体" w:hAnsi="宋体"/>
        </w:rPr>
      </w:pPr>
      <w:r>
        <w:rPr>
          <w:rFonts w:hint="eastAsia" w:ascii="宋体" w:hAnsi="宋体"/>
        </w:rPr>
        <w:t>A. 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17"/>
        <w:spacing w:line="360" w:lineRule="auto"/>
        <w:ind w:left="420" w:firstLine="0" w:firstLineChars="0"/>
        <w:rPr>
          <w:rFonts w:ascii="宋体" w:hAnsi="宋体"/>
          <w:b/>
        </w:rPr>
      </w:pPr>
      <w:r>
        <w:rPr>
          <w:rFonts w:hint="eastAsia" w:ascii="宋体" w:hAnsi="宋体"/>
        </w:rPr>
        <w:t>B. 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17"/>
        <w:numPr>
          <w:ilvl w:val="0"/>
          <w:numId w:val="32"/>
        </w:numPr>
        <w:spacing w:line="360" w:lineRule="auto"/>
        <w:ind w:firstLineChars="0"/>
        <w:rPr>
          <w:rFonts w:ascii="宋体" w:hAnsi="宋体"/>
          <w:b/>
        </w:rPr>
      </w:pPr>
      <w:r>
        <w:rPr>
          <w:rFonts w:hint="eastAsia" w:ascii="宋体" w:hAnsi="宋体"/>
          <w:b/>
        </w:rPr>
        <w:t>收支两条线</w:t>
      </w:r>
    </w:p>
    <w:p>
      <w:pPr>
        <w:pStyle w:val="17"/>
        <w:spacing w:line="360" w:lineRule="auto"/>
        <w:ind w:left="462" w:firstLine="0" w:firstLineChars="0"/>
        <w:rPr>
          <w:rFonts w:ascii="宋体" w:hAns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17"/>
        <w:numPr>
          <w:ilvl w:val="0"/>
          <w:numId w:val="32"/>
        </w:numPr>
        <w:spacing w:line="360" w:lineRule="auto"/>
        <w:ind w:firstLineChars="0"/>
        <w:rPr>
          <w:rFonts w:ascii="宋体" w:hAnsi="宋体"/>
          <w:b/>
        </w:rPr>
      </w:pPr>
      <w:r>
        <w:rPr>
          <w:rFonts w:hint="eastAsia" w:ascii="宋体" w:hAnsi="宋体"/>
          <w:b/>
        </w:rPr>
        <w:t>标前确定不参加投标</w:t>
      </w:r>
    </w:p>
    <w:p>
      <w:pPr>
        <w:spacing w:line="360" w:lineRule="auto"/>
        <w:ind w:firstLine="420" w:firstLineChars="200"/>
        <w:rPr>
          <w:rFonts w:ascii="宋体" w:hAnsi="宋体"/>
        </w:rPr>
      </w:pPr>
      <w:r>
        <w:rPr>
          <w:rFonts w:ascii="宋体" w:hAnsi="宋体"/>
        </w:rPr>
        <w:t>若投标人已汇入投标保证金，但不参加投标时，请务必在项目开标前将该《退投标保证金说明》按规定填写完整盖章后，传真至</w:t>
      </w:r>
      <w:r>
        <w:rPr>
          <w:rFonts w:hint="eastAsia" w:ascii="宋体" w:hAnsi="宋体"/>
          <w:lang w:eastAsia="zh-CN"/>
        </w:rPr>
        <w:t>020-37887429</w:t>
      </w:r>
      <w:r>
        <w:rPr>
          <w:rFonts w:ascii="宋体" w:hAnsi="宋体"/>
        </w:rPr>
        <w:t>或扫描发至</w:t>
      </w:r>
      <w:r>
        <w:rPr>
          <w:rFonts w:hint="eastAsia" w:ascii="宋体" w:hAnsi="宋体"/>
          <w:lang w:eastAsia="zh-CN"/>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hAnsi="宋体"/>
        </w:rPr>
      </w:pPr>
      <w:r>
        <w:rPr>
          <w:rFonts w:hint="eastAsia" w:ascii="宋体" w:hAnsi="宋体"/>
        </w:rPr>
        <w:t>投标人（公章）：</w:t>
      </w:r>
      <w:r>
        <w:rPr>
          <w:rFonts w:hint="eastAsia" w:ascii="宋体" w:hAnsi="宋体"/>
          <w:u w:val="single"/>
        </w:rPr>
        <w:t xml:space="preserve">             </w:t>
      </w:r>
    </w:p>
    <w:p>
      <w:pPr>
        <w:pStyle w:val="5"/>
        <w:ind w:left="4679" w:leftChars="2228"/>
        <w:rPr>
          <w:rFonts w:hAnsi="宋体"/>
        </w:rPr>
      </w:pPr>
      <w:r>
        <w:rPr>
          <w:rFonts w:hint="eastAsia" w:hAnsi="宋体"/>
        </w:rPr>
        <w:t>日期</w:t>
      </w:r>
      <w:r>
        <w:rPr>
          <w:rFonts w:hAnsi="宋体"/>
        </w:rPr>
        <w:t>：</w:t>
      </w:r>
      <w:r>
        <w:rPr>
          <w:rFonts w:hint="eastAsia" w:hAnsi="宋体"/>
          <w:u w:val="single"/>
        </w:rPr>
        <w:t xml:space="preserve">             </w:t>
      </w:r>
    </w:p>
    <w:p>
      <w:pPr>
        <w:numPr>
          <w:ilvl w:val="0"/>
          <w:numId w:val="23"/>
        </w:num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numPr>
          <w:ilvl w:val="0"/>
          <w:numId w:val="23"/>
        </w:numPr>
        <w:spacing w:line="440" w:lineRule="exact"/>
        <w:rPr>
          <w:rFonts w:ascii="宋体" w:hAnsi="宋体"/>
          <w:b/>
          <w:sz w:val="36"/>
          <w:szCs w:val="36"/>
        </w:rPr>
      </w:pPr>
    </w:p>
    <w:p>
      <w:pPr>
        <w:adjustRightInd w:val="0"/>
        <w:snapToGrid w:val="0"/>
        <w:jc w:val="center"/>
        <w:outlineLvl w:val="2"/>
        <w:rPr>
          <w:rFonts w:ascii="宋体" w:hAnsi="宋体"/>
          <w:b/>
          <w:sz w:val="28"/>
          <w:szCs w:val="28"/>
        </w:rPr>
      </w:pPr>
      <w:r>
        <w:rPr>
          <w:rFonts w:hint="eastAsia" w:ascii="宋体" w:hAnsi="宋体"/>
          <w:b/>
          <w:sz w:val="28"/>
          <w:szCs w:val="28"/>
        </w:rPr>
        <w:t>政府采购投标担保函（可选）</w:t>
      </w:r>
    </w:p>
    <w:p>
      <w:pPr>
        <w:adjustRightInd w:val="0"/>
        <w:snapToGrid w:val="0"/>
        <w:jc w:val="center"/>
        <w:rPr>
          <w:rFonts w:ascii="宋体" w:hAnsi="宋体"/>
          <w:b/>
        </w:rPr>
      </w:pPr>
      <w:r>
        <w:rPr>
          <w:rFonts w:hint="eastAsia" w:ascii="宋体" w:hAnsi="宋体"/>
          <w:b/>
        </w:rPr>
        <w:t>（若用电汇方式缴纳投标保证金，可不递交该投标担保函）</w:t>
      </w:r>
    </w:p>
    <w:p>
      <w:pPr>
        <w:adjustRightInd w:val="0"/>
        <w:snapToGrid w:val="0"/>
        <w:spacing w:line="320" w:lineRule="exact"/>
        <w:rPr>
          <w:rFonts w:ascii="宋体" w:hAnsi="宋体"/>
        </w:rPr>
      </w:pPr>
      <w:r>
        <w:rPr>
          <w:rFonts w:hint="eastAsia" w:ascii="宋体" w:hAnsi="宋体"/>
          <w:u w:val="single"/>
        </w:rPr>
        <w:t xml:space="preserve">                  </w:t>
      </w:r>
      <w:r>
        <w:rPr>
          <w:rFonts w:hint="eastAsia" w:ascii="宋体" w:hAnsi="宋体"/>
        </w:rPr>
        <w:t>（采购人或采购代理机构）：</w:t>
      </w:r>
    </w:p>
    <w:p>
      <w:pPr>
        <w:adjustRightInd w:val="0"/>
        <w:snapToGrid w:val="0"/>
        <w:spacing w:line="300" w:lineRule="exact"/>
        <w:ind w:firstLine="420"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番禺区水利工程管理设施防雷装置检测服务采购项目</w:t>
      </w:r>
      <w:r>
        <w:rPr>
          <w:rFonts w:hint="eastAsia" w:ascii="宋体" w:hAnsi="宋体"/>
          <w:u w:val="single"/>
        </w:rPr>
        <w:t>（</w:t>
      </w:r>
      <w:r>
        <w:rPr>
          <w:rFonts w:hint="eastAsia" w:ascii="宋体" w:hAnsi="宋体"/>
        </w:rPr>
        <w:t>项目编号：</w:t>
      </w:r>
      <w:r>
        <w:rPr>
          <w:rFonts w:hint="eastAsia" w:ascii="宋体" w:hAnsi="宋体"/>
          <w:lang w:eastAsia="zh-CN"/>
        </w:rPr>
        <w:t>GZBC18FG05002</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hAnsi="宋体"/>
        </w:rPr>
      </w:pPr>
      <w:r>
        <w:rPr>
          <w:rFonts w:hint="eastAsia" w:ascii="宋体" w:hAnsi="宋体"/>
        </w:rPr>
        <w:t>一、保证责任的情形及保证金额</w:t>
      </w:r>
    </w:p>
    <w:p>
      <w:pPr>
        <w:adjustRightInd w:val="0"/>
        <w:snapToGrid w:val="0"/>
        <w:spacing w:line="300" w:lineRule="exact"/>
        <w:ind w:firstLine="210" w:firstLineChars="100"/>
        <w:rPr>
          <w:rFonts w:ascii="宋体" w:hAns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hAnsi="宋体"/>
        </w:rPr>
      </w:pPr>
      <w:r>
        <w:rPr>
          <w:rFonts w:hint="eastAsia" w:ascii="宋体" w:hAnsi="宋体"/>
        </w:rPr>
        <w:t>1．中标后投标人无正当理由不与采购人或者采购代理机构签订《政府采购合同》；</w:t>
      </w:r>
    </w:p>
    <w:p>
      <w:pPr>
        <w:adjustRightInd w:val="0"/>
        <w:snapToGrid w:val="0"/>
        <w:spacing w:line="300" w:lineRule="exact"/>
        <w:ind w:firstLine="420" w:firstLineChars="200"/>
        <w:rPr>
          <w:rFonts w:ascii="宋体" w:hAnsi="宋体"/>
        </w:rPr>
      </w:pPr>
      <w:r>
        <w:rPr>
          <w:rFonts w:hint="eastAsia" w:ascii="宋体" w:hAnsi="宋体"/>
        </w:rPr>
        <w:t>2．招标文件规定的投标人应当缴纳保证金的其他情形。</w:t>
      </w:r>
    </w:p>
    <w:p>
      <w:pPr>
        <w:adjustRightInd w:val="0"/>
        <w:snapToGrid w:val="0"/>
        <w:spacing w:line="300" w:lineRule="exact"/>
        <w:ind w:firstLine="210"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adjustRightInd w:val="0"/>
        <w:snapToGrid w:val="0"/>
        <w:spacing w:line="300" w:lineRule="exact"/>
        <w:ind w:firstLine="420" w:firstLineChars="200"/>
        <w:rPr>
          <w:rFonts w:ascii="宋体" w:hAnsi="宋体"/>
        </w:rPr>
      </w:pPr>
      <w:r>
        <w:rPr>
          <w:rFonts w:hint="eastAsia" w:ascii="宋体" w:hAnsi="宋体"/>
        </w:rPr>
        <w:t>二、保证的方式及保证期间</w:t>
      </w:r>
    </w:p>
    <w:p>
      <w:pPr>
        <w:adjustRightInd w:val="0"/>
        <w:snapToGrid w:val="0"/>
        <w:spacing w:line="300" w:lineRule="exact"/>
        <w:ind w:firstLine="420" w:firstLineChars="200"/>
        <w:rPr>
          <w:rFonts w:ascii="宋体" w:hAnsi="宋体"/>
        </w:rPr>
      </w:pPr>
      <w:r>
        <w:rPr>
          <w:rFonts w:hint="eastAsia" w:ascii="宋体" w:hAnsi="宋体"/>
        </w:rPr>
        <w:t>我方保证的方式为：连带责任保证。</w:t>
      </w:r>
    </w:p>
    <w:p>
      <w:pPr>
        <w:adjustRightInd w:val="0"/>
        <w:snapToGrid w:val="0"/>
        <w:spacing w:line="300" w:lineRule="exact"/>
        <w:ind w:firstLine="420"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adjustRightInd w:val="0"/>
        <w:snapToGrid w:val="0"/>
        <w:spacing w:line="300" w:lineRule="exact"/>
        <w:ind w:firstLine="420" w:firstLineChars="200"/>
        <w:rPr>
          <w:rFonts w:ascii="宋体" w:hAnsi="宋体"/>
        </w:rPr>
      </w:pPr>
      <w:r>
        <w:rPr>
          <w:rFonts w:hint="eastAsia" w:ascii="宋体" w:hAnsi="宋体"/>
        </w:rPr>
        <w:t>三、承担保证责任的程序</w:t>
      </w:r>
    </w:p>
    <w:p>
      <w:pPr>
        <w:adjustRightInd w:val="0"/>
        <w:snapToGrid w:val="0"/>
        <w:spacing w:line="300" w:lineRule="exact"/>
        <w:ind w:firstLine="420"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hAnsi="宋体"/>
        </w:rPr>
      </w:pPr>
      <w:r>
        <w:rPr>
          <w:rFonts w:hint="eastAsia" w:ascii="宋体" w:hAnsi="宋体"/>
        </w:rPr>
        <w:t>四、保证责任的终止</w:t>
      </w:r>
    </w:p>
    <w:p>
      <w:pPr>
        <w:adjustRightInd w:val="0"/>
        <w:snapToGrid w:val="0"/>
        <w:spacing w:line="300" w:lineRule="exact"/>
        <w:ind w:firstLine="420" w:firstLineChars="200"/>
        <w:rPr>
          <w:rFonts w:ascii="宋体" w:hAnsi="宋体"/>
        </w:rPr>
      </w:pPr>
      <w:r>
        <w:rPr>
          <w:rFonts w:hint="eastAsia" w:ascii="宋体" w:hAnsi="宋体"/>
        </w:rPr>
        <w:t>1．保证期间届满你方未向我方书面主张保证责任的，自保证期间届满次日起，我方保证责任自动终止。</w:t>
      </w:r>
    </w:p>
    <w:p>
      <w:pPr>
        <w:adjustRightInd w:val="0"/>
        <w:snapToGrid w:val="0"/>
        <w:spacing w:line="300" w:lineRule="exact"/>
        <w:ind w:firstLine="420"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hAnsi="宋体"/>
        </w:rPr>
      </w:pPr>
      <w:r>
        <w:rPr>
          <w:rFonts w:hint="eastAsia" w:ascii="宋体" w:hAnsi="宋体"/>
        </w:rPr>
        <w:t>3．按照法律法规的规定或出现我方保证责任终止的其它情形的，我方在本保函项下的保证责任亦终止。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hAnsi="宋体"/>
        </w:rPr>
      </w:pPr>
      <w:r>
        <w:rPr>
          <w:rFonts w:hint="eastAsia" w:ascii="宋体" w:hAnsi="宋体"/>
        </w:rPr>
        <w:t>五、免责条款</w:t>
      </w:r>
    </w:p>
    <w:p>
      <w:pPr>
        <w:adjustRightInd w:val="0"/>
        <w:snapToGrid w:val="0"/>
        <w:spacing w:line="300" w:lineRule="exact"/>
        <w:ind w:firstLine="420"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hAnsi="宋体"/>
        </w:rPr>
      </w:pPr>
      <w:r>
        <w:rPr>
          <w:rFonts w:hint="eastAsia" w:ascii="宋体" w:hAnsi="宋体"/>
        </w:rPr>
        <w:t>2．因你方原因致使投标人发生本保函第一条第（一）款约定情形的，我方不承担保证责任。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3．因不可抗力造成投标人发生本保函第一条约定情形的，我方不承担保证责任。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hAnsi="宋体"/>
        </w:rPr>
      </w:pPr>
      <w:r>
        <w:rPr>
          <w:rFonts w:hint="eastAsia" w:ascii="宋体" w:hAnsi="宋体"/>
        </w:rPr>
        <w:t>六、争议的解决</w:t>
      </w:r>
    </w:p>
    <w:p>
      <w:pPr>
        <w:adjustRightInd w:val="0"/>
        <w:snapToGrid w:val="0"/>
        <w:spacing w:line="300" w:lineRule="exact"/>
        <w:ind w:firstLine="420"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adjustRightInd w:val="0"/>
        <w:snapToGrid w:val="0"/>
        <w:spacing w:line="300" w:lineRule="exact"/>
        <w:ind w:firstLine="420" w:firstLineChars="200"/>
        <w:rPr>
          <w:rFonts w:ascii="宋体" w:hAnsi="宋体"/>
        </w:rPr>
      </w:pPr>
      <w:r>
        <w:rPr>
          <w:rFonts w:hint="eastAsia" w:ascii="宋体" w:hAnsi="宋体"/>
        </w:rPr>
        <w:t>七、保函的生效:本保函自我方加盖公章之日起生效。</w:t>
      </w:r>
    </w:p>
    <w:p>
      <w:pPr>
        <w:adjustRightInd w:val="0"/>
        <w:snapToGrid w:val="0"/>
        <w:spacing w:line="300" w:lineRule="exact"/>
        <w:ind w:firstLine="5565" w:firstLineChars="2650"/>
        <w:rPr>
          <w:rFonts w:ascii="宋体" w:hAnsi="宋体"/>
        </w:rPr>
      </w:pPr>
      <w:r>
        <w:rPr>
          <w:rFonts w:hint="eastAsia" w:ascii="宋体" w:hAnsi="宋体"/>
        </w:rPr>
        <w:t>保证人：（公章）</w:t>
      </w:r>
    </w:p>
    <w:p>
      <w:pPr>
        <w:adjustRightInd w:val="0"/>
        <w:snapToGrid w:val="0"/>
        <w:spacing w:line="300" w:lineRule="exact"/>
        <w:ind w:right="840" w:firstLine="5460" w:firstLineChars="2600"/>
        <w:rPr>
          <w:rFonts w:hint="eastAsia" w:ascii="宋体" w:hAnsi="宋体"/>
        </w:rPr>
      </w:pPr>
      <w:r>
        <w:rPr>
          <w:rFonts w:hint="eastAsia" w:ascii="宋体" w:hAnsi="宋体"/>
        </w:rPr>
        <w:t>年     月      日</w:t>
      </w:r>
    </w:p>
    <w:p>
      <w:pPr>
        <w:spacing w:line="360" w:lineRule="auto"/>
        <w:jc w:val="both"/>
        <w:rPr>
          <w:rFonts w:hint="eastAsia" w:ascii="宋体" w:hAnsi="宋体"/>
          <w:b/>
          <w:bCs/>
          <w:sz w:val="28"/>
          <w:szCs w:val="28"/>
        </w:rPr>
      </w:pPr>
      <w:bookmarkStart w:id="33" w:name="_Toc492302255"/>
      <w:bookmarkStart w:id="34" w:name="_Toc438223019"/>
      <w:bookmarkStart w:id="35" w:name="_Toc435174932"/>
      <w:bookmarkStart w:id="36" w:name="_Toc480529443"/>
      <w:bookmarkStart w:id="37" w:name="_Toc435516649"/>
      <w:bookmarkStart w:id="38" w:name="_Toc435542344"/>
      <w:r>
        <w:rPr>
          <w:rFonts w:hint="eastAsia" w:ascii="宋体" w:hAnsi="宋体"/>
          <w:b/>
          <w:bCs/>
          <w:sz w:val="28"/>
          <w:szCs w:val="28"/>
        </w:rPr>
        <w:br w:type="page"/>
      </w:r>
    </w:p>
    <w:p>
      <w:pPr>
        <w:spacing w:line="360" w:lineRule="auto"/>
        <w:jc w:val="both"/>
        <w:rPr>
          <w:rFonts w:hint="eastAsia" w:ascii="宋体" w:hAnsi="宋体"/>
          <w:b/>
          <w:bCs/>
          <w:sz w:val="28"/>
          <w:szCs w:val="28"/>
          <w:lang w:val="en-US" w:eastAsia="zh-CN"/>
        </w:rPr>
      </w:pPr>
      <w:r>
        <w:rPr>
          <w:rFonts w:hint="eastAsia" w:ascii="宋体" w:hAnsi="宋体"/>
          <w:b/>
          <w:bCs/>
          <w:sz w:val="28"/>
          <w:szCs w:val="28"/>
          <w:lang w:eastAsia="zh-CN"/>
        </w:rPr>
        <w:t>格式</w:t>
      </w:r>
      <w:r>
        <w:rPr>
          <w:rFonts w:hint="eastAsia" w:ascii="宋体" w:hAnsi="宋体"/>
          <w:b/>
          <w:bCs/>
          <w:sz w:val="28"/>
          <w:szCs w:val="28"/>
          <w:lang w:val="en-US" w:eastAsia="zh-CN"/>
        </w:rPr>
        <w:t>18</w:t>
      </w:r>
    </w:p>
    <w:p>
      <w:pPr>
        <w:jc w:val="center"/>
        <w:rPr>
          <w:rFonts w:ascii="宋体" w:hAnsi="宋体"/>
          <w:b/>
          <w:sz w:val="28"/>
          <w:szCs w:val="28"/>
        </w:rPr>
      </w:pPr>
      <w:r>
        <w:rPr>
          <w:rFonts w:hint="eastAsia" w:ascii="宋体" w:hAnsi="宋体"/>
          <w:b/>
          <w:sz w:val="28"/>
          <w:szCs w:val="28"/>
        </w:rPr>
        <w:t>实质性指标响应表</w:t>
      </w:r>
    </w:p>
    <w:p>
      <w:pPr>
        <w:spacing w:line="360" w:lineRule="auto"/>
        <w:rPr>
          <w:rFonts w:ascii="宋体" w:hAnsi="宋体"/>
        </w:rPr>
      </w:pPr>
      <w:r>
        <w:rPr>
          <w:rFonts w:hint="eastAsia" w:ascii="宋体" w:hAnsi="宋体"/>
        </w:rPr>
        <w:t xml:space="preserve">项目名称： </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23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75" w:type="dxa"/>
            <w:vAlign w:val="center"/>
          </w:tcPr>
          <w:p>
            <w:pPr>
              <w:spacing w:line="276" w:lineRule="auto"/>
              <w:jc w:val="center"/>
              <w:rPr>
                <w:rFonts w:ascii="宋体" w:hAnsi="宋体" w:cs="Arial"/>
                <w:b/>
                <w:szCs w:val="21"/>
              </w:rPr>
            </w:pPr>
            <w:r>
              <w:rPr>
                <w:rFonts w:hint="eastAsia" w:ascii="宋体" w:hAnsi="宋体" w:cs="Arial"/>
                <w:b/>
                <w:szCs w:val="21"/>
              </w:rPr>
              <w:t>序号</w:t>
            </w:r>
          </w:p>
        </w:tc>
        <w:tc>
          <w:tcPr>
            <w:tcW w:w="6237" w:type="dxa"/>
            <w:vAlign w:val="center"/>
          </w:tcPr>
          <w:p>
            <w:pPr>
              <w:spacing w:line="276" w:lineRule="auto"/>
              <w:jc w:val="center"/>
              <w:rPr>
                <w:rFonts w:ascii="宋体" w:hAnsi="宋体" w:cs="Arial"/>
                <w:b/>
                <w:szCs w:val="21"/>
              </w:rPr>
            </w:pPr>
            <w:r>
              <w:rPr>
                <w:rFonts w:hint="eastAsia" w:ascii="宋体" w:hAnsi="宋体" w:cs="Arial"/>
                <w:b/>
                <w:szCs w:val="21"/>
              </w:rPr>
              <w:t>招标文件内容提要</w:t>
            </w:r>
          </w:p>
        </w:tc>
        <w:tc>
          <w:tcPr>
            <w:tcW w:w="2552" w:type="dxa"/>
            <w:vAlign w:val="center"/>
          </w:tcPr>
          <w:p>
            <w:pPr>
              <w:spacing w:line="276" w:lineRule="auto"/>
              <w:jc w:val="center"/>
              <w:rPr>
                <w:rFonts w:ascii="宋体" w:hAnsi="宋体" w:cs="Arial"/>
                <w:b/>
                <w:szCs w:val="21"/>
              </w:rPr>
            </w:pPr>
            <w:r>
              <w:rPr>
                <w:rFonts w:hint="eastAsia" w:ascii="宋体" w:hAnsi="宋体" w:cs="Arial"/>
                <w:b/>
                <w:szCs w:val="21"/>
              </w:rPr>
              <w:t>投标文件响应章节页码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75" w:type="dxa"/>
            <w:vAlign w:val="center"/>
          </w:tcPr>
          <w:p>
            <w:pPr>
              <w:spacing w:line="276" w:lineRule="auto"/>
              <w:jc w:val="center"/>
              <w:rPr>
                <w:rFonts w:ascii="宋体" w:hAnsi="宋体" w:cs="Arial"/>
                <w:szCs w:val="21"/>
              </w:rPr>
            </w:pPr>
            <w:r>
              <w:rPr>
                <w:rFonts w:hint="eastAsia" w:ascii="宋体" w:hAnsi="宋体" w:cs="Arial"/>
                <w:szCs w:val="21"/>
              </w:rPr>
              <w:t>1</w:t>
            </w:r>
          </w:p>
        </w:tc>
        <w:tc>
          <w:tcPr>
            <w:tcW w:w="6237" w:type="dxa"/>
            <w:vAlign w:val="center"/>
          </w:tcPr>
          <w:p>
            <w:pPr>
              <w:spacing w:line="276" w:lineRule="auto"/>
              <w:rPr>
                <w:rFonts w:ascii="宋体" w:hAnsi="宋体" w:cs="Arial"/>
                <w:szCs w:val="21"/>
              </w:rPr>
            </w:pPr>
          </w:p>
        </w:tc>
        <w:tc>
          <w:tcPr>
            <w:tcW w:w="2552" w:type="dxa"/>
            <w:vAlign w:val="center"/>
          </w:tcPr>
          <w:p>
            <w:pPr>
              <w:spacing w:line="276"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75" w:type="dxa"/>
            <w:vAlign w:val="center"/>
          </w:tcPr>
          <w:p>
            <w:pPr>
              <w:spacing w:line="276" w:lineRule="auto"/>
              <w:jc w:val="center"/>
              <w:rPr>
                <w:rFonts w:ascii="宋体" w:hAnsi="宋体" w:cs="Arial"/>
                <w:szCs w:val="21"/>
              </w:rPr>
            </w:pPr>
            <w:r>
              <w:rPr>
                <w:rFonts w:hint="eastAsia" w:ascii="宋体" w:hAnsi="宋体" w:cs="Arial"/>
                <w:szCs w:val="21"/>
              </w:rPr>
              <w:t>2</w:t>
            </w:r>
          </w:p>
        </w:tc>
        <w:tc>
          <w:tcPr>
            <w:tcW w:w="6237" w:type="dxa"/>
            <w:vAlign w:val="center"/>
          </w:tcPr>
          <w:p>
            <w:pPr>
              <w:spacing w:line="276" w:lineRule="auto"/>
              <w:outlineLvl w:val="3"/>
              <w:rPr>
                <w:rFonts w:ascii="宋体" w:hAnsi="宋体"/>
                <w:szCs w:val="21"/>
                <w:lang w:val="en-GB"/>
              </w:rPr>
            </w:pPr>
          </w:p>
        </w:tc>
        <w:tc>
          <w:tcPr>
            <w:tcW w:w="2552" w:type="dxa"/>
            <w:vAlign w:val="center"/>
          </w:tcPr>
          <w:p>
            <w:pPr>
              <w:spacing w:line="276"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75" w:type="dxa"/>
            <w:vAlign w:val="center"/>
          </w:tcPr>
          <w:p>
            <w:pPr>
              <w:spacing w:line="276" w:lineRule="auto"/>
              <w:jc w:val="center"/>
              <w:rPr>
                <w:rFonts w:ascii="宋体" w:hAnsi="宋体" w:cs="Arial"/>
                <w:szCs w:val="21"/>
              </w:rPr>
            </w:pPr>
            <w:r>
              <w:rPr>
                <w:rFonts w:hint="eastAsia" w:ascii="宋体" w:hAnsi="宋体" w:cs="Arial"/>
                <w:szCs w:val="21"/>
              </w:rPr>
              <w:t>3</w:t>
            </w:r>
          </w:p>
        </w:tc>
        <w:tc>
          <w:tcPr>
            <w:tcW w:w="6237" w:type="dxa"/>
            <w:vAlign w:val="center"/>
          </w:tcPr>
          <w:p>
            <w:pPr>
              <w:spacing w:line="276" w:lineRule="auto"/>
              <w:rPr>
                <w:rFonts w:ascii="宋体" w:hAnsi="宋体" w:cs="Arial"/>
                <w:szCs w:val="21"/>
              </w:rPr>
            </w:pPr>
          </w:p>
        </w:tc>
        <w:tc>
          <w:tcPr>
            <w:tcW w:w="2552" w:type="dxa"/>
            <w:vAlign w:val="center"/>
          </w:tcPr>
          <w:p>
            <w:pPr>
              <w:spacing w:line="276"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75" w:type="dxa"/>
            <w:vAlign w:val="center"/>
          </w:tcPr>
          <w:p>
            <w:pPr>
              <w:spacing w:line="276" w:lineRule="auto"/>
              <w:jc w:val="center"/>
              <w:rPr>
                <w:rFonts w:ascii="宋体" w:hAnsi="宋体" w:cs="Arial"/>
                <w:szCs w:val="21"/>
              </w:rPr>
            </w:pPr>
            <w:r>
              <w:rPr>
                <w:rFonts w:ascii="宋体" w:hAnsi="宋体" w:cs="Arial"/>
                <w:szCs w:val="21"/>
              </w:rPr>
              <w:t>…</w:t>
            </w:r>
          </w:p>
        </w:tc>
        <w:tc>
          <w:tcPr>
            <w:tcW w:w="6237" w:type="dxa"/>
            <w:vAlign w:val="center"/>
          </w:tcPr>
          <w:p>
            <w:pPr>
              <w:spacing w:line="276" w:lineRule="auto"/>
              <w:rPr>
                <w:rFonts w:ascii="宋体" w:hAnsi="宋体"/>
                <w:szCs w:val="21"/>
              </w:rPr>
            </w:pPr>
          </w:p>
        </w:tc>
        <w:tc>
          <w:tcPr>
            <w:tcW w:w="2552" w:type="dxa"/>
            <w:vAlign w:val="center"/>
          </w:tcPr>
          <w:p>
            <w:pPr>
              <w:spacing w:line="276" w:lineRule="auto"/>
              <w:jc w:val="center"/>
              <w:rPr>
                <w:rFonts w:ascii="宋体" w:hAnsi="宋体" w:cs="Arial"/>
                <w:szCs w:val="21"/>
              </w:rPr>
            </w:pPr>
          </w:p>
        </w:tc>
      </w:tr>
    </w:tbl>
    <w:p>
      <w:pPr>
        <w:ind w:right="-170" w:rightChars="-81"/>
        <w:rPr>
          <w:rFonts w:ascii="宋体" w:hAnsi="宋体" w:cs="Arial"/>
          <w:szCs w:val="21"/>
        </w:rPr>
      </w:pPr>
      <w:r>
        <w:rPr>
          <w:rFonts w:hint="eastAsia" w:ascii="宋体" w:hAnsi="宋体" w:cs="Arial"/>
          <w:szCs w:val="21"/>
        </w:rPr>
        <w:t>注：</w:t>
      </w:r>
    </w:p>
    <w:p>
      <w:pPr>
        <w:ind w:left="565" w:leftChars="169" w:right="25" w:rightChars="12" w:hanging="210" w:hangingChars="100"/>
        <w:rPr>
          <w:rFonts w:ascii="宋体" w:hAnsi="宋体"/>
          <w:sz w:val="24"/>
        </w:rPr>
      </w:pPr>
      <w:r>
        <w:rPr>
          <w:rFonts w:hint="eastAsia" w:ascii="宋体" w:hAnsi="宋体" w:cs="Arial"/>
          <w:szCs w:val="21"/>
        </w:rPr>
        <w:t>1.供应商须对招标文件中所有</w:t>
      </w:r>
      <w:r>
        <w:rPr>
          <w:rFonts w:ascii="宋体" w:hAnsi="宋体" w:cs="Arial"/>
          <w:szCs w:val="21"/>
        </w:rPr>
        <w:t>“</w:t>
      </w:r>
      <w:r>
        <w:rPr>
          <w:rFonts w:hint="eastAsia" w:ascii="宋体" w:hAnsi="宋体" w:cs="宋体"/>
          <w:szCs w:val="21"/>
        </w:rPr>
        <w:t>★</w:t>
      </w:r>
      <w:r>
        <w:rPr>
          <w:rFonts w:ascii="宋体" w:hAnsi="宋体" w:cs="Arial"/>
          <w:szCs w:val="21"/>
        </w:rPr>
        <w:t>”</w:t>
      </w:r>
      <w:r>
        <w:rPr>
          <w:rFonts w:hint="eastAsia" w:ascii="宋体" w:hAnsi="宋体" w:cs="Arial"/>
          <w:szCs w:val="21"/>
        </w:rPr>
        <w:t>号指标进行响应，并按投标文件中响应</w:t>
      </w:r>
      <w:r>
        <w:rPr>
          <w:rFonts w:hint="eastAsia" w:ascii="宋体" w:hAnsi="宋体" w:cs="Arial"/>
          <w:bCs/>
          <w:szCs w:val="21"/>
        </w:rPr>
        <w:t>章节和页码</w:t>
      </w:r>
      <w:r>
        <w:rPr>
          <w:rFonts w:hint="eastAsia" w:ascii="宋体" w:hAnsi="宋体" w:cs="Arial"/>
          <w:szCs w:val="21"/>
        </w:rPr>
        <w:t>填写此表，</w:t>
      </w:r>
      <w:r>
        <w:rPr>
          <w:rFonts w:hint="eastAsia" w:ascii="宋体" w:hAnsi="宋体"/>
          <w:szCs w:val="21"/>
          <w:lang w:val="en-GB"/>
        </w:rPr>
        <w:t>本表内容不得擅自修改。</w:t>
      </w:r>
    </w:p>
    <w:p>
      <w:pPr>
        <w:ind w:right="-170" w:rightChars="-81" w:firstLine="315" w:firstLineChars="150"/>
        <w:rPr>
          <w:rFonts w:ascii="宋体" w:hAnsi="宋体"/>
          <w:szCs w:val="21"/>
        </w:rPr>
      </w:pPr>
      <w:r>
        <w:rPr>
          <w:rFonts w:hint="eastAsia" w:ascii="宋体" w:hAnsi="宋体"/>
          <w:szCs w:val="21"/>
        </w:rPr>
        <w:t>2.请供应商认真填写本表内容，如填写错误将可能导致投标无效。</w:t>
      </w:r>
    </w:p>
    <w:p>
      <w:pPr>
        <w:rPr>
          <w:rFonts w:ascii="宋体" w:hAnsi="宋体"/>
        </w:rPr>
      </w:pPr>
    </w:p>
    <w:p>
      <w:pPr>
        <w:rPr>
          <w:rFonts w:ascii="宋体" w:hAnsi="宋体"/>
          <w:szCs w:val="21"/>
        </w:rPr>
      </w:pPr>
    </w:p>
    <w:p>
      <w:pPr>
        <w:ind w:left="1155" w:hanging="525"/>
        <w:rPr>
          <w:rFonts w:ascii="宋体" w:hAnsi="宋体"/>
        </w:rPr>
      </w:pPr>
    </w:p>
    <w:p>
      <w:pPr>
        <w:rPr>
          <w:rFonts w:ascii="宋体" w:hAnsi="宋体"/>
        </w:rPr>
      </w:pPr>
    </w:p>
    <w:p>
      <w:pPr>
        <w:spacing w:line="360" w:lineRule="auto"/>
        <w:ind w:firstLine="3885" w:firstLineChars="1850"/>
        <w:rPr>
          <w:rFonts w:ascii="宋体" w:hAnsi="宋体"/>
          <w:szCs w:val="21"/>
        </w:rPr>
      </w:pPr>
      <w:r>
        <w:rPr>
          <w:rFonts w:hint="eastAsia" w:ascii="宋体" w:hAnsi="宋体"/>
          <w:szCs w:val="21"/>
        </w:rPr>
        <w:t>供应商全称（盖公章）：</w:t>
      </w:r>
    </w:p>
    <w:p>
      <w:pPr>
        <w:spacing w:line="360" w:lineRule="auto"/>
        <w:ind w:left="3885" w:leftChars="200" w:hanging="3465" w:hangingChars="1650"/>
        <w:rPr>
          <w:rFonts w:ascii="宋体" w:hAnsi="宋体"/>
        </w:rPr>
      </w:pPr>
      <w:r>
        <w:rPr>
          <w:rFonts w:hint="eastAsia" w:ascii="宋体" w:hAnsi="宋体"/>
        </w:rPr>
        <w:t xml:space="preserve">                                 法定代表人或授权代表（签名或盖章）：</w:t>
      </w:r>
    </w:p>
    <w:p>
      <w:pPr>
        <w:spacing w:line="360" w:lineRule="auto"/>
        <w:jc w:val="both"/>
        <w:rPr>
          <w:rFonts w:hint="eastAsia" w:ascii="宋体" w:hAnsi="宋体"/>
          <w:b/>
          <w:bCs/>
          <w:sz w:val="28"/>
          <w:szCs w:val="28"/>
          <w:lang w:val="en-US" w:eastAsia="zh-CN"/>
        </w:rPr>
      </w:pPr>
      <w:r>
        <w:rPr>
          <w:rFonts w:hint="eastAsia" w:ascii="宋体" w:hAnsi="宋体"/>
        </w:rPr>
        <w:t xml:space="preserve">                                     日       期：</w:t>
      </w:r>
    </w:p>
    <w:p>
      <w:pPr>
        <w:spacing w:line="360" w:lineRule="auto"/>
        <w:jc w:val="both"/>
        <w:rPr>
          <w:rFonts w:hint="eastAsia" w:ascii="宋体" w:hAnsi="宋体"/>
          <w:b/>
          <w:bCs/>
          <w:sz w:val="28"/>
          <w:szCs w:val="28"/>
          <w:lang w:val="en-US" w:eastAsia="zh-CN"/>
        </w:rPr>
      </w:pPr>
    </w:p>
    <w:p>
      <w:pPr>
        <w:spacing w:line="240" w:lineRule="auto"/>
        <w:ind w:firstLine="281" w:firstLineChars="100"/>
        <w:jc w:val="center"/>
        <w:rPr>
          <w:rFonts w:hint="eastAsia" w:ascii="宋体" w:hAnsi="宋体"/>
          <w:b/>
          <w:bCs/>
          <w:sz w:val="28"/>
          <w:szCs w:val="28"/>
        </w:rPr>
      </w:pPr>
      <w:r>
        <w:rPr>
          <w:rFonts w:hint="eastAsia" w:ascii="宋体" w:hAnsi="宋体"/>
          <w:b/>
          <w:bCs/>
          <w:sz w:val="28"/>
          <w:szCs w:val="28"/>
        </w:rPr>
        <w:br w:type="page"/>
      </w:r>
    </w:p>
    <w:p>
      <w:pPr>
        <w:spacing w:line="240" w:lineRule="auto"/>
        <w:ind w:firstLine="281" w:firstLineChars="100"/>
        <w:jc w:val="center"/>
        <w:rPr>
          <w:rFonts w:ascii="宋体" w:hAnsi="宋体"/>
          <w:b/>
          <w:bCs/>
          <w:i w:val="0"/>
          <w:iCs w:val="0"/>
          <w:sz w:val="28"/>
          <w:szCs w:val="28"/>
        </w:rPr>
      </w:pPr>
      <w:bookmarkStart w:id="107" w:name="_GoBack"/>
      <w:bookmarkEnd w:id="107"/>
      <w:r>
        <w:rPr>
          <w:rFonts w:hint="eastAsia" w:ascii="宋体" w:hAnsi="宋体"/>
          <w:b/>
          <w:bCs/>
          <w:sz w:val="28"/>
          <w:szCs w:val="28"/>
        </w:rPr>
        <w:t>第七章</w:t>
      </w:r>
      <w:r>
        <w:rPr>
          <w:rFonts w:ascii="宋体" w:hAnsi="宋体"/>
          <w:b/>
          <w:bCs/>
          <w:sz w:val="28"/>
          <w:szCs w:val="28"/>
        </w:rPr>
        <w:t xml:space="preserve"> </w:t>
      </w:r>
      <w:r>
        <w:rPr>
          <w:rFonts w:ascii="宋体" w:hAnsi="宋体"/>
          <w:b/>
          <w:bCs/>
          <w:i w:val="0"/>
          <w:iCs w:val="0"/>
          <w:sz w:val="28"/>
          <w:szCs w:val="28"/>
        </w:rPr>
        <w:t xml:space="preserve"> </w:t>
      </w:r>
      <w:r>
        <w:rPr>
          <w:rFonts w:hint="eastAsia" w:ascii="宋体" w:hAnsi="宋体"/>
          <w:b/>
          <w:bCs/>
          <w:i w:val="0"/>
          <w:iCs w:val="0"/>
          <w:sz w:val="28"/>
          <w:szCs w:val="28"/>
        </w:rPr>
        <w:t>投标人须知</w:t>
      </w:r>
      <w:bookmarkEnd w:id="33"/>
      <w:bookmarkEnd w:id="34"/>
      <w:bookmarkEnd w:id="35"/>
      <w:bookmarkEnd w:id="36"/>
      <w:bookmarkEnd w:id="37"/>
      <w:bookmarkEnd w:id="38"/>
      <w:bookmarkStart w:id="39" w:name="_Toc292267790"/>
      <w:bookmarkStart w:id="40" w:name="_Toc435516648"/>
      <w:bookmarkStart w:id="41" w:name="_Toc435114676"/>
      <w:bookmarkStart w:id="42" w:name="_Toc435542343"/>
      <w:bookmarkStart w:id="43" w:name="_Toc435174931"/>
      <w:bookmarkStart w:id="44" w:name="_Toc435114677"/>
      <w:bookmarkStart w:id="45" w:name="_Toc438223018"/>
      <w:r>
        <w:rPr>
          <w:rFonts w:hint="eastAsia" w:ascii="宋体" w:hAnsi="宋体"/>
          <w:b/>
          <w:bCs/>
          <w:i w:val="0"/>
          <w:iCs w:val="0"/>
          <w:sz w:val="28"/>
          <w:szCs w:val="28"/>
        </w:rPr>
        <w:t>（</w:t>
      </w:r>
      <w:bookmarkEnd w:id="39"/>
      <w:r>
        <w:rPr>
          <w:rFonts w:hint="eastAsia" w:ascii="宋体" w:hAnsi="宋体"/>
          <w:b/>
          <w:bCs/>
          <w:i w:val="0"/>
          <w:iCs w:val="0"/>
          <w:sz w:val="28"/>
          <w:szCs w:val="28"/>
        </w:rPr>
        <w:t>通用条款）</w:t>
      </w:r>
      <w:bookmarkEnd w:id="40"/>
      <w:bookmarkEnd w:id="41"/>
      <w:bookmarkEnd w:id="42"/>
      <w:bookmarkEnd w:id="43"/>
      <w:bookmarkEnd w:id="44"/>
      <w:bookmarkEnd w:id="45"/>
    </w:p>
    <w:p>
      <w:pPr>
        <w:numPr>
          <w:ilvl w:val="0"/>
          <w:numId w:val="33"/>
        </w:numPr>
        <w:autoSpaceDE w:val="0"/>
        <w:autoSpaceDN w:val="0"/>
        <w:adjustRightInd w:val="0"/>
        <w:snapToGrid w:val="0"/>
        <w:spacing w:beforeLines="100" w:afterLines="100" w:line="240" w:lineRule="auto"/>
        <w:ind w:left="1012" w:hanging="1012" w:hangingChars="360"/>
        <w:jc w:val="center"/>
        <w:outlineLvl w:val="1"/>
        <w:rPr>
          <w:rFonts w:ascii="宋体" w:hAnsi="宋体"/>
          <w:b/>
          <w:i w:val="0"/>
          <w:iCs w:val="0"/>
          <w:sz w:val="28"/>
          <w:szCs w:val="28"/>
        </w:rPr>
      </w:pPr>
      <w:bookmarkStart w:id="46" w:name="_Toc438223020"/>
      <w:bookmarkStart w:id="47" w:name="_Toc435542345"/>
      <w:r>
        <w:rPr>
          <w:rFonts w:ascii="宋体" w:hAnsi="宋体"/>
          <w:b/>
          <w:i w:val="0"/>
          <w:iCs w:val="0"/>
          <w:sz w:val="28"/>
          <w:szCs w:val="28"/>
          <w:lang w:eastAsia="zh-TW"/>
        </w:rPr>
        <w:t>说 明</w:t>
      </w:r>
      <w:bookmarkEnd w:id="46"/>
      <w:bookmarkEnd w:id="47"/>
      <w:bookmarkStart w:id="48" w:name="_Toc292267791"/>
    </w:p>
    <w:bookmarkEnd w:id="48"/>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bookmarkStart w:id="49" w:name="_Toc237787451"/>
      <w:r>
        <w:rPr>
          <w:rFonts w:hint="eastAsia" w:ascii="宋体" w:hAnsi="宋体"/>
          <w:b/>
          <w:szCs w:val="21"/>
        </w:rPr>
        <w:t>采购项目与采购当事人说明</w:t>
      </w:r>
      <w:bookmarkEnd w:id="49"/>
    </w:p>
    <w:p>
      <w:pPr>
        <w:numPr>
          <w:ilvl w:val="1"/>
          <w:numId w:val="34"/>
        </w:numPr>
        <w:autoSpaceDE w:val="0"/>
        <w:autoSpaceDN w:val="0"/>
        <w:adjustRightInd w:val="0"/>
        <w:snapToGrid w:val="0"/>
        <w:spacing w:line="360" w:lineRule="auto"/>
        <w:jc w:val="left"/>
        <w:rPr>
          <w:rFonts w:ascii="宋体" w:hAnsi="宋体"/>
          <w:szCs w:val="21"/>
        </w:rPr>
      </w:pPr>
      <w:bookmarkStart w:id="50"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50"/>
    <w:p>
      <w:pPr>
        <w:numPr>
          <w:ilvl w:val="1"/>
          <w:numId w:val="34"/>
        </w:numPr>
        <w:autoSpaceDE w:val="0"/>
        <w:autoSpaceDN w:val="0"/>
        <w:adjustRightInd w:val="0"/>
        <w:snapToGrid w:val="0"/>
        <w:spacing w:line="360" w:lineRule="auto"/>
        <w:jc w:val="left"/>
        <w:rPr>
          <w:rFonts w:ascii="宋体" w:hAnsi="宋体"/>
          <w:b/>
          <w:szCs w:val="21"/>
        </w:rPr>
      </w:pPr>
      <w:bookmarkStart w:id="51"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4"/>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51"/>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bookmarkStart w:id="52" w:name="_Toc237787454"/>
      <w:r>
        <w:rPr>
          <w:rFonts w:hint="eastAsia" w:ascii="宋体" w:hAnsi="宋体"/>
          <w:b/>
          <w:szCs w:val="21"/>
        </w:rPr>
        <w:t>定义及解释</w:t>
      </w:r>
      <w:bookmarkEnd w:id="52"/>
    </w:p>
    <w:p>
      <w:pPr>
        <w:widowControl/>
        <w:numPr>
          <w:ilvl w:val="1"/>
          <w:numId w:val="34"/>
        </w:numPr>
        <w:adjustRightInd w:val="0"/>
        <w:snapToGrid w:val="0"/>
        <w:spacing w:line="360" w:lineRule="auto"/>
        <w:jc w:val="left"/>
        <w:rPr>
          <w:rFonts w:ascii="宋体" w:hAnsi="宋体"/>
          <w:szCs w:val="21"/>
        </w:rPr>
      </w:pPr>
      <w:bookmarkStart w:id="53"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3"/>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4"/>
        </w:numPr>
        <w:adjustRightInd w:val="0"/>
        <w:snapToGrid w:val="0"/>
        <w:spacing w:line="360" w:lineRule="auto"/>
        <w:jc w:val="left"/>
        <w:rPr>
          <w:rFonts w:ascii="宋体" w:hAnsi="宋体"/>
          <w:szCs w:val="21"/>
        </w:rPr>
      </w:pPr>
      <w:bookmarkStart w:id="54" w:name="_Toc237787460"/>
      <w:r>
        <w:rPr>
          <w:rFonts w:hint="eastAsia" w:ascii="宋体" w:hAnsi="宋体"/>
          <w:szCs w:val="21"/>
        </w:rPr>
        <w:t>评标委员会：是依法组建的、负责本次采购的评标工作的临时性机构。</w:t>
      </w:r>
      <w:bookmarkEnd w:id="54"/>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34"/>
        </w:numPr>
        <w:adjustRightInd w:val="0"/>
        <w:snapToGrid w:val="0"/>
        <w:spacing w:line="360" w:lineRule="auto"/>
        <w:jc w:val="left"/>
        <w:rPr>
          <w:rFonts w:ascii="宋体" w:hAnsi="宋体"/>
          <w:szCs w:val="21"/>
        </w:rPr>
      </w:pPr>
      <w:bookmarkStart w:id="55" w:name="_Toc237787461"/>
      <w:r>
        <w:rPr>
          <w:rFonts w:hint="eastAsia" w:ascii="宋体" w:hAnsi="宋体"/>
          <w:szCs w:val="21"/>
        </w:rPr>
        <w:t>日期：指公历日。</w:t>
      </w:r>
      <w:bookmarkEnd w:id="55"/>
    </w:p>
    <w:p>
      <w:pPr>
        <w:widowControl/>
        <w:numPr>
          <w:ilvl w:val="1"/>
          <w:numId w:val="34"/>
        </w:numPr>
        <w:adjustRightInd w:val="0"/>
        <w:snapToGrid w:val="0"/>
        <w:spacing w:line="360" w:lineRule="auto"/>
        <w:jc w:val="left"/>
        <w:rPr>
          <w:rFonts w:ascii="宋体" w:hAnsi="宋体"/>
          <w:szCs w:val="21"/>
        </w:rPr>
      </w:pPr>
      <w:bookmarkStart w:id="56" w:name="_Toc237787462"/>
      <w:r>
        <w:rPr>
          <w:rFonts w:hint="eastAsia" w:ascii="宋体" w:hAnsi="宋体"/>
          <w:szCs w:val="21"/>
        </w:rPr>
        <w:t>合同：依据本次货物及服务招标采购结果签订的协议。</w:t>
      </w:r>
      <w:bookmarkEnd w:id="56"/>
    </w:p>
    <w:p>
      <w:pPr>
        <w:widowControl/>
        <w:numPr>
          <w:ilvl w:val="1"/>
          <w:numId w:val="34"/>
        </w:numPr>
        <w:adjustRightInd w:val="0"/>
        <w:snapToGrid w:val="0"/>
        <w:spacing w:line="360" w:lineRule="auto"/>
        <w:jc w:val="left"/>
        <w:rPr>
          <w:rFonts w:ascii="宋体" w:hAnsi="宋体"/>
          <w:szCs w:val="21"/>
        </w:rPr>
      </w:pPr>
      <w:bookmarkStart w:id="57" w:name="_Toc237787463"/>
      <w:r>
        <w:rPr>
          <w:rFonts w:hint="eastAsia" w:ascii="宋体" w:hAnsi="宋体"/>
          <w:szCs w:val="21"/>
        </w:rPr>
        <w:t>招标文件中的标题或题名仅起引导作用，而不应视为对招标文件内容的理解和解释。</w:t>
      </w:r>
      <w:bookmarkEnd w:id="57"/>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34"/>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4"/>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34"/>
        </w:numPr>
        <w:autoSpaceDE w:val="0"/>
        <w:autoSpaceDN w:val="0"/>
        <w:adjustRightInd w:val="0"/>
        <w:snapToGrid w:val="0"/>
        <w:spacing w:line="360" w:lineRule="auto"/>
        <w:rPr>
          <w:rFonts w:ascii="宋体" w:hAnsi="宋体"/>
          <w:szCs w:val="21"/>
        </w:rPr>
      </w:pPr>
      <w:bookmarkStart w:id="58"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58"/>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59" w:name="_Toc211763038"/>
      <w:r>
        <w:rPr>
          <w:rFonts w:hint="eastAsia" w:ascii="宋体" w:hAnsi="宋体"/>
          <w:szCs w:val="21"/>
        </w:rPr>
        <w:t>依据《政府采购进口产品管理办法</w:t>
      </w:r>
      <w:bookmarkEnd w:id="59"/>
      <w:r>
        <w:rPr>
          <w:rFonts w:hint="eastAsia" w:ascii="宋体" w:hAnsi="宋体"/>
          <w:szCs w:val="21"/>
        </w:rPr>
        <w:t>》执行。</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60" w:name="_Toc237787469"/>
      <w:r>
        <w:rPr>
          <w:rFonts w:hint="eastAsia" w:ascii="宋体" w:hAnsi="宋体"/>
          <w:b/>
          <w:bCs/>
          <w:szCs w:val="21"/>
        </w:rPr>
        <w:t>禁止事项</w:t>
      </w:r>
      <w:bookmarkEnd w:id="60"/>
    </w:p>
    <w:p>
      <w:pPr>
        <w:numPr>
          <w:ilvl w:val="1"/>
          <w:numId w:val="34"/>
        </w:numPr>
        <w:autoSpaceDE w:val="0"/>
        <w:autoSpaceDN w:val="0"/>
        <w:adjustRightInd w:val="0"/>
        <w:snapToGrid w:val="0"/>
        <w:spacing w:line="360" w:lineRule="auto"/>
        <w:rPr>
          <w:rFonts w:ascii="宋体" w:hAnsi="宋体"/>
          <w:szCs w:val="21"/>
        </w:rPr>
      </w:pPr>
      <w:bookmarkStart w:id="61" w:name="_Toc237787470"/>
      <w:r>
        <w:rPr>
          <w:rFonts w:hint="eastAsia" w:ascii="宋体" w:hAnsi="宋体"/>
          <w:szCs w:val="21"/>
        </w:rPr>
        <w:t>采购人、投标人和采购代理机构不得相互串通损害国家利益、社会公共利益和其他当</w:t>
      </w:r>
      <w:bookmarkEnd w:id="61"/>
      <w:bookmarkStart w:id="62" w:name="_Toc237787471"/>
      <w:r>
        <w:rPr>
          <w:rFonts w:hint="eastAsia" w:ascii="宋体" w:hAnsi="宋体"/>
          <w:szCs w:val="21"/>
        </w:rPr>
        <w:t>事人的合法权益；不得以任何手段排斥其他投标人参与竞争。</w:t>
      </w:r>
      <w:bookmarkEnd w:id="62"/>
      <w:r>
        <w:rPr>
          <w:rFonts w:hint="eastAsia" w:ascii="宋体" w:hAnsi="宋体"/>
          <w:szCs w:val="21"/>
          <w:lang w:eastAsia="zh-CN"/>
        </w:rPr>
        <w:t>否则投标无效。</w:t>
      </w:r>
    </w:p>
    <w:p>
      <w:pPr>
        <w:numPr>
          <w:ilvl w:val="1"/>
          <w:numId w:val="34"/>
        </w:numPr>
        <w:autoSpaceDE w:val="0"/>
        <w:autoSpaceDN w:val="0"/>
        <w:adjustRightInd w:val="0"/>
        <w:snapToGrid w:val="0"/>
        <w:spacing w:line="360" w:lineRule="auto"/>
        <w:rPr>
          <w:rFonts w:ascii="宋体" w:hAnsi="宋体"/>
          <w:szCs w:val="21"/>
        </w:rPr>
      </w:pPr>
      <w:bookmarkStart w:id="63" w:name="_Toc237787472"/>
      <w:r>
        <w:rPr>
          <w:rFonts w:hint="eastAsia" w:ascii="宋体" w:hAnsi="宋体"/>
          <w:szCs w:val="21"/>
        </w:rPr>
        <w:t>投标人不得向采购人、采购代理机构、评标委员会的组成人员行贿或者采取其他不正当手段谋取中标。</w:t>
      </w:r>
      <w:bookmarkEnd w:id="63"/>
      <w:r>
        <w:rPr>
          <w:rFonts w:hint="eastAsia" w:ascii="宋体" w:hAnsi="宋体"/>
          <w:szCs w:val="21"/>
          <w:lang w:eastAsia="zh-CN"/>
        </w:rPr>
        <w:t>否则投标无效。</w:t>
      </w:r>
    </w:p>
    <w:p>
      <w:pPr>
        <w:numPr>
          <w:ilvl w:val="1"/>
          <w:numId w:val="34"/>
        </w:numPr>
        <w:autoSpaceDE w:val="0"/>
        <w:autoSpaceDN w:val="0"/>
        <w:adjustRightInd w:val="0"/>
        <w:snapToGrid w:val="0"/>
        <w:spacing w:line="360" w:lineRule="auto"/>
        <w:rPr>
          <w:rFonts w:ascii="宋体" w:hAnsi="宋体"/>
          <w:szCs w:val="21"/>
        </w:rPr>
      </w:pPr>
      <w:bookmarkStart w:id="64"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64"/>
      <w:r>
        <w:rPr>
          <w:rFonts w:hint="eastAsia" w:ascii="宋体" w:hAnsi="宋体"/>
          <w:szCs w:val="21"/>
          <w:lang w:eastAsia="zh-CN"/>
        </w:rPr>
        <w:t>否则投标无效。</w:t>
      </w:r>
    </w:p>
    <w:p>
      <w:pPr>
        <w:numPr>
          <w:ilvl w:val="1"/>
          <w:numId w:val="34"/>
        </w:numPr>
        <w:autoSpaceDE w:val="0"/>
        <w:autoSpaceDN w:val="0"/>
        <w:adjustRightInd w:val="0"/>
        <w:snapToGrid w:val="0"/>
        <w:spacing w:line="360" w:lineRule="auto"/>
        <w:rPr>
          <w:rFonts w:ascii="宋体" w:hAnsi="宋体"/>
          <w:szCs w:val="21"/>
        </w:rPr>
      </w:pPr>
      <w:bookmarkStart w:id="65" w:name="_Toc237787474"/>
      <w:r>
        <w:rPr>
          <w:rFonts w:hint="eastAsia" w:ascii="宋体" w:hAnsi="宋体"/>
          <w:szCs w:val="21"/>
        </w:rPr>
        <w:t>《中华人民共和国政府采购法》、《中华人民共和国政府采购法实施条例》及相关法规规定的其他禁止行为。</w:t>
      </w:r>
      <w:bookmarkEnd w:id="65"/>
      <w:r>
        <w:rPr>
          <w:rFonts w:hint="eastAsia" w:ascii="宋体" w:hAnsi="宋体"/>
          <w:szCs w:val="21"/>
          <w:lang w:eastAsia="zh-CN"/>
        </w:rPr>
        <w:t>否则投标无效。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66" w:name="_Toc237787475"/>
      <w:r>
        <w:rPr>
          <w:rFonts w:hint="eastAsia" w:ascii="宋体" w:hAnsi="宋体"/>
          <w:b/>
          <w:bCs/>
          <w:szCs w:val="21"/>
        </w:rPr>
        <w:t>保密事项</w:t>
      </w:r>
      <w:bookmarkEnd w:id="66"/>
    </w:p>
    <w:p>
      <w:pPr>
        <w:numPr>
          <w:ilvl w:val="1"/>
          <w:numId w:val="34"/>
        </w:numPr>
        <w:autoSpaceDE w:val="0"/>
        <w:autoSpaceDN w:val="0"/>
        <w:adjustRightInd w:val="0"/>
        <w:snapToGrid w:val="0"/>
        <w:spacing w:line="360" w:lineRule="auto"/>
        <w:rPr>
          <w:rFonts w:ascii="宋体" w:hAnsi="宋体"/>
          <w:szCs w:val="21"/>
        </w:rPr>
      </w:pPr>
      <w:bookmarkStart w:id="67"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67"/>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68" w:name="_Toc381027666"/>
      <w:r>
        <w:rPr>
          <w:rFonts w:hint="eastAsia" w:ascii="宋体" w:hAnsi="宋体"/>
          <w:b/>
          <w:bCs/>
          <w:szCs w:val="21"/>
        </w:rPr>
        <w:t>政府采购信用担保</w:t>
      </w:r>
      <w:bookmarkEnd w:id="68"/>
    </w:p>
    <w:p>
      <w:pPr>
        <w:numPr>
          <w:ilvl w:val="1"/>
          <w:numId w:val="34"/>
        </w:numPr>
        <w:autoSpaceDE w:val="0"/>
        <w:autoSpaceDN w:val="0"/>
        <w:adjustRightInd w:val="0"/>
        <w:snapToGrid w:val="0"/>
        <w:spacing w:line="360" w:lineRule="auto"/>
        <w:rPr>
          <w:rFonts w:ascii="宋体" w:hAnsi="宋体"/>
          <w:szCs w:val="21"/>
        </w:rPr>
      </w:pPr>
      <w:bookmarkStart w:id="69"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4"/>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69"/>
    </w:p>
    <w:p>
      <w:pPr>
        <w:numPr>
          <w:ilvl w:val="1"/>
          <w:numId w:val="34"/>
        </w:numPr>
        <w:autoSpaceDE w:val="0"/>
        <w:autoSpaceDN w:val="0"/>
        <w:adjustRightInd w:val="0"/>
        <w:snapToGrid w:val="0"/>
        <w:spacing w:line="360" w:lineRule="auto"/>
        <w:rPr>
          <w:rFonts w:ascii="宋体" w:hAnsi="宋体"/>
          <w:b/>
          <w:bCs/>
          <w:szCs w:val="21"/>
        </w:rPr>
      </w:pPr>
      <w:bookmarkStart w:id="70"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0"/>
    </w:p>
    <w:p>
      <w:pPr>
        <w:numPr>
          <w:ilvl w:val="1"/>
          <w:numId w:val="34"/>
        </w:numPr>
        <w:autoSpaceDE w:val="0"/>
        <w:autoSpaceDN w:val="0"/>
        <w:adjustRightInd w:val="0"/>
        <w:snapToGrid w:val="0"/>
        <w:spacing w:line="360" w:lineRule="auto"/>
        <w:rPr>
          <w:rFonts w:ascii="宋体" w:hAnsi="宋体"/>
          <w:szCs w:val="21"/>
        </w:rPr>
      </w:pPr>
      <w:bookmarkStart w:id="71"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71"/>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bookmarkStart w:id="72" w:name="_Toc435542346"/>
      <w:bookmarkStart w:id="73" w:name="_Toc438223021"/>
      <w:r>
        <w:rPr>
          <w:rFonts w:hint="eastAsia" w:ascii="宋体" w:hAnsi="宋体"/>
          <w:b/>
          <w:bCs/>
          <w:szCs w:val="21"/>
        </w:rPr>
        <w:t>知识产权</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4"/>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72"/>
      <w:bookmarkEnd w:id="73"/>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lang w:eastAsia="zh-CN"/>
        </w:rPr>
        <w:t>否则投标无效。</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34"/>
        </w:numPr>
        <w:autoSpaceDE w:val="0"/>
        <w:autoSpaceDN w:val="0"/>
        <w:adjustRightInd w:val="0"/>
        <w:snapToGrid w:val="0"/>
        <w:spacing w:line="360" w:lineRule="auto"/>
        <w:jc w:val="left"/>
        <w:rPr>
          <w:rFonts w:ascii="宋体" w:hAnsi="宋体"/>
          <w:szCs w:val="21"/>
        </w:rPr>
      </w:pPr>
      <w:bookmarkStart w:id="74"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4"/>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4"/>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4"/>
        </w:numPr>
        <w:autoSpaceDE w:val="0"/>
        <w:autoSpaceDN w:val="0"/>
        <w:adjustRightInd w:val="0"/>
        <w:snapToGrid w:val="0"/>
        <w:spacing w:line="360" w:lineRule="auto"/>
        <w:ind w:left="449" w:hanging="449" w:hangingChars="213"/>
        <w:outlineLvl w:val="2"/>
        <w:rPr>
          <w:rFonts w:hint="eastAsia" w:ascii="宋体" w:hAnsi="宋体" w:cs="宋体"/>
          <w:szCs w:val="21"/>
          <w:lang w:eastAsia="zh-TW"/>
        </w:rPr>
      </w:pPr>
      <w:r>
        <w:rPr>
          <w:rFonts w:hint="eastAsia" w:ascii="宋体" w:hAnsi="宋体"/>
          <w:b/>
          <w:bCs/>
          <w:szCs w:val="21"/>
        </w:rPr>
        <w:t>招标文件的答疑或现场考察</w:t>
      </w:r>
    </w:p>
    <w:p>
      <w:pPr>
        <w:widowControl/>
        <w:numPr>
          <w:ilvl w:val="1"/>
          <w:numId w:val="34"/>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4"/>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75" w:name="_Toc438223022"/>
      <w:bookmarkStart w:id="76" w:name="_Toc435542347"/>
      <w:r>
        <w:rPr>
          <w:rFonts w:hint="eastAsia" w:ascii="宋体" w:hAnsi="宋体"/>
          <w:b/>
          <w:sz w:val="28"/>
          <w:szCs w:val="28"/>
          <w:lang w:eastAsia="zh-TW"/>
        </w:rPr>
        <w:t>投标文件的编制</w:t>
      </w:r>
      <w:bookmarkEnd w:id="75"/>
      <w:bookmarkEnd w:id="76"/>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77" w:name="_Toc237787500"/>
      <w:r>
        <w:rPr>
          <w:rFonts w:hint="eastAsia" w:ascii="宋体" w:hAnsi="宋体"/>
          <w:b/>
          <w:bCs/>
          <w:szCs w:val="21"/>
        </w:rPr>
        <w:t>投标的语言</w:t>
      </w:r>
      <w:bookmarkEnd w:id="77"/>
      <w:r>
        <w:rPr>
          <w:rFonts w:hint="eastAsia" w:ascii="宋体" w:hAnsi="宋体"/>
          <w:b/>
          <w:bCs/>
          <w:szCs w:val="21"/>
        </w:rPr>
        <w:t>及度量衡单位</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4"/>
        </w:numPr>
        <w:tabs>
          <w:tab w:val="left" w:pos="851"/>
        </w:tabs>
        <w:autoSpaceDE w:val="0"/>
        <w:autoSpaceDN w:val="0"/>
        <w:adjustRightInd w:val="0"/>
        <w:snapToGrid w:val="0"/>
        <w:spacing w:line="360" w:lineRule="auto"/>
        <w:rPr>
          <w:rFonts w:ascii="宋体" w:hAnsi="宋体" w:cs="宋体"/>
          <w:szCs w:val="21"/>
        </w:rPr>
      </w:pPr>
      <w:bookmarkStart w:id="78"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78"/>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3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4"/>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34"/>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4"/>
        </w:numPr>
        <w:tabs>
          <w:tab w:val="left" w:pos="851"/>
          <w:tab w:val="left" w:pos="882"/>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34"/>
        </w:numPr>
        <w:autoSpaceDE w:val="0"/>
        <w:autoSpaceDN w:val="0"/>
        <w:adjustRightInd w:val="0"/>
        <w:snapToGrid w:val="0"/>
        <w:spacing w:line="360" w:lineRule="auto"/>
        <w:rPr>
          <w:rFonts w:ascii="宋体" w:hAnsi="宋体" w:cs="黑体"/>
          <w:b/>
          <w:bCs/>
          <w:szCs w:val="21"/>
        </w:rPr>
      </w:pPr>
      <w:bookmarkStart w:id="79" w:name="_Toc237787518"/>
      <w:r>
        <w:rPr>
          <w:rFonts w:hint="eastAsia" w:ascii="宋体" w:hAnsi="宋体"/>
          <w:szCs w:val="21"/>
        </w:rPr>
        <w:t>投标人应提交证明其有资格参加投标和中标后有能力履行合同的文件，并作为其投标文件的一部分。</w:t>
      </w:r>
      <w:bookmarkEnd w:id="79"/>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4"/>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34"/>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80"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0"/>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4"/>
        </w:numPr>
        <w:adjustRightInd w:val="0"/>
        <w:snapToGrid w:val="0"/>
        <w:spacing w:line="360" w:lineRule="auto"/>
        <w:jc w:val="left"/>
        <w:rPr>
          <w:rFonts w:ascii="宋体" w:hAnsi="宋体"/>
          <w:szCs w:val="21"/>
        </w:rPr>
      </w:pPr>
      <w:bookmarkStart w:id="81" w:name="_Toc237787560"/>
      <w:r>
        <w:rPr>
          <w:rFonts w:hint="eastAsia" w:ascii="宋体" w:hAnsi="宋体"/>
          <w:szCs w:val="21"/>
        </w:rPr>
        <w:t>投标文件正本须用不褪色墨水书写或打印，由投标人的法定代表人或经其正式授权</w:t>
      </w:r>
      <w:bookmarkEnd w:id="81"/>
      <w:bookmarkStart w:id="82"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82"/>
    </w:p>
    <w:p>
      <w:pPr>
        <w:widowControl/>
        <w:numPr>
          <w:ilvl w:val="1"/>
          <w:numId w:val="34"/>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4"/>
        </w:numPr>
        <w:adjustRightInd w:val="0"/>
        <w:snapToGrid w:val="0"/>
        <w:spacing w:line="360" w:lineRule="auto"/>
        <w:jc w:val="left"/>
        <w:rPr>
          <w:rFonts w:ascii="宋体" w:hAnsi="宋体"/>
          <w:b/>
          <w:bCs/>
          <w:color w:val="FF0000"/>
          <w:szCs w:val="21"/>
        </w:rPr>
      </w:pPr>
      <w:bookmarkStart w:id="83"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83"/>
      <w:bookmarkStart w:id="84" w:name="_Toc237787564"/>
      <w:r>
        <w:rPr>
          <w:rFonts w:hint="eastAsia" w:ascii="宋体" w:hAnsi="宋体"/>
          <w:b/>
          <w:bCs/>
          <w:color w:val="FF0000"/>
          <w:szCs w:val="21"/>
        </w:rPr>
        <w:t>签署本人姓名或印盖本人姓名章。投标文件副本</w:t>
      </w:r>
      <w:bookmarkEnd w:id="84"/>
      <w:r>
        <w:rPr>
          <w:rFonts w:hint="eastAsia" w:ascii="宋体" w:hAnsi="宋体"/>
          <w:b/>
          <w:bCs/>
          <w:color w:val="FF0000"/>
          <w:szCs w:val="21"/>
        </w:rPr>
        <w:t>应为正本的复印件。</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5" w:name="_Toc435542348"/>
      <w:bookmarkStart w:id="86" w:name="_Toc438223023"/>
      <w:r>
        <w:rPr>
          <w:rFonts w:hint="eastAsia" w:ascii="宋体" w:hAnsi="宋体"/>
          <w:b/>
          <w:sz w:val="28"/>
          <w:szCs w:val="28"/>
          <w:lang w:eastAsia="zh-TW"/>
        </w:rPr>
        <w:t>投标文件的递交</w:t>
      </w:r>
      <w:bookmarkEnd w:id="85"/>
      <w:bookmarkEnd w:id="86"/>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4"/>
        </w:numPr>
        <w:adjustRightInd w:val="0"/>
        <w:snapToGrid w:val="0"/>
        <w:spacing w:line="360" w:lineRule="auto"/>
        <w:jc w:val="left"/>
        <w:rPr>
          <w:rFonts w:ascii="宋体" w:hAnsi="宋体"/>
          <w:szCs w:val="21"/>
        </w:rPr>
      </w:pPr>
      <w:bookmarkStart w:id="87" w:name="_Toc237787569"/>
      <w:r>
        <w:rPr>
          <w:rFonts w:hint="eastAsia" w:ascii="宋体" w:hAnsi="宋体"/>
          <w:szCs w:val="21"/>
        </w:rPr>
        <w:t>内外层信封均应</w:t>
      </w:r>
      <w:bookmarkEnd w:id="87"/>
      <w:r>
        <w:rPr>
          <w:rFonts w:hint="eastAsia" w:ascii="宋体" w:hAnsi="宋体" w:cs="宋体"/>
          <w:szCs w:val="21"/>
        </w:rPr>
        <w:t>：</w:t>
      </w:r>
    </w:p>
    <w:p>
      <w:pPr>
        <w:widowControl/>
        <w:numPr>
          <w:ilvl w:val="2"/>
          <w:numId w:val="34"/>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34"/>
        </w:numPr>
        <w:tabs>
          <w:tab w:val="clear" w:pos="567"/>
        </w:tabs>
        <w:adjustRightInd w:val="0"/>
        <w:snapToGrid w:val="0"/>
        <w:spacing w:line="360" w:lineRule="auto"/>
        <w:ind w:left="851" w:hanging="851"/>
        <w:jc w:val="left"/>
        <w:rPr>
          <w:rFonts w:ascii="宋体" w:hAnsi="宋体"/>
          <w:szCs w:val="21"/>
        </w:rPr>
      </w:pPr>
      <w:bookmarkStart w:id="88"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88"/>
      <w:bookmarkStart w:id="89" w:name="_Toc237787572"/>
      <w:r>
        <w:rPr>
          <w:rFonts w:hint="eastAsia" w:ascii="宋体" w:hAnsi="宋体"/>
          <w:szCs w:val="21"/>
        </w:rPr>
        <w:t>的字样，并填入投标邀请函中规定的开标日期和时间</w:t>
      </w:r>
      <w:bookmarkEnd w:id="89"/>
      <w:r>
        <w:rPr>
          <w:rFonts w:hint="eastAsia" w:ascii="宋体" w:hAnsi="宋体"/>
          <w:szCs w:val="21"/>
        </w:rPr>
        <w:t>；</w:t>
      </w:r>
    </w:p>
    <w:p>
      <w:pPr>
        <w:widowControl/>
        <w:numPr>
          <w:ilvl w:val="2"/>
          <w:numId w:val="34"/>
        </w:numPr>
        <w:tabs>
          <w:tab w:val="clear" w:pos="567"/>
        </w:tabs>
        <w:adjustRightInd w:val="0"/>
        <w:snapToGrid w:val="0"/>
        <w:spacing w:line="360" w:lineRule="auto"/>
        <w:ind w:left="851" w:hanging="851"/>
        <w:jc w:val="left"/>
        <w:rPr>
          <w:rFonts w:ascii="宋体" w:hAnsi="宋体"/>
          <w:szCs w:val="21"/>
        </w:rPr>
      </w:pPr>
      <w:bookmarkStart w:id="90" w:name="_Toc237787573"/>
      <w:r>
        <w:rPr>
          <w:rFonts w:hint="eastAsia" w:ascii="宋体" w:hAnsi="宋体"/>
          <w:szCs w:val="21"/>
        </w:rPr>
        <w:t>内层信封应写明投标人名称和地址，以便将迟交的投标文件能原封</w:t>
      </w:r>
      <w:bookmarkEnd w:id="90"/>
      <w:bookmarkStart w:id="91" w:name="_Toc237787574"/>
      <w:r>
        <w:rPr>
          <w:rFonts w:hint="eastAsia" w:ascii="宋体" w:hAnsi="宋体"/>
          <w:szCs w:val="21"/>
        </w:rPr>
        <w:t>退回。</w:t>
      </w:r>
      <w:bookmarkEnd w:id="91"/>
    </w:p>
    <w:p>
      <w:pPr>
        <w:widowControl/>
        <w:numPr>
          <w:ilvl w:val="2"/>
          <w:numId w:val="34"/>
        </w:numPr>
        <w:tabs>
          <w:tab w:val="clear" w:pos="567"/>
        </w:tabs>
        <w:adjustRightInd w:val="0"/>
        <w:snapToGrid w:val="0"/>
        <w:spacing w:line="360" w:lineRule="auto"/>
        <w:ind w:left="851" w:hanging="851"/>
        <w:jc w:val="left"/>
        <w:rPr>
          <w:rFonts w:ascii="宋体" w:hAnsi="宋体"/>
          <w:szCs w:val="21"/>
        </w:rPr>
      </w:pPr>
      <w:bookmarkStart w:id="92" w:name="_Toc237787575"/>
      <w:r>
        <w:rPr>
          <w:rFonts w:hint="eastAsia" w:ascii="宋体" w:hAnsi="宋体"/>
          <w:szCs w:val="21"/>
        </w:rPr>
        <w:t>如果外层信封未按本须知的要求加写标记，采购人和采购代理机构</w:t>
      </w:r>
      <w:bookmarkEnd w:id="92"/>
      <w:bookmarkStart w:id="93" w:name="_Toc237787576"/>
      <w:r>
        <w:rPr>
          <w:rFonts w:hint="eastAsia" w:ascii="宋体" w:hAnsi="宋体"/>
          <w:szCs w:val="21"/>
        </w:rPr>
        <w:t>对误投或提前启封概不负责</w:t>
      </w:r>
      <w:bookmarkEnd w:id="93"/>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34"/>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4"/>
        </w:numPr>
        <w:autoSpaceDE w:val="0"/>
        <w:autoSpaceDN w:val="0"/>
        <w:adjustRightInd w:val="0"/>
        <w:snapToGrid w:val="0"/>
        <w:spacing w:line="360" w:lineRule="auto"/>
        <w:rPr>
          <w:rFonts w:ascii="宋体" w:hAnsi="宋体" w:cs="宋体"/>
          <w:szCs w:val="21"/>
          <w:lang w:eastAsia="zh-TW"/>
        </w:rPr>
      </w:pPr>
      <w:bookmarkStart w:id="94" w:name="_Toc237787597"/>
      <w:r>
        <w:rPr>
          <w:rFonts w:hint="eastAsia" w:ascii="宋体" w:hAnsi="宋体" w:cs="宋体"/>
          <w:szCs w:val="21"/>
          <w:lang w:eastAsia="zh-TW"/>
        </w:rPr>
        <w:t>从投标截止时间至投标人在投标文件中确定的投标有效期期满这段时间内，投标人不</w:t>
      </w:r>
      <w:bookmarkEnd w:id="94"/>
      <w:bookmarkStart w:id="95"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95"/>
      <w:r>
        <w:rPr>
          <w:rFonts w:hint="eastAsia" w:ascii="宋体" w:hAnsi="宋体" w:cs="宋体"/>
          <w:szCs w:val="21"/>
        </w:rPr>
        <w:t>。</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6" w:name="_Toc435542349"/>
      <w:bookmarkStart w:id="97" w:name="_Toc438223024"/>
      <w:r>
        <w:rPr>
          <w:rFonts w:hint="eastAsia" w:ascii="宋体" w:hAnsi="宋体"/>
          <w:b/>
          <w:sz w:val="28"/>
          <w:szCs w:val="28"/>
          <w:lang w:eastAsia="zh-TW"/>
        </w:rPr>
        <w:t>开标与评标</w:t>
      </w:r>
      <w:bookmarkEnd w:id="96"/>
      <w:bookmarkEnd w:id="97"/>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4"/>
        </w:numPr>
        <w:autoSpaceDE w:val="0"/>
        <w:autoSpaceDN w:val="0"/>
        <w:adjustRightInd w:val="0"/>
        <w:snapToGrid w:val="0"/>
        <w:spacing w:line="360" w:lineRule="auto"/>
        <w:rPr>
          <w:rFonts w:ascii="宋体" w:hAnsi="宋体" w:cs="宋体"/>
          <w:szCs w:val="21"/>
          <w:lang w:eastAsia="zh-TW"/>
        </w:rPr>
      </w:pPr>
      <w:bookmarkStart w:id="98"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98"/>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34"/>
        </w:numPr>
        <w:autoSpaceDE w:val="0"/>
        <w:autoSpaceDN w:val="0"/>
        <w:adjustRightInd w:val="0"/>
        <w:snapToGrid w:val="0"/>
        <w:spacing w:line="360" w:lineRule="auto"/>
        <w:rPr>
          <w:rFonts w:ascii="宋体" w:hAnsi="宋体"/>
          <w:szCs w:val="21"/>
        </w:rPr>
      </w:pPr>
      <w:bookmarkStart w:id="99"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99"/>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4"/>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4"/>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4"/>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4"/>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4"/>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34"/>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hint="eastAsia" w:ascii="宋体" w:hAnsi="宋体" w:cs="宋体"/>
          <w:bCs/>
          <w:kern w:val="0"/>
          <w:szCs w:val="21"/>
        </w:rPr>
      </w:pPr>
      <w:bookmarkStart w:id="100" w:name="_Toc438223025"/>
      <w:bookmarkStart w:id="101" w:name="_Toc435542350"/>
      <w:r>
        <w:rPr>
          <w:rFonts w:hint="eastAsia" w:ascii="宋体" w:hAnsi="宋体" w:cs="宋体"/>
          <w:bCs/>
          <w:kern w:val="0"/>
          <w:szCs w:val="21"/>
        </w:rPr>
        <w:t xml:space="preserve"> 询问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认为采购文件、采购过程或采购结果使自己的权益受到损害的，以书面形式向采购人或采购代理机构书面提出质疑。质疑应当依法给与答复，并将结果告知有关当事人。湖南伟佳招标采购有限公司处理质疑的依据是国家相关法律法规以及《广东省政府采购工作规范（试行）》第十一章，程序阐释如下：</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00"/>
      <w:bookmarkEnd w:id="101"/>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102" w:name="_Toc237787628"/>
      <w:r>
        <w:rPr>
          <w:rFonts w:hint="eastAsia" w:ascii="宋体" w:hAnsi="宋体"/>
          <w:b/>
          <w:bCs/>
          <w:szCs w:val="21"/>
        </w:rPr>
        <w:t>中标人的确定</w:t>
      </w:r>
      <w:bookmarkEnd w:id="102"/>
    </w:p>
    <w:p>
      <w:pPr>
        <w:numPr>
          <w:ilvl w:val="1"/>
          <w:numId w:val="34"/>
        </w:numPr>
        <w:autoSpaceDE w:val="0"/>
        <w:autoSpaceDN w:val="0"/>
        <w:adjustRightInd w:val="0"/>
        <w:snapToGrid w:val="0"/>
        <w:spacing w:line="360" w:lineRule="auto"/>
        <w:rPr>
          <w:rFonts w:ascii="宋体" w:hAnsi="宋体" w:cs="宋体"/>
          <w:szCs w:val="21"/>
          <w:lang w:eastAsia="zh-TW"/>
        </w:rPr>
      </w:pPr>
      <w:bookmarkStart w:id="103" w:name="_Toc237787629"/>
      <w:r>
        <w:rPr>
          <w:rFonts w:hint="eastAsia" w:ascii="宋体" w:hAnsi="宋体" w:cs="宋体"/>
          <w:szCs w:val="21"/>
          <w:lang w:eastAsia="zh-TW"/>
        </w:rPr>
        <w:t>采购人根据评标委员会提出的书面评标报告和推荐的中标候选人确定中标人。</w:t>
      </w:r>
      <w:bookmarkEnd w:id="103"/>
      <w:r>
        <w:rPr>
          <w:rFonts w:hint="eastAsia" w:ascii="宋体" w:hAnsi="宋体" w:cs="宋体"/>
          <w:szCs w:val="21"/>
          <w:lang w:eastAsia="zh-TW"/>
        </w:rPr>
        <w:t>采购人也可以授权评标委员会直接确定中标人。</w:t>
      </w:r>
    </w:p>
    <w:p>
      <w:pPr>
        <w:numPr>
          <w:ilvl w:val="1"/>
          <w:numId w:val="34"/>
        </w:numPr>
        <w:autoSpaceDE w:val="0"/>
        <w:autoSpaceDN w:val="0"/>
        <w:adjustRightInd w:val="0"/>
        <w:snapToGrid w:val="0"/>
        <w:spacing w:line="360" w:lineRule="auto"/>
        <w:rPr>
          <w:rFonts w:ascii="宋体" w:hAnsi="宋体" w:cs="宋体"/>
          <w:szCs w:val="21"/>
          <w:lang w:eastAsia="zh-TW"/>
        </w:rPr>
      </w:pPr>
      <w:bookmarkStart w:id="104" w:name="_Toc237787633"/>
      <w:r>
        <w:rPr>
          <w:rFonts w:hint="eastAsia" w:ascii="宋体" w:hAnsi="宋体" w:cs="宋体"/>
          <w:szCs w:val="21"/>
          <w:lang w:eastAsia="zh-TW"/>
        </w:rPr>
        <w:t>确认后采购代理机构将在刊登本项目招标公告的法定媒体上发布中标公告。</w:t>
      </w:r>
      <w:bookmarkEnd w:id="104"/>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05"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05"/>
    </w:p>
    <w:p>
      <w:pPr>
        <w:numPr>
          <w:ilvl w:val="1"/>
          <w:numId w:val="34"/>
        </w:numPr>
        <w:autoSpaceDE w:val="0"/>
        <w:autoSpaceDN w:val="0"/>
        <w:adjustRightInd w:val="0"/>
        <w:snapToGrid w:val="0"/>
        <w:spacing w:line="360" w:lineRule="auto"/>
        <w:rPr>
          <w:rFonts w:ascii="宋体" w:hAnsi="宋体" w:cs="宋体"/>
          <w:szCs w:val="21"/>
          <w:lang w:eastAsia="zh-TW"/>
        </w:rPr>
      </w:pPr>
      <w:bookmarkStart w:id="106" w:name="_Toc237787646"/>
      <w:r>
        <w:rPr>
          <w:rFonts w:hint="eastAsia" w:ascii="宋体" w:hAnsi="宋体" w:cs="宋体"/>
          <w:szCs w:val="21"/>
          <w:lang w:eastAsia="zh-TW"/>
        </w:rPr>
        <w:t>《中标通知书》发出后，采购人改变中标结果，或者中标人放弃中标的，均应承担相应的法律责任。</w:t>
      </w:r>
      <w:bookmarkEnd w:id="106"/>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cs="宋体"/>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numPr>
          <w:ilvl w:val="1"/>
          <w:numId w:val="34"/>
        </w:numPr>
        <w:tabs>
          <w:tab w:val="left" w:pos="709"/>
        </w:tabs>
        <w:autoSpaceDE w:val="0"/>
        <w:autoSpaceDN w:val="0"/>
        <w:adjustRightInd w:val="0"/>
        <w:snapToGrid w:val="0"/>
        <w:spacing w:line="240" w:lineRule="auto"/>
        <w:rPr>
          <w:rFonts w:ascii="宋体" w:hAnsi="宋体" w:cs="宋体"/>
          <w:szCs w:val="21"/>
        </w:rPr>
      </w:pPr>
      <w:r>
        <w:rPr>
          <w:rFonts w:hint="eastAsia" w:ascii="宋体" w:hAnsi="宋体" w:cs="宋体"/>
          <w:szCs w:val="21"/>
        </w:rPr>
        <w:t>经依法取消中标资格的，招标代理服务费不予退还。</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5"/>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5"/>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5"/>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5"/>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项目名称：番禺区水利工程管理设施防雷装置检测服务采购</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GZBC18FG05002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7"/>
    <w:multiLevelType w:val="multilevel"/>
    <w:tmpl w:val="00000017"/>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7">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9B2704"/>
    <w:multiLevelType w:val="multilevel"/>
    <w:tmpl w:val="2B9B2704"/>
    <w:lvl w:ilvl="0" w:tentative="0">
      <w:start w:val="1"/>
      <w:numFmt w:val="decimal"/>
      <w:lvlText w:val="%1．"/>
      <w:lvlJc w:val="left"/>
      <w:pPr>
        <w:ind w:left="360" w:hanging="360"/>
      </w:pPr>
      <w:rPr>
        <w:rFonts w:hint="default"/>
        <w:b w:val="0"/>
        <w:i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4">
    <w:nsid w:val="3E643B97"/>
    <w:multiLevelType w:val="multilevel"/>
    <w:tmpl w:val="3E643B9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2">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7">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0">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15"/>
  </w:num>
  <w:num w:numId="6">
    <w:abstractNumId w:val="8"/>
  </w:num>
  <w:num w:numId="7">
    <w:abstractNumId w:val="21"/>
  </w:num>
  <w:num w:numId="8">
    <w:abstractNumId w:val="17"/>
  </w:num>
  <w:num w:numId="9">
    <w:abstractNumId w:val="14"/>
  </w:num>
  <w:num w:numId="10">
    <w:abstractNumId w:val="7"/>
  </w:num>
  <w:num w:numId="11">
    <w:abstractNumId w:val="5"/>
  </w:num>
  <w:num w:numId="12">
    <w:abstractNumId w:val="32"/>
  </w:num>
  <w:num w:numId="13">
    <w:abstractNumId w:val="27"/>
  </w:num>
  <w:num w:numId="14">
    <w:abstractNumId w:val="12"/>
  </w:num>
  <w:num w:numId="15">
    <w:abstractNumId w:val="22"/>
  </w:num>
  <w:num w:numId="16">
    <w:abstractNumId w:val="6"/>
  </w:num>
  <w:num w:numId="17">
    <w:abstractNumId w:val="16"/>
  </w:num>
  <w:num w:numId="18">
    <w:abstractNumId w:val="1"/>
  </w:num>
  <w:num w:numId="19">
    <w:abstractNumId w:val="26"/>
  </w:num>
  <w:num w:numId="20">
    <w:abstractNumId w:val="11"/>
  </w:num>
  <w:num w:numId="21">
    <w:abstractNumId w:val="34"/>
  </w:num>
  <w:num w:numId="22">
    <w:abstractNumId w:val="10"/>
  </w:num>
  <w:num w:numId="23">
    <w:abstractNumId w:val="13"/>
  </w:num>
  <w:num w:numId="24">
    <w:abstractNumId w:val="33"/>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4"/>
  </w:num>
  <w:num w:numId="29">
    <w:abstractNumId w:val="4"/>
  </w:num>
  <w:num w:numId="30">
    <w:abstractNumId w:val="20"/>
  </w:num>
  <w:num w:numId="31">
    <w:abstractNumId w:val="31"/>
  </w:num>
  <w:num w:numId="32">
    <w:abstractNumId w:val="30"/>
  </w:num>
  <w:num w:numId="33">
    <w:abstractNumId w:val="28"/>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33E4"/>
    <w:rsid w:val="00107439"/>
    <w:rsid w:val="0012180D"/>
    <w:rsid w:val="004154B6"/>
    <w:rsid w:val="004A4475"/>
    <w:rsid w:val="00650291"/>
    <w:rsid w:val="006F29FD"/>
    <w:rsid w:val="007036BF"/>
    <w:rsid w:val="007E1F5B"/>
    <w:rsid w:val="00815D98"/>
    <w:rsid w:val="008E0F27"/>
    <w:rsid w:val="00A41C84"/>
    <w:rsid w:val="00A61108"/>
    <w:rsid w:val="00B178F4"/>
    <w:rsid w:val="00C22F78"/>
    <w:rsid w:val="00CA70B5"/>
    <w:rsid w:val="00DB03A3"/>
    <w:rsid w:val="00DD6F6E"/>
    <w:rsid w:val="00EC4661"/>
    <w:rsid w:val="00EE6351"/>
    <w:rsid w:val="00F21BAD"/>
    <w:rsid w:val="00F36428"/>
    <w:rsid w:val="00F90625"/>
    <w:rsid w:val="00FA6B7E"/>
    <w:rsid w:val="00FE0B1C"/>
    <w:rsid w:val="01100146"/>
    <w:rsid w:val="01177C71"/>
    <w:rsid w:val="011E610E"/>
    <w:rsid w:val="01233CB9"/>
    <w:rsid w:val="01255D48"/>
    <w:rsid w:val="013446F5"/>
    <w:rsid w:val="013924F5"/>
    <w:rsid w:val="013D7117"/>
    <w:rsid w:val="01460851"/>
    <w:rsid w:val="014A2C98"/>
    <w:rsid w:val="014A752A"/>
    <w:rsid w:val="01543ABB"/>
    <w:rsid w:val="01692646"/>
    <w:rsid w:val="016A0798"/>
    <w:rsid w:val="016B1954"/>
    <w:rsid w:val="01AB439B"/>
    <w:rsid w:val="01B66F67"/>
    <w:rsid w:val="01BE2DA5"/>
    <w:rsid w:val="01C0060E"/>
    <w:rsid w:val="01D33B5F"/>
    <w:rsid w:val="01D829F2"/>
    <w:rsid w:val="01E76F96"/>
    <w:rsid w:val="01F25280"/>
    <w:rsid w:val="01FE472A"/>
    <w:rsid w:val="020739DD"/>
    <w:rsid w:val="02206911"/>
    <w:rsid w:val="02235477"/>
    <w:rsid w:val="02342AF7"/>
    <w:rsid w:val="0237773C"/>
    <w:rsid w:val="02427C6A"/>
    <w:rsid w:val="02496491"/>
    <w:rsid w:val="02516405"/>
    <w:rsid w:val="02571DE8"/>
    <w:rsid w:val="025B1A52"/>
    <w:rsid w:val="028F2637"/>
    <w:rsid w:val="029B0320"/>
    <w:rsid w:val="02A02BEF"/>
    <w:rsid w:val="02A114C6"/>
    <w:rsid w:val="02B6787A"/>
    <w:rsid w:val="02C0385F"/>
    <w:rsid w:val="02C103D8"/>
    <w:rsid w:val="02D04232"/>
    <w:rsid w:val="02D9087F"/>
    <w:rsid w:val="02DF7AD4"/>
    <w:rsid w:val="02ED1E35"/>
    <w:rsid w:val="02FF6296"/>
    <w:rsid w:val="03256779"/>
    <w:rsid w:val="03483867"/>
    <w:rsid w:val="03687111"/>
    <w:rsid w:val="037E27E8"/>
    <w:rsid w:val="038865A6"/>
    <w:rsid w:val="039879F7"/>
    <w:rsid w:val="03B56F97"/>
    <w:rsid w:val="03CC74A6"/>
    <w:rsid w:val="03E145CE"/>
    <w:rsid w:val="04202074"/>
    <w:rsid w:val="042B32BA"/>
    <w:rsid w:val="042C45F3"/>
    <w:rsid w:val="0435791D"/>
    <w:rsid w:val="043D32A2"/>
    <w:rsid w:val="044D48E1"/>
    <w:rsid w:val="044D7F7C"/>
    <w:rsid w:val="04605644"/>
    <w:rsid w:val="046766D3"/>
    <w:rsid w:val="047F5C61"/>
    <w:rsid w:val="04856217"/>
    <w:rsid w:val="048D2B18"/>
    <w:rsid w:val="04A53FE1"/>
    <w:rsid w:val="04B02EDC"/>
    <w:rsid w:val="04B45049"/>
    <w:rsid w:val="04C5482A"/>
    <w:rsid w:val="04CF7C8B"/>
    <w:rsid w:val="04D4516F"/>
    <w:rsid w:val="04E6270B"/>
    <w:rsid w:val="04F105D6"/>
    <w:rsid w:val="04F2702F"/>
    <w:rsid w:val="053A443A"/>
    <w:rsid w:val="05433EC5"/>
    <w:rsid w:val="05512A36"/>
    <w:rsid w:val="055E6D0B"/>
    <w:rsid w:val="056D0EEA"/>
    <w:rsid w:val="05777728"/>
    <w:rsid w:val="05833399"/>
    <w:rsid w:val="05983E54"/>
    <w:rsid w:val="05994730"/>
    <w:rsid w:val="059C7058"/>
    <w:rsid w:val="059D0DCC"/>
    <w:rsid w:val="05A4072B"/>
    <w:rsid w:val="05A66373"/>
    <w:rsid w:val="05B13918"/>
    <w:rsid w:val="05C5601A"/>
    <w:rsid w:val="05C66CFE"/>
    <w:rsid w:val="05D561DA"/>
    <w:rsid w:val="05D71877"/>
    <w:rsid w:val="05D92701"/>
    <w:rsid w:val="05EC7AC4"/>
    <w:rsid w:val="05F2736F"/>
    <w:rsid w:val="05F84CB5"/>
    <w:rsid w:val="060471A6"/>
    <w:rsid w:val="060F5578"/>
    <w:rsid w:val="06196BF6"/>
    <w:rsid w:val="06210E90"/>
    <w:rsid w:val="06247FCB"/>
    <w:rsid w:val="062509E9"/>
    <w:rsid w:val="0625397B"/>
    <w:rsid w:val="06296351"/>
    <w:rsid w:val="06310114"/>
    <w:rsid w:val="06326464"/>
    <w:rsid w:val="0637367A"/>
    <w:rsid w:val="063C742D"/>
    <w:rsid w:val="064B263C"/>
    <w:rsid w:val="064F4318"/>
    <w:rsid w:val="0654452D"/>
    <w:rsid w:val="06683F90"/>
    <w:rsid w:val="06751F36"/>
    <w:rsid w:val="068A729F"/>
    <w:rsid w:val="068E350E"/>
    <w:rsid w:val="06915C39"/>
    <w:rsid w:val="06953012"/>
    <w:rsid w:val="06A00F45"/>
    <w:rsid w:val="06C51603"/>
    <w:rsid w:val="06C670A8"/>
    <w:rsid w:val="06D17F81"/>
    <w:rsid w:val="06ED59AB"/>
    <w:rsid w:val="06F5637C"/>
    <w:rsid w:val="06F63A05"/>
    <w:rsid w:val="06FB5BEA"/>
    <w:rsid w:val="06FB6328"/>
    <w:rsid w:val="06FD6F5A"/>
    <w:rsid w:val="07050E9A"/>
    <w:rsid w:val="0713372E"/>
    <w:rsid w:val="07136744"/>
    <w:rsid w:val="071D7C41"/>
    <w:rsid w:val="07455AC0"/>
    <w:rsid w:val="074E2BDD"/>
    <w:rsid w:val="07507F25"/>
    <w:rsid w:val="075524F3"/>
    <w:rsid w:val="075B02A2"/>
    <w:rsid w:val="075B3CA9"/>
    <w:rsid w:val="075E7DA5"/>
    <w:rsid w:val="07633D59"/>
    <w:rsid w:val="07656A09"/>
    <w:rsid w:val="07677110"/>
    <w:rsid w:val="077D78AE"/>
    <w:rsid w:val="078B2431"/>
    <w:rsid w:val="079040AE"/>
    <w:rsid w:val="07A56326"/>
    <w:rsid w:val="07B25005"/>
    <w:rsid w:val="07BB4BC8"/>
    <w:rsid w:val="07C44F01"/>
    <w:rsid w:val="07D9391A"/>
    <w:rsid w:val="07EA56E7"/>
    <w:rsid w:val="07EB12A0"/>
    <w:rsid w:val="07F27638"/>
    <w:rsid w:val="07F77B97"/>
    <w:rsid w:val="07FC12FC"/>
    <w:rsid w:val="08032138"/>
    <w:rsid w:val="080C259C"/>
    <w:rsid w:val="081E6D03"/>
    <w:rsid w:val="082549C0"/>
    <w:rsid w:val="08287FB4"/>
    <w:rsid w:val="083927F2"/>
    <w:rsid w:val="083948C1"/>
    <w:rsid w:val="083A63CB"/>
    <w:rsid w:val="083E2CC9"/>
    <w:rsid w:val="084A0F9B"/>
    <w:rsid w:val="086037D3"/>
    <w:rsid w:val="086B4787"/>
    <w:rsid w:val="086E7719"/>
    <w:rsid w:val="08714199"/>
    <w:rsid w:val="08846250"/>
    <w:rsid w:val="088B0A0F"/>
    <w:rsid w:val="089E1D6F"/>
    <w:rsid w:val="08A52F21"/>
    <w:rsid w:val="08B96FD1"/>
    <w:rsid w:val="08C273DC"/>
    <w:rsid w:val="08D27BF6"/>
    <w:rsid w:val="08E5218B"/>
    <w:rsid w:val="08F1760E"/>
    <w:rsid w:val="08FB28D6"/>
    <w:rsid w:val="090F0BF1"/>
    <w:rsid w:val="091C599B"/>
    <w:rsid w:val="092007AC"/>
    <w:rsid w:val="09224D8F"/>
    <w:rsid w:val="092330E0"/>
    <w:rsid w:val="0925477F"/>
    <w:rsid w:val="092D1BB8"/>
    <w:rsid w:val="092F6AFE"/>
    <w:rsid w:val="09320FB5"/>
    <w:rsid w:val="093341BD"/>
    <w:rsid w:val="09597B04"/>
    <w:rsid w:val="096A4198"/>
    <w:rsid w:val="096C6C46"/>
    <w:rsid w:val="096D6BA1"/>
    <w:rsid w:val="098D2EB2"/>
    <w:rsid w:val="09917D73"/>
    <w:rsid w:val="09A631F6"/>
    <w:rsid w:val="09AC43EE"/>
    <w:rsid w:val="09B13C74"/>
    <w:rsid w:val="09B40FB4"/>
    <w:rsid w:val="09D66EAD"/>
    <w:rsid w:val="09DC0410"/>
    <w:rsid w:val="09DF3FB6"/>
    <w:rsid w:val="09FC691A"/>
    <w:rsid w:val="0A096DD2"/>
    <w:rsid w:val="0A152762"/>
    <w:rsid w:val="0A246661"/>
    <w:rsid w:val="0A4F3643"/>
    <w:rsid w:val="0A5715D9"/>
    <w:rsid w:val="0A5E4838"/>
    <w:rsid w:val="0A620FC9"/>
    <w:rsid w:val="0A782910"/>
    <w:rsid w:val="0A7A5ECF"/>
    <w:rsid w:val="0A7B00FA"/>
    <w:rsid w:val="0A8008E1"/>
    <w:rsid w:val="0A9F5AA3"/>
    <w:rsid w:val="0AA40BD4"/>
    <w:rsid w:val="0AB14A71"/>
    <w:rsid w:val="0AC321EE"/>
    <w:rsid w:val="0AC601BD"/>
    <w:rsid w:val="0AC732DE"/>
    <w:rsid w:val="0ACD4604"/>
    <w:rsid w:val="0AD20000"/>
    <w:rsid w:val="0AD82858"/>
    <w:rsid w:val="0ADE554D"/>
    <w:rsid w:val="0AEA52A2"/>
    <w:rsid w:val="0B215037"/>
    <w:rsid w:val="0B2A7363"/>
    <w:rsid w:val="0B303411"/>
    <w:rsid w:val="0B306BDB"/>
    <w:rsid w:val="0B3B46C7"/>
    <w:rsid w:val="0B477723"/>
    <w:rsid w:val="0B4B77A4"/>
    <w:rsid w:val="0B5233A1"/>
    <w:rsid w:val="0B5727D8"/>
    <w:rsid w:val="0B592B8D"/>
    <w:rsid w:val="0B5C6DF4"/>
    <w:rsid w:val="0B641124"/>
    <w:rsid w:val="0B6B23F0"/>
    <w:rsid w:val="0B6E29A5"/>
    <w:rsid w:val="0B7F51DF"/>
    <w:rsid w:val="0B840A57"/>
    <w:rsid w:val="0B8C64D5"/>
    <w:rsid w:val="0B9A48A9"/>
    <w:rsid w:val="0BA64C51"/>
    <w:rsid w:val="0BA760D0"/>
    <w:rsid w:val="0BA862B3"/>
    <w:rsid w:val="0BA96727"/>
    <w:rsid w:val="0BB47B20"/>
    <w:rsid w:val="0BB5246C"/>
    <w:rsid w:val="0BD067E6"/>
    <w:rsid w:val="0BDC5D3C"/>
    <w:rsid w:val="0BE05230"/>
    <w:rsid w:val="0BF53982"/>
    <w:rsid w:val="0C031FB2"/>
    <w:rsid w:val="0C037046"/>
    <w:rsid w:val="0C145CE4"/>
    <w:rsid w:val="0C324EA6"/>
    <w:rsid w:val="0C40688D"/>
    <w:rsid w:val="0C513FEB"/>
    <w:rsid w:val="0C53309B"/>
    <w:rsid w:val="0C5C7DBC"/>
    <w:rsid w:val="0C5E6115"/>
    <w:rsid w:val="0C656979"/>
    <w:rsid w:val="0C662B4A"/>
    <w:rsid w:val="0C76664C"/>
    <w:rsid w:val="0C804D22"/>
    <w:rsid w:val="0C964645"/>
    <w:rsid w:val="0C9C4F63"/>
    <w:rsid w:val="0C9F3B5A"/>
    <w:rsid w:val="0CA30F10"/>
    <w:rsid w:val="0CAC5A8E"/>
    <w:rsid w:val="0CD90F45"/>
    <w:rsid w:val="0CE527A4"/>
    <w:rsid w:val="0CEA4585"/>
    <w:rsid w:val="0CF30A60"/>
    <w:rsid w:val="0D07371E"/>
    <w:rsid w:val="0D2F798A"/>
    <w:rsid w:val="0D3668A7"/>
    <w:rsid w:val="0D392327"/>
    <w:rsid w:val="0D3E0AB0"/>
    <w:rsid w:val="0D465059"/>
    <w:rsid w:val="0D48448C"/>
    <w:rsid w:val="0D6A04F7"/>
    <w:rsid w:val="0DA40C88"/>
    <w:rsid w:val="0DB14954"/>
    <w:rsid w:val="0DB514C0"/>
    <w:rsid w:val="0DBD165B"/>
    <w:rsid w:val="0DC71864"/>
    <w:rsid w:val="0DC76181"/>
    <w:rsid w:val="0DDB0986"/>
    <w:rsid w:val="0DDD06BB"/>
    <w:rsid w:val="0DE17245"/>
    <w:rsid w:val="0DE96F62"/>
    <w:rsid w:val="0DEE4374"/>
    <w:rsid w:val="0DEF3C94"/>
    <w:rsid w:val="0DF52AAA"/>
    <w:rsid w:val="0DF86DCB"/>
    <w:rsid w:val="0DFB1953"/>
    <w:rsid w:val="0DFF2D63"/>
    <w:rsid w:val="0E0E08B7"/>
    <w:rsid w:val="0E143ECF"/>
    <w:rsid w:val="0E1B51E4"/>
    <w:rsid w:val="0E282319"/>
    <w:rsid w:val="0E3A4805"/>
    <w:rsid w:val="0E4A6F1D"/>
    <w:rsid w:val="0E650473"/>
    <w:rsid w:val="0E813F40"/>
    <w:rsid w:val="0E820509"/>
    <w:rsid w:val="0E822B85"/>
    <w:rsid w:val="0E896FFE"/>
    <w:rsid w:val="0E9C5605"/>
    <w:rsid w:val="0E9E4DC0"/>
    <w:rsid w:val="0E9F6603"/>
    <w:rsid w:val="0EAF6F74"/>
    <w:rsid w:val="0EBA7D1B"/>
    <w:rsid w:val="0EBB3ECC"/>
    <w:rsid w:val="0EDA5675"/>
    <w:rsid w:val="0EEA3D8E"/>
    <w:rsid w:val="0EF24883"/>
    <w:rsid w:val="0EF408C9"/>
    <w:rsid w:val="0F09758C"/>
    <w:rsid w:val="0F1C36D3"/>
    <w:rsid w:val="0F237C9A"/>
    <w:rsid w:val="0F411FE7"/>
    <w:rsid w:val="0F566D59"/>
    <w:rsid w:val="0F5C3DBD"/>
    <w:rsid w:val="0F6064A8"/>
    <w:rsid w:val="0F7270CC"/>
    <w:rsid w:val="0F752C30"/>
    <w:rsid w:val="0F827398"/>
    <w:rsid w:val="0F8C27C0"/>
    <w:rsid w:val="0F9261BA"/>
    <w:rsid w:val="0F934178"/>
    <w:rsid w:val="0F972A29"/>
    <w:rsid w:val="0F997E52"/>
    <w:rsid w:val="0FAC58C8"/>
    <w:rsid w:val="0FAD2C02"/>
    <w:rsid w:val="0FBD61C4"/>
    <w:rsid w:val="0FC57A5F"/>
    <w:rsid w:val="0FCB1C3D"/>
    <w:rsid w:val="0FD6699C"/>
    <w:rsid w:val="0FF63D67"/>
    <w:rsid w:val="10281CAB"/>
    <w:rsid w:val="102B762A"/>
    <w:rsid w:val="1045085E"/>
    <w:rsid w:val="10464D9F"/>
    <w:rsid w:val="105F59D9"/>
    <w:rsid w:val="106B16E5"/>
    <w:rsid w:val="10702295"/>
    <w:rsid w:val="108037BD"/>
    <w:rsid w:val="10805D57"/>
    <w:rsid w:val="108C507A"/>
    <w:rsid w:val="108F770C"/>
    <w:rsid w:val="10A66BB5"/>
    <w:rsid w:val="10AF0D25"/>
    <w:rsid w:val="10BF066C"/>
    <w:rsid w:val="10C36F86"/>
    <w:rsid w:val="10CD23BA"/>
    <w:rsid w:val="10CF2502"/>
    <w:rsid w:val="10DD5695"/>
    <w:rsid w:val="10DE628A"/>
    <w:rsid w:val="10F63A48"/>
    <w:rsid w:val="11110886"/>
    <w:rsid w:val="11156B5F"/>
    <w:rsid w:val="112213FC"/>
    <w:rsid w:val="112A0E5B"/>
    <w:rsid w:val="112C5325"/>
    <w:rsid w:val="112F1AE5"/>
    <w:rsid w:val="113D0BD7"/>
    <w:rsid w:val="11415019"/>
    <w:rsid w:val="114657CA"/>
    <w:rsid w:val="11471DEC"/>
    <w:rsid w:val="115D0895"/>
    <w:rsid w:val="11647640"/>
    <w:rsid w:val="11744F0C"/>
    <w:rsid w:val="1184410A"/>
    <w:rsid w:val="118603A6"/>
    <w:rsid w:val="11B036C7"/>
    <w:rsid w:val="11C63C86"/>
    <w:rsid w:val="11DF7B3A"/>
    <w:rsid w:val="11EA25D5"/>
    <w:rsid w:val="11EC6991"/>
    <w:rsid w:val="11EE6DCA"/>
    <w:rsid w:val="11EF0378"/>
    <w:rsid w:val="11F702EF"/>
    <w:rsid w:val="11F86AFE"/>
    <w:rsid w:val="1206407A"/>
    <w:rsid w:val="120A0329"/>
    <w:rsid w:val="122B667F"/>
    <w:rsid w:val="12307737"/>
    <w:rsid w:val="123B714B"/>
    <w:rsid w:val="123D1C01"/>
    <w:rsid w:val="126C6635"/>
    <w:rsid w:val="128240B1"/>
    <w:rsid w:val="12905F0B"/>
    <w:rsid w:val="12961E99"/>
    <w:rsid w:val="12A01EC8"/>
    <w:rsid w:val="12A85EC5"/>
    <w:rsid w:val="12B322E9"/>
    <w:rsid w:val="12BB2356"/>
    <w:rsid w:val="12C44259"/>
    <w:rsid w:val="12CB752C"/>
    <w:rsid w:val="12DA4151"/>
    <w:rsid w:val="12DE5AA3"/>
    <w:rsid w:val="12EC16B3"/>
    <w:rsid w:val="12EE3831"/>
    <w:rsid w:val="12EF39F1"/>
    <w:rsid w:val="12FC3DC2"/>
    <w:rsid w:val="13077776"/>
    <w:rsid w:val="13096C1B"/>
    <w:rsid w:val="130B5931"/>
    <w:rsid w:val="130D399B"/>
    <w:rsid w:val="13362A82"/>
    <w:rsid w:val="13421F12"/>
    <w:rsid w:val="13445761"/>
    <w:rsid w:val="134B3396"/>
    <w:rsid w:val="134B4985"/>
    <w:rsid w:val="134C3392"/>
    <w:rsid w:val="136B2BD9"/>
    <w:rsid w:val="13702E67"/>
    <w:rsid w:val="13755F24"/>
    <w:rsid w:val="137778F1"/>
    <w:rsid w:val="13926679"/>
    <w:rsid w:val="139B7900"/>
    <w:rsid w:val="13BE37A7"/>
    <w:rsid w:val="13BF1E66"/>
    <w:rsid w:val="13CC3968"/>
    <w:rsid w:val="13CF0421"/>
    <w:rsid w:val="13DD428B"/>
    <w:rsid w:val="13EB4D36"/>
    <w:rsid w:val="13F40833"/>
    <w:rsid w:val="13FC25C4"/>
    <w:rsid w:val="14041B5B"/>
    <w:rsid w:val="1413722A"/>
    <w:rsid w:val="141E453A"/>
    <w:rsid w:val="141F5AFE"/>
    <w:rsid w:val="142719F6"/>
    <w:rsid w:val="143E42F5"/>
    <w:rsid w:val="146B05E1"/>
    <w:rsid w:val="146B31C5"/>
    <w:rsid w:val="14853944"/>
    <w:rsid w:val="148C1B36"/>
    <w:rsid w:val="14901548"/>
    <w:rsid w:val="14AB48DD"/>
    <w:rsid w:val="14B15D22"/>
    <w:rsid w:val="14B97A92"/>
    <w:rsid w:val="14C655E5"/>
    <w:rsid w:val="14C861FB"/>
    <w:rsid w:val="14D34B20"/>
    <w:rsid w:val="14DC30F3"/>
    <w:rsid w:val="14E845CC"/>
    <w:rsid w:val="14EF601F"/>
    <w:rsid w:val="14F33418"/>
    <w:rsid w:val="14FA5E80"/>
    <w:rsid w:val="14FF23E5"/>
    <w:rsid w:val="14FF6E26"/>
    <w:rsid w:val="150022D1"/>
    <w:rsid w:val="15050672"/>
    <w:rsid w:val="15074E61"/>
    <w:rsid w:val="150D4E1E"/>
    <w:rsid w:val="150F1ED6"/>
    <w:rsid w:val="15142668"/>
    <w:rsid w:val="15286794"/>
    <w:rsid w:val="152C765F"/>
    <w:rsid w:val="15401471"/>
    <w:rsid w:val="155F033A"/>
    <w:rsid w:val="156E03F6"/>
    <w:rsid w:val="157924C7"/>
    <w:rsid w:val="157F44A7"/>
    <w:rsid w:val="15831A68"/>
    <w:rsid w:val="158E7CA3"/>
    <w:rsid w:val="158F7009"/>
    <w:rsid w:val="15907E04"/>
    <w:rsid w:val="159B2DD6"/>
    <w:rsid w:val="159D726A"/>
    <w:rsid w:val="15AC5474"/>
    <w:rsid w:val="15C51ED2"/>
    <w:rsid w:val="15D6756A"/>
    <w:rsid w:val="15DC7DEF"/>
    <w:rsid w:val="15EF7E12"/>
    <w:rsid w:val="15F20A86"/>
    <w:rsid w:val="1603237C"/>
    <w:rsid w:val="1607459A"/>
    <w:rsid w:val="160D3373"/>
    <w:rsid w:val="161C2BC7"/>
    <w:rsid w:val="163367B4"/>
    <w:rsid w:val="16426B8B"/>
    <w:rsid w:val="165811A6"/>
    <w:rsid w:val="165D528E"/>
    <w:rsid w:val="166313A7"/>
    <w:rsid w:val="167006B3"/>
    <w:rsid w:val="16765CF9"/>
    <w:rsid w:val="16844690"/>
    <w:rsid w:val="16886F66"/>
    <w:rsid w:val="16952D61"/>
    <w:rsid w:val="16961D80"/>
    <w:rsid w:val="169E43BB"/>
    <w:rsid w:val="16A1248C"/>
    <w:rsid w:val="16A71D6A"/>
    <w:rsid w:val="16BD5089"/>
    <w:rsid w:val="16CE431A"/>
    <w:rsid w:val="16D37FC1"/>
    <w:rsid w:val="16D436D3"/>
    <w:rsid w:val="16D55A26"/>
    <w:rsid w:val="16DF1B6A"/>
    <w:rsid w:val="16F1047C"/>
    <w:rsid w:val="16F27B2F"/>
    <w:rsid w:val="16F34581"/>
    <w:rsid w:val="172C190E"/>
    <w:rsid w:val="174C0B25"/>
    <w:rsid w:val="175E7109"/>
    <w:rsid w:val="176D2223"/>
    <w:rsid w:val="17733879"/>
    <w:rsid w:val="17830166"/>
    <w:rsid w:val="179A1BF1"/>
    <w:rsid w:val="17A54224"/>
    <w:rsid w:val="17A55683"/>
    <w:rsid w:val="17B02E85"/>
    <w:rsid w:val="17B152CC"/>
    <w:rsid w:val="17BE238F"/>
    <w:rsid w:val="17D65AF0"/>
    <w:rsid w:val="17DE2C4B"/>
    <w:rsid w:val="17F62CAF"/>
    <w:rsid w:val="180A5128"/>
    <w:rsid w:val="181227BC"/>
    <w:rsid w:val="18144B2E"/>
    <w:rsid w:val="181C5707"/>
    <w:rsid w:val="18271570"/>
    <w:rsid w:val="182A77A3"/>
    <w:rsid w:val="18301DAA"/>
    <w:rsid w:val="18406503"/>
    <w:rsid w:val="18457E93"/>
    <w:rsid w:val="184E4896"/>
    <w:rsid w:val="18560CAD"/>
    <w:rsid w:val="187545CF"/>
    <w:rsid w:val="187A16E0"/>
    <w:rsid w:val="187D0D0A"/>
    <w:rsid w:val="188327CB"/>
    <w:rsid w:val="18836D5B"/>
    <w:rsid w:val="188B6184"/>
    <w:rsid w:val="18A31B7F"/>
    <w:rsid w:val="18B57A11"/>
    <w:rsid w:val="18B83042"/>
    <w:rsid w:val="18C120BC"/>
    <w:rsid w:val="18C1482D"/>
    <w:rsid w:val="18E4078D"/>
    <w:rsid w:val="18EF4C22"/>
    <w:rsid w:val="18F009F7"/>
    <w:rsid w:val="18F53D88"/>
    <w:rsid w:val="18FC2B99"/>
    <w:rsid w:val="19076E72"/>
    <w:rsid w:val="190F6C58"/>
    <w:rsid w:val="19161B88"/>
    <w:rsid w:val="1925244E"/>
    <w:rsid w:val="19304F5E"/>
    <w:rsid w:val="193D5B8D"/>
    <w:rsid w:val="19587032"/>
    <w:rsid w:val="195A3EF5"/>
    <w:rsid w:val="196B1356"/>
    <w:rsid w:val="1974743A"/>
    <w:rsid w:val="197B0865"/>
    <w:rsid w:val="19875DC6"/>
    <w:rsid w:val="19884618"/>
    <w:rsid w:val="1998232D"/>
    <w:rsid w:val="199A2DDB"/>
    <w:rsid w:val="19A606F4"/>
    <w:rsid w:val="19B50EB0"/>
    <w:rsid w:val="19C50385"/>
    <w:rsid w:val="19D42DBF"/>
    <w:rsid w:val="19E44EFF"/>
    <w:rsid w:val="19EB0279"/>
    <w:rsid w:val="19FC0C40"/>
    <w:rsid w:val="19FF2A68"/>
    <w:rsid w:val="1A200EBD"/>
    <w:rsid w:val="1A2519F7"/>
    <w:rsid w:val="1A2D2C6A"/>
    <w:rsid w:val="1A332F12"/>
    <w:rsid w:val="1A3A0BE6"/>
    <w:rsid w:val="1A3B7C41"/>
    <w:rsid w:val="1A437302"/>
    <w:rsid w:val="1A471FA2"/>
    <w:rsid w:val="1A4951D6"/>
    <w:rsid w:val="1A4E7D7C"/>
    <w:rsid w:val="1A501FA7"/>
    <w:rsid w:val="1A551D7A"/>
    <w:rsid w:val="1A673513"/>
    <w:rsid w:val="1A6B1D7F"/>
    <w:rsid w:val="1A785DD9"/>
    <w:rsid w:val="1A7C2A99"/>
    <w:rsid w:val="1AAA75F2"/>
    <w:rsid w:val="1AC031C9"/>
    <w:rsid w:val="1AC84BC7"/>
    <w:rsid w:val="1AD74D3C"/>
    <w:rsid w:val="1AE156E8"/>
    <w:rsid w:val="1AFE7E88"/>
    <w:rsid w:val="1B09577A"/>
    <w:rsid w:val="1B0C1569"/>
    <w:rsid w:val="1B2B6878"/>
    <w:rsid w:val="1B320CED"/>
    <w:rsid w:val="1B375393"/>
    <w:rsid w:val="1B4050AD"/>
    <w:rsid w:val="1B4668E5"/>
    <w:rsid w:val="1B572293"/>
    <w:rsid w:val="1B5B71A3"/>
    <w:rsid w:val="1B5F0ECC"/>
    <w:rsid w:val="1B7506DC"/>
    <w:rsid w:val="1BA52C65"/>
    <w:rsid w:val="1BAC5BFB"/>
    <w:rsid w:val="1BDA3373"/>
    <w:rsid w:val="1BFE40D3"/>
    <w:rsid w:val="1BFF6E19"/>
    <w:rsid w:val="1C022306"/>
    <w:rsid w:val="1C0A2CDF"/>
    <w:rsid w:val="1C0C46AE"/>
    <w:rsid w:val="1C19604A"/>
    <w:rsid w:val="1C2A5F1F"/>
    <w:rsid w:val="1C311EC8"/>
    <w:rsid w:val="1C393F7F"/>
    <w:rsid w:val="1C3D6B63"/>
    <w:rsid w:val="1C453B8A"/>
    <w:rsid w:val="1C4F4B73"/>
    <w:rsid w:val="1C562F08"/>
    <w:rsid w:val="1C856E3E"/>
    <w:rsid w:val="1C8D7615"/>
    <w:rsid w:val="1C937D88"/>
    <w:rsid w:val="1C946292"/>
    <w:rsid w:val="1CAF4348"/>
    <w:rsid w:val="1CB6203D"/>
    <w:rsid w:val="1CE11909"/>
    <w:rsid w:val="1D037DF0"/>
    <w:rsid w:val="1D1A61C7"/>
    <w:rsid w:val="1D1D310C"/>
    <w:rsid w:val="1D255157"/>
    <w:rsid w:val="1D2B2847"/>
    <w:rsid w:val="1D2B4BDB"/>
    <w:rsid w:val="1D31038F"/>
    <w:rsid w:val="1D3645D7"/>
    <w:rsid w:val="1D543505"/>
    <w:rsid w:val="1D6F2115"/>
    <w:rsid w:val="1D717800"/>
    <w:rsid w:val="1D722A11"/>
    <w:rsid w:val="1D7B731D"/>
    <w:rsid w:val="1D8D6D14"/>
    <w:rsid w:val="1DA70405"/>
    <w:rsid w:val="1DBC4C99"/>
    <w:rsid w:val="1DBE402F"/>
    <w:rsid w:val="1DC440DC"/>
    <w:rsid w:val="1DC44B42"/>
    <w:rsid w:val="1DCA598A"/>
    <w:rsid w:val="1DD22E92"/>
    <w:rsid w:val="1DDF50C5"/>
    <w:rsid w:val="1DE85A1C"/>
    <w:rsid w:val="1DF548F1"/>
    <w:rsid w:val="1DFF24FD"/>
    <w:rsid w:val="1E035B0C"/>
    <w:rsid w:val="1E0E5C41"/>
    <w:rsid w:val="1E14276A"/>
    <w:rsid w:val="1E2B0555"/>
    <w:rsid w:val="1E2B5075"/>
    <w:rsid w:val="1E2E10EA"/>
    <w:rsid w:val="1E3A1BC8"/>
    <w:rsid w:val="1E4149CC"/>
    <w:rsid w:val="1E42337D"/>
    <w:rsid w:val="1E4473B7"/>
    <w:rsid w:val="1E474640"/>
    <w:rsid w:val="1E4B3DCC"/>
    <w:rsid w:val="1E4D0DE6"/>
    <w:rsid w:val="1E635478"/>
    <w:rsid w:val="1E684069"/>
    <w:rsid w:val="1E691D5F"/>
    <w:rsid w:val="1E9027B4"/>
    <w:rsid w:val="1E9A5D49"/>
    <w:rsid w:val="1EAA0F84"/>
    <w:rsid w:val="1EC27D37"/>
    <w:rsid w:val="1ECD0713"/>
    <w:rsid w:val="1ED422F9"/>
    <w:rsid w:val="1EDE7E55"/>
    <w:rsid w:val="1EE14B15"/>
    <w:rsid w:val="1EE500D2"/>
    <w:rsid w:val="1EE935B0"/>
    <w:rsid w:val="1EEF6BF1"/>
    <w:rsid w:val="1F262716"/>
    <w:rsid w:val="1F3E1E3C"/>
    <w:rsid w:val="1F42633F"/>
    <w:rsid w:val="1F54672C"/>
    <w:rsid w:val="1F5C1132"/>
    <w:rsid w:val="1F613B6F"/>
    <w:rsid w:val="1F7F40BC"/>
    <w:rsid w:val="1F9008C7"/>
    <w:rsid w:val="1F9D1347"/>
    <w:rsid w:val="1F9F3DD7"/>
    <w:rsid w:val="1FA303D2"/>
    <w:rsid w:val="1FA87A7C"/>
    <w:rsid w:val="1FAF7572"/>
    <w:rsid w:val="1FB5719D"/>
    <w:rsid w:val="1FB64B58"/>
    <w:rsid w:val="1FB95506"/>
    <w:rsid w:val="1FBC7D4D"/>
    <w:rsid w:val="1FCC3EC3"/>
    <w:rsid w:val="1FD06938"/>
    <w:rsid w:val="1FDF12CA"/>
    <w:rsid w:val="1FE41A6F"/>
    <w:rsid w:val="1FEF407A"/>
    <w:rsid w:val="20000A88"/>
    <w:rsid w:val="200229D7"/>
    <w:rsid w:val="202D3CDB"/>
    <w:rsid w:val="205F243C"/>
    <w:rsid w:val="20695741"/>
    <w:rsid w:val="20776D72"/>
    <w:rsid w:val="207B5526"/>
    <w:rsid w:val="208C709E"/>
    <w:rsid w:val="2093368B"/>
    <w:rsid w:val="20AA45D9"/>
    <w:rsid w:val="20AC0A19"/>
    <w:rsid w:val="20B21721"/>
    <w:rsid w:val="20C73D28"/>
    <w:rsid w:val="20CE7BF6"/>
    <w:rsid w:val="20D141E6"/>
    <w:rsid w:val="20D502B5"/>
    <w:rsid w:val="20DD6D05"/>
    <w:rsid w:val="20E94561"/>
    <w:rsid w:val="20F03951"/>
    <w:rsid w:val="2102385C"/>
    <w:rsid w:val="2104291D"/>
    <w:rsid w:val="210E11B1"/>
    <w:rsid w:val="21260482"/>
    <w:rsid w:val="212A0A23"/>
    <w:rsid w:val="213759BD"/>
    <w:rsid w:val="213A18C0"/>
    <w:rsid w:val="213B7211"/>
    <w:rsid w:val="21430E98"/>
    <w:rsid w:val="2145170C"/>
    <w:rsid w:val="214D33D3"/>
    <w:rsid w:val="215B04E6"/>
    <w:rsid w:val="216E2B4D"/>
    <w:rsid w:val="217666E8"/>
    <w:rsid w:val="2177156C"/>
    <w:rsid w:val="2187085A"/>
    <w:rsid w:val="21935DF5"/>
    <w:rsid w:val="21B32404"/>
    <w:rsid w:val="21BF6973"/>
    <w:rsid w:val="21C645A3"/>
    <w:rsid w:val="21CC3855"/>
    <w:rsid w:val="21CE2CE8"/>
    <w:rsid w:val="21D13DA9"/>
    <w:rsid w:val="21D575C7"/>
    <w:rsid w:val="21D64DEF"/>
    <w:rsid w:val="21D65308"/>
    <w:rsid w:val="21DA417D"/>
    <w:rsid w:val="21F558EA"/>
    <w:rsid w:val="21F717EA"/>
    <w:rsid w:val="220009B9"/>
    <w:rsid w:val="220C363D"/>
    <w:rsid w:val="221E3217"/>
    <w:rsid w:val="22321F70"/>
    <w:rsid w:val="223936E3"/>
    <w:rsid w:val="223E64A5"/>
    <w:rsid w:val="223E7D91"/>
    <w:rsid w:val="22536A17"/>
    <w:rsid w:val="226250E7"/>
    <w:rsid w:val="22723EE3"/>
    <w:rsid w:val="227606F7"/>
    <w:rsid w:val="22793D81"/>
    <w:rsid w:val="227E166C"/>
    <w:rsid w:val="22853E7D"/>
    <w:rsid w:val="22860C3B"/>
    <w:rsid w:val="22B619B9"/>
    <w:rsid w:val="22E0563C"/>
    <w:rsid w:val="22E30FDA"/>
    <w:rsid w:val="22EA1A1C"/>
    <w:rsid w:val="22F35ED0"/>
    <w:rsid w:val="22F40325"/>
    <w:rsid w:val="22F707ED"/>
    <w:rsid w:val="2301032C"/>
    <w:rsid w:val="23012ED8"/>
    <w:rsid w:val="230570F4"/>
    <w:rsid w:val="23086B36"/>
    <w:rsid w:val="23097103"/>
    <w:rsid w:val="230E5A39"/>
    <w:rsid w:val="23110081"/>
    <w:rsid w:val="231C353B"/>
    <w:rsid w:val="232F27BC"/>
    <w:rsid w:val="233444B0"/>
    <w:rsid w:val="233F1560"/>
    <w:rsid w:val="234206CF"/>
    <w:rsid w:val="2342266F"/>
    <w:rsid w:val="23453A6C"/>
    <w:rsid w:val="23544C74"/>
    <w:rsid w:val="23651F0A"/>
    <w:rsid w:val="23667DB0"/>
    <w:rsid w:val="23753C96"/>
    <w:rsid w:val="2386084A"/>
    <w:rsid w:val="238E53E2"/>
    <w:rsid w:val="238F076D"/>
    <w:rsid w:val="238F6217"/>
    <w:rsid w:val="23986020"/>
    <w:rsid w:val="239E30FB"/>
    <w:rsid w:val="239E53CD"/>
    <w:rsid w:val="23A42E49"/>
    <w:rsid w:val="23AF6B1C"/>
    <w:rsid w:val="23B72747"/>
    <w:rsid w:val="23BA6729"/>
    <w:rsid w:val="23BD0C21"/>
    <w:rsid w:val="23CA3793"/>
    <w:rsid w:val="23E73496"/>
    <w:rsid w:val="23EE01FE"/>
    <w:rsid w:val="241E7B09"/>
    <w:rsid w:val="2424431C"/>
    <w:rsid w:val="242550C6"/>
    <w:rsid w:val="24346493"/>
    <w:rsid w:val="245E11B6"/>
    <w:rsid w:val="246048C9"/>
    <w:rsid w:val="246127DE"/>
    <w:rsid w:val="24664C5E"/>
    <w:rsid w:val="247F38A4"/>
    <w:rsid w:val="248F0548"/>
    <w:rsid w:val="24913D04"/>
    <w:rsid w:val="24A425A4"/>
    <w:rsid w:val="24AB6A99"/>
    <w:rsid w:val="24BC6B56"/>
    <w:rsid w:val="24DC6462"/>
    <w:rsid w:val="24DF14C8"/>
    <w:rsid w:val="24DF3759"/>
    <w:rsid w:val="24E46DA4"/>
    <w:rsid w:val="24EB05A3"/>
    <w:rsid w:val="25135AE0"/>
    <w:rsid w:val="252E4D73"/>
    <w:rsid w:val="253464F0"/>
    <w:rsid w:val="2541192A"/>
    <w:rsid w:val="2559616C"/>
    <w:rsid w:val="255A3DCC"/>
    <w:rsid w:val="256445D0"/>
    <w:rsid w:val="256B3641"/>
    <w:rsid w:val="25852F1A"/>
    <w:rsid w:val="258D1F5D"/>
    <w:rsid w:val="259D4978"/>
    <w:rsid w:val="25A01721"/>
    <w:rsid w:val="25A34D49"/>
    <w:rsid w:val="25BC277D"/>
    <w:rsid w:val="25C012CF"/>
    <w:rsid w:val="25C3495D"/>
    <w:rsid w:val="25D62DCA"/>
    <w:rsid w:val="25EA14D2"/>
    <w:rsid w:val="25ED1812"/>
    <w:rsid w:val="26004B08"/>
    <w:rsid w:val="261E04EC"/>
    <w:rsid w:val="26285A27"/>
    <w:rsid w:val="262D1B8D"/>
    <w:rsid w:val="262D7300"/>
    <w:rsid w:val="26386355"/>
    <w:rsid w:val="263D6940"/>
    <w:rsid w:val="26512396"/>
    <w:rsid w:val="267277FD"/>
    <w:rsid w:val="267833BD"/>
    <w:rsid w:val="268F391F"/>
    <w:rsid w:val="2696018B"/>
    <w:rsid w:val="26A55682"/>
    <w:rsid w:val="26BA11E9"/>
    <w:rsid w:val="26BD2AC6"/>
    <w:rsid w:val="26DC2861"/>
    <w:rsid w:val="26EA3EBD"/>
    <w:rsid w:val="26F71023"/>
    <w:rsid w:val="26F84F6E"/>
    <w:rsid w:val="26FE1B3E"/>
    <w:rsid w:val="271D1742"/>
    <w:rsid w:val="272048E8"/>
    <w:rsid w:val="27304EA0"/>
    <w:rsid w:val="2749537C"/>
    <w:rsid w:val="275B15D2"/>
    <w:rsid w:val="276A1519"/>
    <w:rsid w:val="276F7DD7"/>
    <w:rsid w:val="277E2092"/>
    <w:rsid w:val="27827416"/>
    <w:rsid w:val="278378EC"/>
    <w:rsid w:val="279E1AD0"/>
    <w:rsid w:val="279E3B48"/>
    <w:rsid w:val="27A6094B"/>
    <w:rsid w:val="27B061AE"/>
    <w:rsid w:val="27CB205F"/>
    <w:rsid w:val="27EC7CFF"/>
    <w:rsid w:val="27FA5F0A"/>
    <w:rsid w:val="27FC5672"/>
    <w:rsid w:val="27FE0ECF"/>
    <w:rsid w:val="28040FB8"/>
    <w:rsid w:val="280E18FD"/>
    <w:rsid w:val="28113320"/>
    <w:rsid w:val="28156A14"/>
    <w:rsid w:val="281771B9"/>
    <w:rsid w:val="284A491C"/>
    <w:rsid w:val="284C3C44"/>
    <w:rsid w:val="285963AC"/>
    <w:rsid w:val="28644F63"/>
    <w:rsid w:val="286D7FD0"/>
    <w:rsid w:val="2875007A"/>
    <w:rsid w:val="28AA6AAF"/>
    <w:rsid w:val="28BD2230"/>
    <w:rsid w:val="28C159B6"/>
    <w:rsid w:val="28D15BA8"/>
    <w:rsid w:val="28E07DBD"/>
    <w:rsid w:val="28E83A37"/>
    <w:rsid w:val="28E97A66"/>
    <w:rsid w:val="292A7911"/>
    <w:rsid w:val="292C6EE3"/>
    <w:rsid w:val="29312287"/>
    <w:rsid w:val="29350F17"/>
    <w:rsid w:val="29850B19"/>
    <w:rsid w:val="29B0603E"/>
    <w:rsid w:val="29B52B8B"/>
    <w:rsid w:val="29E05655"/>
    <w:rsid w:val="2A05422A"/>
    <w:rsid w:val="2A15648E"/>
    <w:rsid w:val="2A6343B1"/>
    <w:rsid w:val="2A8F131A"/>
    <w:rsid w:val="2A9A71B6"/>
    <w:rsid w:val="2AAA4630"/>
    <w:rsid w:val="2ABC05D0"/>
    <w:rsid w:val="2AC07AF8"/>
    <w:rsid w:val="2AC17847"/>
    <w:rsid w:val="2AC6433D"/>
    <w:rsid w:val="2AC9019E"/>
    <w:rsid w:val="2B057C6D"/>
    <w:rsid w:val="2B12715D"/>
    <w:rsid w:val="2B180B49"/>
    <w:rsid w:val="2B2A1FF9"/>
    <w:rsid w:val="2B352C03"/>
    <w:rsid w:val="2B3E06C1"/>
    <w:rsid w:val="2B403DBE"/>
    <w:rsid w:val="2B430848"/>
    <w:rsid w:val="2B465CAB"/>
    <w:rsid w:val="2B4D6EDD"/>
    <w:rsid w:val="2B603C0A"/>
    <w:rsid w:val="2B880A01"/>
    <w:rsid w:val="2B99302E"/>
    <w:rsid w:val="2BA51723"/>
    <w:rsid w:val="2BBC69E7"/>
    <w:rsid w:val="2BBE7124"/>
    <w:rsid w:val="2BE3160B"/>
    <w:rsid w:val="2BEE1B84"/>
    <w:rsid w:val="2C032AB5"/>
    <w:rsid w:val="2C270DFF"/>
    <w:rsid w:val="2C3116AE"/>
    <w:rsid w:val="2C3D5F7D"/>
    <w:rsid w:val="2C4408FE"/>
    <w:rsid w:val="2C4B420E"/>
    <w:rsid w:val="2C66306C"/>
    <w:rsid w:val="2C7D1E7E"/>
    <w:rsid w:val="2C822090"/>
    <w:rsid w:val="2C8A0E53"/>
    <w:rsid w:val="2C8C1B11"/>
    <w:rsid w:val="2C8C7708"/>
    <w:rsid w:val="2CA52CE7"/>
    <w:rsid w:val="2CC32D54"/>
    <w:rsid w:val="2CC71902"/>
    <w:rsid w:val="2CCD1E4D"/>
    <w:rsid w:val="2CD43E1A"/>
    <w:rsid w:val="2CDA6A99"/>
    <w:rsid w:val="2CE633BB"/>
    <w:rsid w:val="2CEF3FEC"/>
    <w:rsid w:val="2CFC31F5"/>
    <w:rsid w:val="2CFF50AA"/>
    <w:rsid w:val="2D112A5E"/>
    <w:rsid w:val="2D141BAC"/>
    <w:rsid w:val="2D1D39B7"/>
    <w:rsid w:val="2D29051A"/>
    <w:rsid w:val="2D3844A2"/>
    <w:rsid w:val="2D415B95"/>
    <w:rsid w:val="2D436353"/>
    <w:rsid w:val="2D4878E2"/>
    <w:rsid w:val="2D5A1664"/>
    <w:rsid w:val="2D5F0BD4"/>
    <w:rsid w:val="2D616996"/>
    <w:rsid w:val="2D6D7E92"/>
    <w:rsid w:val="2D6F73AA"/>
    <w:rsid w:val="2D7370A3"/>
    <w:rsid w:val="2D793988"/>
    <w:rsid w:val="2D8761F7"/>
    <w:rsid w:val="2D8A057B"/>
    <w:rsid w:val="2DB240A4"/>
    <w:rsid w:val="2DBA5C7F"/>
    <w:rsid w:val="2DC11E02"/>
    <w:rsid w:val="2DD40EFF"/>
    <w:rsid w:val="2DD7560C"/>
    <w:rsid w:val="2DDA689D"/>
    <w:rsid w:val="2DE67D12"/>
    <w:rsid w:val="2DED07E0"/>
    <w:rsid w:val="2DEE1FB5"/>
    <w:rsid w:val="2DFA596E"/>
    <w:rsid w:val="2E1C61FD"/>
    <w:rsid w:val="2E1E4596"/>
    <w:rsid w:val="2E481797"/>
    <w:rsid w:val="2E4C5497"/>
    <w:rsid w:val="2E526984"/>
    <w:rsid w:val="2E5D5D84"/>
    <w:rsid w:val="2E5E578C"/>
    <w:rsid w:val="2E5F4BFA"/>
    <w:rsid w:val="2E69489B"/>
    <w:rsid w:val="2E6978C1"/>
    <w:rsid w:val="2E70716B"/>
    <w:rsid w:val="2E793B4B"/>
    <w:rsid w:val="2E8976BE"/>
    <w:rsid w:val="2E9D7479"/>
    <w:rsid w:val="2EA2680E"/>
    <w:rsid w:val="2EA37CFE"/>
    <w:rsid w:val="2EB236FA"/>
    <w:rsid w:val="2EBA3402"/>
    <w:rsid w:val="2EC72B66"/>
    <w:rsid w:val="2ED22020"/>
    <w:rsid w:val="2EE967CC"/>
    <w:rsid w:val="2EFD2D95"/>
    <w:rsid w:val="2F0E197A"/>
    <w:rsid w:val="2F1A5B77"/>
    <w:rsid w:val="2F2200D1"/>
    <w:rsid w:val="2F260BCD"/>
    <w:rsid w:val="2F3777A2"/>
    <w:rsid w:val="2F3C4594"/>
    <w:rsid w:val="2F4A6576"/>
    <w:rsid w:val="2F512CA1"/>
    <w:rsid w:val="2F5911EC"/>
    <w:rsid w:val="2F7E578B"/>
    <w:rsid w:val="2F9D6150"/>
    <w:rsid w:val="2FA9542F"/>
    <w:rsid w:val="2FB20885"/>
    <w:rsid w:val="2FBA41F1"/>
    <w:rsid w:val="2FC07315"/>
    <w:rsid w:val="2FCC25E8"/>
    <w:rsid w:val="2FD60B28"/>
    <w:rsid w:val="2FD66FE4"/>
    <w:rsid w:val="2FDF75A1"/>
    <w:rsid w:val="2FF53A53"/>
    <w:rsid w:val="2FF754B6"/>
    <w:rsid w:val="2FFA2AC6"/>
    <w:rsid w:val="301D0F52"/>
    <w:rsid w:val="30214554"/>
    <w:rsid w:val="302D1551"/>
    <w:rsid w:val="30341D03"/>
    <w:rsid w:val="30397F2A"/>
    <w:rsid w:val="30413874"/>
    <w:rsid w:val="30471F01"/>
    <w:rsid w:val="304F0C6D"/>
    <w:rsid w:val="3052188E"/>
    <w:rsid w:val="305F4B6C"/>
    <w:rsid w:val="306938E3"/>
    <w:rsid w:val="306A72EB"/>
    <w:rsid w:val="30700DB3"/>
    <w:rsid w:val="3071406C"/>
    <w:rsid w:val="307F31C1"/>
    <w:rsid w:val="308049D5"/>
    <w:rsid w:val="309713E7"/>
    <w:rsid w:val="30985121"/>
    <w:rsid w:val="30B54A3C"/>
    <w:rsid w:val="30C05643"/>
    <w:rsid w:val="30CF4321"/>
    <w:rsid w:val="30F3258F"/>
    <w:rsid w:val="3105096D"/>
    <w:rsid w:val="31185F87"/>
    <w:rsid w:val="31287E99"/>
    <w:rsid w:val="313B0890"/>
    <w:rsid w:val="313F6535"/>
    <w:rsid w:val="31442DAD"/>
    <w:rsid w:val="31456675"/>
    <w:rsid w:val="314D5BC5"/>
    <w:rsid w:val="31547E55"/>
    <w:rsid w:val="3159398D"/>
    <w:rsid w:val="31686DEF"/>
    <w:rsid w:val="316B5930"/>
    <w:rsid w:val="316F5599"/>
    <w:rsid w:val="317B3226"/>
    <w:rsid w:val="3187444E"/>
    <w:rsid w:val="319E38E6"/>
    <w:rsid w:val="319F18FA"/>
    <w:rsid w:val="31B23571"/>
    <w:rsid w:val="31C33A63"/>
    <w:rsid w:val="31C36609"/>
    <w:rsid w:val="31CF026E"/>
    <w:rsid w:val="31D35C35"/>
    <w:rsid w:val="31D969BB"/>
    <w:rsid w:val="31DB640D"/>
    <w:rsid w:val="31E2726A"/>
    <w:rsid w:val="31E31A66"/>
    <w:rsid w:val="31E83339"/>
    <w:rsid w:val="31EA5372"/>
    <w:rsid w:val="31F9572A"/>
    <w:rsid w:val="31FD44AD"/>
    <w:rsid w:val="31FE1DA4"/>
    <w:rsid w:val="320015FF"/>
    <w:rsid w:val="32012DCD"/>
    <w:rsid w:val="321C3752"/>
    <w:rsid w:val="3221335A"/>
    <w:rsid w:val="322B01D6"/>
    <w:rsid w:val="322B24E6"/>
    <w:rsid w:val="323F16B2"/>
    <w:rsid w:val="3265649B"/>
    <w:rsid w:val="326C49CB"/>
    <w:rsid w:val="327524C7"/>
    <w:rsid w:val="32794ADC"/>
    <w:rsid w:val="328F22A1"/>
    <w:rsid w:val="32A24832"/>
    <w:rsid w:val="32AD62C1"/>
    <w:rsid w:val="32AF0C88"/>
    <w:rsid w:val="32B92B1F"/>
    <w:rsid w:val="32CC0321"/>
    <w:rsid w:val="32D612B8"/>
    <w:rsid w:val="32E56661"/>
    <w:rsid w:val="32E91504"/>
    <w:rsid w:val="32F3740F"/>
    <w:rsid w:val="32FC65D9"/>
    <w:rsid w:val="330E138F"/>
    <w:rsid w:val="33325244"/>
    <w:rsid w:val="33417D52"/>
    <w:rsid w:val="334350DD"/>
    <w:rsid w:val="33491C41"/>
    <w:rsid w:val="334B65B8"/>
    <w:rsid w:val="3358507C"/>
    <w:rsid w:val="33665CF5"/>
    <w:rsid w:val="33744C89"/>
    <w:rsid w:val="33820DF1"/>
    <w:rsid w:val="33841CA4"/>
    <w:rsid w:val="338B5D97"/>
    <w:rsid w:val="33AA3DA6"/>
    <w:rsid w:val="33AC69A6"/>
    <w:rsid w:val="33C459D3"/>
    <w:rsid w:val="33C87FC3"/>
    <w:rsid w:val="33CD688F"/>
    <w:rsid w:val="33F42391"/>
    <w:rsid w:val="340E172D"/>
    <w:rsid w:val="3424620C"/>
    <w:rsid w:val="34380FED"/>
    <w:rsid w:val="34450011"/>
    <w:rsid w:val="34451F15"/>
    <w:rsid w:val="344D0963"/>
    <w:rsid w:val="34845DAA"/>
    <w:rsid w:val="3496715F"/>
    <w:rsid w:val="34A17DC6"/>
    <w:rsid w:val="34B42DD9"/>
    <w:rsid w:val="34D37DF5"/>
    <w:rsid w:val="34D40E4C"/>
    <w:rsid w:val="34D713CC"/>
    <w:rsid w:val="34D91B12"/>
    <w:rsid w:val="34D92306"/>
    <w:rsid w:val="35116F72"/>
    <w:rsid w:val="35142A05"/>
    <w:rsid w:val="351933DD"/>
    <w:rsid w:val="351E2622"/>
    <w:rsid w:val="354C0942"/>
    <w:rsid w:val="35654C6E"/>
    <w:rsid w:val="35807E8D"/>
    <w:rsid w:val="3583402F"/>
    <w:rsid w:val="3589384B"/>
    <w:rsid w:val="358B5E9B"/>
    <w:rsid w:val="359B3FD1"/>
    <w:rsid w:val="35B11EE8"/>
    <w:rsid w:val="35B97173"/>
    <w:rsid w:val="35C52E9D"/>
    <w:rsid w:val="35DD3ADA"/>
    <w:rsid w:val="35E53FC6"/>
    <w:rsid w:val="35F20D74"/>
    <w:rsid w:val="35F95332"/>
    <w:rsid w:val="3605477E"/>
    <w:rsid w:val="36185EC4"/>
    <w:rsid w:val="36270F15"/>
    <w:rsid w:val="36334C83"/>
    <w:rsid w:val="365B24B1"/>
    <w:rsid w:val="368F1A74"/>
    <w:rsid w:val="369275E2"/>
    <w:rsid w:val="36944903"/>
    <w:rsid w:val="36A026F4"/>
    <w:rsid w:val="36A71BAB"/>
    <w:rsid w:val="36AC4D3C"/>
    <w:rsid w:val="36B3080C"/>
    <w:rsid w:val="36B56377"/>
    <w:rsid w:val="36C906E2"/>
    <w:rsid w:val="36D75467"/>
    <w:rsid w:val="36E03B81"/>
    <w:rsid w:val="36E432CF"/>
    <w:rsid w:val="36FC3404"/>
    <w:rsid w:val="37103543"/>
    <w:rsid w:val="371C7817"/>
    <w:rsid w:val="373A038D"/>
    <w:rsid w:val="374F6BD6"/>
    <w:rsid w:val="376D4330"/>
    <w:rsid w:val="378219AB"/>
    <w:rsid w:val="378E02F2"/>
    <w:rsid w:val="37981FA0"/>
    <w:rsid w:val="37A61E6C"/>
    <w:rsid w:val="37B32E98"/>
    <w:rsid w:val="37B46271"/>
    <w:rsid w:val="37C52C6D"/>
    <w:rsid w:val="37D71178"/>
    <w:rsid w:val="37DD26D9"/>
    <w:rsid w:val="37E52D87"/>
    <w:rsid w:val="37E956B8"/>
    <w:rsid w:val="37EC1388"/>
    <w:rsid w:val="37F16953"/>
    <w:rsid w:val="37F21C9F"/>
    <w:rsid w:val="37FD135B"/>
    <w:rsid w:val="382A1B29"/>
    <w:rsid w:val="382D0AB9"/>
    <w:rsid w:val="382F0FB3"/>
    <w:rsid w:val="383D5DF2"/>
    <w:rsid w:val="383F74F8"/>
    <w:rsid w:val="38487D19"/>
    <w:rsid w:val="3851076E"/>
    <w:rsid w:val="38553124"/>
    <w:rsid w:val="38665C5E"/>
    <w:rsid w:val="386A34F6"/>
    <w:rsid w:val="386C72A0"/>
    <w:rsid w:val="388A00D1"/>
    <w:rsid w:val="389C3A5F"/>
    <w:rsid w:val="38A17A1B"/>
    <w:rsid w:val="38A6468E"/>
    <w:rsid w:val="38B05CB9"/>
    <w:rsid w:val="38B31DD0"/>
    <w:rsid w:val="38BA1F3F"/>
    <w:rsid w:val="38BD15BF"/>
    <w:rsid w:val="38C31B56"/>
    <w:rsid w:val="38C93DBD"/>
    <w:rsid w:val="38CC1313"/>
    <w:rsid w:val="38D754AF"/>
    <w:rsid w:val="38DB4C2A"/>
    <w:rsid w:val="38E84D2E"/>
    <w:rsid w:val="38FA05FE"/>
    <w:rsid w:val="3900087B"/>
    <w:rsid w:val="3908788E"/>
    <w:rsid w:val="390F08FA"/>
    <w:rsid w:val="39103812"/>
    <w:rsid w:val="39103E8A"/>
    <w:rsid w:val="391B69C1"/>
    <w:rsid w:val="39234C5A"/>
    <w:rsid w:val="392422F3"/>
    <w:rsid w:val="393666AD"/>
    <w:rsid w:val="393A3F4D"/>
    <w:rsid w:val="39424ECD"/>
    <w:rsid w:val="39491E1E"/>
    <w:rsid w:val="394E38F4"/>
    <w:rsid w:val="39521196"/>
    <w:rsid w:val="39567680"/>
    <w:rsid w:val="395954D0"/>
    <w:rsid w:val="397035AE"/>
    <w:rsid w:val="39735BE3"/>
    <w:rsid w:val="3989360B"/>
    <w:rsid w:val="39953609"/>
    <w:rsid w:val="39957403"/>
    <w:rsid w:val="399B2ADB"/>
    <w:rsid w:val="39C021F4"/>
    <w:rsid w:val="39C30A82"/>
    <w:rsid w:val="39C57800"/>
    <w:rsid w:val="39D25DF9"/>
    <w:rsid w:val="39D56468"/>
    <w:rsid w:val="39DE22CE"/>
    <w:rsid w:val="39DE68B6"/>
    <w:rsid w:val="39EB1C80"/>
    <w:rsid w:val="39FE0BC6"/>
    <w:rsid w:val="3A0D3AEB"/>
    <w:rsid w:val="3A2305F3"/>
    <w:rsid w:val="3A2424CB"/>
    <w:rsid w:val="3A290338"/>
    <w:rsid w:val="3A3306A7"/>
    <w:rsid w:val="3A3A1D9A"/>
    <w:rsid w:val="3A3B08A4"/>
    <w:rsid w:val="3A3E110A"/>
    <w:rsid w:val="3A595E0E"/>
    <w:rsid w:val="3A5D48A3"/>
    <w:rsid w:val="3A6A32E7"/>
    <w:rsid w:val="3A75135C"/>
    <w:rsid w:val="3A82483A"/>
    <w:rsid w:val="3A950B7C"/>
    <w:rsid w:val="3AA069CF"/>
    <w:rsid w:val="3AA7293C"/>
    <w:rsid w:val="3AA92AFA"/>
    <w:rsid w:val="3AAF4827"/>
    <w:rsid w:val="3AB26CC5"/>
    <w:rsid w:val="3ABD02F4"/>
    <w:rsid w:val="3AC154CA"/>
    <w:rsid w:val="3AC505A2"/>
    <w:rsid w:val="3ACA18AD"/>
    <w:rsid w:val="3AD556A6"/>
    <w:rsid w:val="3AEE367E"/>
    <w:rsid w:val="3AFA6DC9"/>
    <w:rsid w:val="3AFD3322"/>
    <w:rsid w:val="3B002B9D"/>
    <w:rsid w:val="3B0C2497"/>
    <w:rsid w:val="3B0C4F93"/>
    <w:rsid w:val="3B1C3234"/>
    <w:rsid w:val="3B1D7222"/>
    <w:rsid w:val="3B2468B3"/>
    <w:rsid w:val="3B3635AB"/>
    <w:rsid w:val="3B452C50"/>
    <w:rsid w:val="3B4E14F1"/>
    <w:rsid w:val="3B59301C"/>
    <w:rsid w:val="3B5B3975"/>
    <w:rsid w:val="3B5E09D7"/>
    <w:rsid w:val="3B651DF0"/>
    <w:rsid w:val="3B6C2D24"/>
    <w:rsid w:val="3B731D7A"/>
    <w:rsid w:val="3B89300D"/>
    <w:rsid w:val="3B8A6EC2"/>
    <w:rsid w:val="3B8C5732"/>
    <w:rsid w:val="3B8E4AB8"/>
    <w:rsid w:val="3B9440A1"/>
    <w:rsid w:val="3B94652B"/>
    <w:rsid w:val="3BA24786"/>
    <w:rsid w:val="3BB95194"/>
    <w:rsid w:val="3BC85F21"/>
    <w:rsid w:val="3BD20A4B"/>
    <w:rsid w:val="3BE258F2"/>
    <w:rsid w:val="3BE932D3"/>
    <w:rsid w:val="3BFE0432"/>
    <w:rsid w:val="3C0A656E"/>
    <w:rsid w:val="3C15066D"/>
    <w:rsid w:val="3C205BC3"/>
    <w:rsid w:val="3C2201D1"/>
    <w:rsid w:val="3C28729F"/>
    <w:rsid w:val="3C2A741A"/>
    <w:rsid w:val="3C310AC6"/>
    <w:rsid w:val="3C4E6265"/>
    <w:rsid w:val="3C54160F"/>
    <w:rsid w:val="3C6127E8"/>
    <w:rsid w:val="3C624A28"/>
    <w:rsid w:val="3C724344"/>
    <w:rsid w:val="3C82043C"/>
    <w:rsid w:val="3C8B109E"/>
    <w:rsid w:val="3C8D7814"/>
    <w:rsid w:val="3C9A4085"/>
    <w:rsid w:val="3C9B7D26"/>
    <w:rsid w:val="3CA3632E"/>
    <w:rsid w:val="3CA70778"/>
    <w:rsid w:val="3CB77EFD"/>
    <w:rsid w:val="3CB80646"/>
    <w:rsid w:val="3CB95734"/>
    <w:rsid w:val="3CBC7F19"/>
    <w:rsid w:val="3CC20B2A"/>
    <w:rsid w:val="3CCA0EB2"/>
    <w:rsid w:val="3CCF05E4"/>
    <w:rsid w:val="3CD479FE"/>
    <w:rsid w:val="3CE4052E"/>
    <w:rsid w:val="3CF957C1"/>
    <w:rsid w:val="3CFA4C9E"/>
    <w:rsid w:val="3D016024"/>
    <w:rsid w:val="3D0A066C"/>
    <w:rsid w:val="3D1850D7"/>
    <w:rsid w:val="3D224F2D"/>
    <w:rsid w:val="3D294205"/>
    <w:rsid w:val="3D363C80"/>
    <w:rsid w:val="3D412A08"/>
    <w:rsid w:val="3D4C6FC6"/>
    <w:rsid w:val="3D5B5C86"/>
    <w:rsid w:val="3D5F0D8C"/>
    <w:rsid w:val="3D685FA3"/>
    <w:rsid w:val="3DAA2A50"/>
    <w:rsid w:val="3DB77267"/>
    <w:rsid w:val="3DBF046C"/>
    <w:rsid w:val="3DC13666"/>
    <w:rsid w:val="3DC86DB6"/>
    <w:rsid w:val="3DD37AE2"/>
    <w:rsid w:val="3DEF3562"/>
    <w:rsid w:val="3DF158A0"/>
    <w:rsid w:val="3DF33FCC"/>
    <w:rsid w:val="3E0C5AC9"/>
    <w:rsid w:val="3E1019BB"/>
    <w:rsid w:val="3E1F38B2"/>
    <w:rsid w:val="3E4F243E"/>
    <w:rsid w:val="3E4F4E8E"/>
    <w:rsid w:val="3E520CD7"/>
    <w:rsid w:val="3E7212ED"/>
    <w:rsid w:val="3E8B1A1A"/>
    <w:rsid w:val="3E8B26FE"/>
    <w:rsid w:val="3E922536"/>
    <w:rsid w:val="3E9A4BB1"/>
    <w:rsid w:val="3EA3414C"/>
    <w:rsid w:val="3EB01AC7"/>
    <w:rsid w:val="3EB13C76"/>
    <w:rsid w:val="3EBD3F95"/>
    <w:rsid w:val="3EC25CA0"/>
    <w:rsid w:val="3EC7163A"/>
    <w:rsid w:val="3EC96566"/>
    <w:rsid w:val="3ECD16C8"/>
    <w:rsid w:val="3ED218A5"/>
    <w:rsid w:val="3EEA534F"/>
    <w:rsid w:val="3F023D3C"/>
    <w:rsid w:val="3F0B2670"/>
    <w:rsid w:val="3F1365F0"/>
    <w:rsid w:val="3F153FB9"/>
    <w:rsid w:val="3F2D0248"/>
    <w:rsid w:val="3F2F5872"/>
    <w:rsid w:val="3F3E666A"/>
    <w:rsid w:val="3F411CE0"/>
    <w:rsid w:val="3F43603E"/>
    <w:rsid w:val="3F44276C"/>
    <w:rsid w:val="3F4A1C8B"/>
    <w:rsid w:val="3F4A6ABF"/>
    <w:rsid w:val="3F58403A"/>
    <w:rsid w:val="3F6D2629"/>
    <w:rsid w:val="3F720E02"/>
    <w:rsid w:val="3F722C41"/>
    <w:rsid w:val="3F892E15"/>
    <w:rsid w:val="3F8A5BAA"/>
    <w:rsid w:val="3F92136C"/>
    <w:rsid w:val="3F9E1960"/>
    <w:rsid w:val="3F9E4CF2"/>
    <w:rsid w:val="3FAE3F57"/>
    <w:rsid w:val="3FAE4204"/>
    <w:rsid w:val="3FAF181F"/>
    <w:rsid w:val="3FB43FB9"/>
    <w:rsid w:val="3FB77D6F"/>
    <w:rsid w:val="3FD404AB"/>
    <w:rsid w:val="3FDA067E"/>
    <w:rsid w:val="3FDE72C9"/>
    <w:rsid w:val="3FE635F3"/>
    <w:rsid w:val="3FEE0241"/>
    <w:rsid w:val="3FF141E9"/>
    <w:rsid w:val="3FF54E76"/>
    <w:rsid w:val="401F2835"/>
    <w:rsid w:val="40250F8B"/>
    <w:rsid w:val="40270AF7"/>
    <w:rsid w:val="40292CCE"/>
    <w:rsid w:val="4039276C"/>
    <w:rsid w:val="40412C3B"/>
    <w:rsid w:val="404E04A7"/>
    <w:rsid w:val="4062348D"/>
    <w:rsid w:val="40653646"/>
    <w:rsid w:val="406F602F"/>
    <w:rsid w:val="40712660"/>
    <w:rsid w:val="40797595"/>
    <w:rsid w:val="407C2D44"/>
    <w:rsid w:val="408F6CEC"/>
    <w:rsid w:val="40920B98"/>
    <w:rsid w:val="4097140E"/>
    <w:rsid w:val="40A61EC4"/>
    <w:rsid w:val="40C55D36"/>
    <w:rsid w:val="40CF0EAC"/>
    <w:rsid w:val="40CF749B"/>
    <w:rsid w:val="40D03DBA"/>
    <w:rsid w:val="40D84655"/>
    <w:rsid w:val="40E727D9"/>
    <w:rsid w:val="4102170A"/>
    <w:rsid w:val="41083CBA"/>
    <w:rsid w:val="411A643C"/>
    <w:rsid w:val="411E1620"/>
    <w:rsid w:val="41213BE8"/>
    <w:rsid w:val="41232E3C"/>
    <w:rsid w:val="41294129"/>
    <w:rsid w:val="41303E98"/>
    <w:rsid w:val="41386742"/>
    <w:rsid w:val="41392B23"/>
    <w:rsid w:val="413C0CAB"/>
    <w:rsid w:val="41480D53"/>
    <w:rsid w:val="414B35E7"/>
    <w:rsid w:val="41506F12"/>
    <w:rsid w:val="415E67A5"/>
    <w:rsid w:val="41651D3A"/>
    <w:rsid w:val="416858EB"/>
    <w:rsid w:val="4179238C"/>
    <w:rsid w:val="41963A7A"/>
    <w:rsid w:val="41AF3F94"/>
    <w:rsid w:val="41AF6CA0"/>
    <w:rsid w:val="41C213BA"/>
    <w:rsid w:val="41C4063B"/>
    <w:rsid w:val="41D448DE"/>
    <w:rsid w:val="41DC6A82"/>
    <w:rsid w:val="41DE71D2"/>
    <w:rsid w:val="41E10958"/>
    <w:rsid w:val="41F1341F"/>
    <w:rsid w:val="41F54DD6"/>
    <w:rsid w:val="422851E6"/>
    <w:rsid w:val="422870D4"/>
    <w:rsid w:val="422C6C39"/>
    <w:rsid w:val="422E76A1"/>
    <w:rsid w:val="42433416"/>
    <w:rsid w:val="42591948"/>
    <w:rsid w:val="42661088"/>
    <w:rsid w:val="42785B8C"/>
    <w:rsid w:val="427B1A08"/>
    <w:rsid w:val="42837620"/>
    <w:rsid w:val="4288648A"/>
    <w:rsid w:val="428D045B"/>
    <w:rsid w:val="429B2B21"/>
    <w:rsid w:val="429C0C3B"/>
    <w:rsid w:val="429D17B5"/>
    <w:rsid w:val="42A62228"/>
    <w:rsid w:val="42B4050E"/>
    <w:rsid w:val="42C22E3B"/>
    <w:rsid w:val="42C36CD5"/>
    <w:rsid w:val="42C41FE4"/>
    <w:rsid w:val="42D77E08"/>
    <w:rsid w:val="42DD60FE"/>
    <w:rsid w:val="42DF3109"/>
    <w:rsid w:val="42E6162A"/>
    <w:rsid w:val="42F009CC"/>
    <w:rsid w:val="42F05A7C"/>
    <w:rsid w:val="42FA34CA"/>
    <w:rsid w:val="43061E6A"/>
    <w:rsid w:val="4312661B"/>
    <w:rsid w:val="43300A36"/>
    <w:rsid w:val="433F1262"/>
    <w:rsid w:val="434A3295"/>
    <w:rsid w:val="434A7154"/>
    <w:rsid w:val="434F50AB"/>
    <w:rsid w:val="43537F4B"/>
    <w:rsid w:val="43621F79"/>
    <w:rsid w:val="43676D85"/>
    <w:rsid w:val="43721FD6"/>
    <w:rsid w:val="4375205B"/>
    <w:rsid w:val="43815BC1"/>
    <w:rsid w:val="43A21FD3"/>
    <w:rsid w:val="43B52F2F"/>
    <w:rsid w:val="43C00DA4"/>
    <w:rsid w:val="43C95265"/>
    <w:rsid w:val="43CB318B"/>
    <w:rsid w:val="43D40D25"/>
    <w:rsid w:val="43D84ABB"/>
    <w:rsid w:val="43EB0169"/>
    <w:rsid w:val="43EE5A42"/>
    <w:rsid w:val="43EF4A13"/>
    <w:rsid w:val="43F763EA"/>
    <w:rsid w:val="43F95F54"/>
    <w:rsid w:val="43FE1B4F"/>
    <w:rsid w:val="440756DA"/>
    <w:rsid w:val="4418484A"/>
    <w:rsid w:val="441D117C"/>
    <w:rsid w:val="441E0811"/>
    <w:rsid w:val="443315B5"/>
    <w:rsid w:val="44367F55"/>
    <w:rsid w:val="44534EE3"/>
    <w:rsid w:val="445B013B"/>
    <w:rsid w:val="44601EEB"/>
    <w:rsid w:val="44663932"/>
    <w:rsid w:val="447C66AA"/>
    <w:rsid w:val="447E71AC"/>
    <w:rsid w:val="44813040"/>
    <w:rsid w:val="44850C92"/>
    <w:rsid w:val="44860D83"/>
    <w:rsid w:val="44897EE1"/>
    <w:rsid w:val="448A00DF"/>
    <w:rsid w:val="44954BB9"/>
    <w:rsid w:val="44995D36"/>
    <w:rsid w:val="449B220F"/>
    <w:rsid w:val="44B609BF"/>
    <w:rsid w:val="44C570D6"/>
    <w:rsid w:val="44D00359"/>
    <w:rsid w:val="44D1062D"/>
    <w:rsid w:val="44D56356"/>
    <w:rsid w:val="44D72E8E"/>
    <w:rsid w:val="44DC1043"/>
    <w:rsid w:val="44E637E8"/>
    <w:rsid w:val="44FC530F"/>
    <w:rsid w:val="44FD49B4"/>
    <w:rsid w:val="450A16FF"/>
    <w:rsid w:val="450B6DD7"/>
    <w:rsid w:val="45122E52"/>
    <w:rsid w:val="451362FD"/>
    <w:rsid w:val="452C76AE"/>
    <w:rsid w:val="45391754"/>
    <w:rsid w:val="45391C5E"/>
    <w:rsid w:val="4540282F"/>
    <w:rsid w:val="45404374"/>
    <w:rsid w:val="455A6B7E"/>
    <w:rsid w:val="455C139D"/>
    <w:rsid w:val="4563661C"/>
    <w:rsid w:val="45760E04"/>
    <w:rsid w:val="45765F5F"/>
    <w:rsid w:val="45793699"/>
    <w:rsid w:val="457D2DE9"/>
    <w:rsid w:val="45992930"/>
    <w:rsid w:val="459E128F"/>
    <w:rsid w:val="45A33B0B"/>
    <w:rsid w:val="45B557E9"/>
    <w:rsid w:val="45B633EC"/>
    <w:rsid w:val="45D53351"/>
    <w:rsid w:val="45F0737D"/>
    <w:rsid w:val="45FD3EBA"/>
    <w:rsid w:val="46020FCD"/>
    <w:rsid w:val="46050266"/>
    <w:rsid w:val="46050BD4"/>
    <w:rsid w:val="46074C24"/>
    <w:rsid w:val="461D09DE"/>
    <w:rsid w:val="462733C7"/>
    <w:rsid w:val="46300C97"/>
    <w:rsid w:val="463E40DC"/>
    <w:rsid w:val="464D46BF"/>
    <w:rsid w:val="464E2853"/>
    <w:rsid w:val="46614F86"/>
    <w:rsid w:val="467629F6"/>
    <w:rsid w:val="46785B8E"/>
    <w:rsid w:val="46816807"/>
    <w:rsid w:val="468C1E1A"/>
    <w:rsid w:val="46A03FA7"/>
    <w:rsid w:val="46A4258B"/>
    <w:rsid w:val="46A66917"/>
    <w:rsid w:val="46C3645D"/>
    <w:rsid w:val="46DE1B1F"/>
    <w:rsid w:val="46DE3D4F"/>
    <w:rsid w:val="46E3679D"/>
    <w:rsid w:val="46EE16EC"/>
    <w:rsid w:val="46F30D3B"/>
    <w:rsid w:val="46F530C2"/>
    <w:rsid w:val="46FB2AD2"/>
    <w:rsid w:val="471640D1"/>
    <w:rsid w:val="47192863"/>
    <w:rsid w:val="473123A3"/>
    <w:rsid w:val="47390859"/>
    <w:rsid w:val="47405EDE"/>
    <w:rsid w:val="47441A65"/>
    <w:rsid w:val="47491465"/>
    <w:rsid w:val="47533F0A"/>
    <w:rsid w:val="475444CC"/>
    <w:rsid w:val="476007AB"/>
    <w:rsid w:val="477A08E9"/>
    <w:rsid w:val="478C68E9"/>
    <w:rsid w:val="478F4E9E"/>
    <w:rsid w:val="47BD2AFD"/>
    <w:rsid w:val="47C65442"/>
    <w:rsid w:val="47CE219D"/>
    <w:rsid w:val="47DC76CB"/>
    <w:rsid w:val="47E007BE"/>
    <w:rsid w:val="47E706C8"/>
    <w:rsid w:val="47EB55C4"/>
    <w:rsid w:val="47F3693A"/>
    <w:rsid w:val="48084E26"/>
    <w:rsid w:val="48136E36"/>
    <w:rsid w:val="481F63D7"/>
    <w:rsid w:val="482043AB"/>
    <w:rsid w:val="4836448F"/>
    <w:rsid w:val="483F03DA"/>
    <w:rsid w:val="484074F7"/>
    <w:rsid w:val="48492C81"/>
    <w:rsid w:val="48643CCC"/>
    <w:rsid w:val="488D1FCA"/>
    <w:rsid w:val="48934E08"/>
    <w:rsid w:val="48A217F1"/>
    <w:rsid w:val="48BD0E4E"/>
    <w:rsid w:val="48C801FD"/>
    <w:rsid w:val="48CF1C1A"/>
    <w:rsid w:val="48D801B3"/>
    <w:rsid w:val="48E637E8"/>
    <w:rsid w:val="48EC5370"/>
    <w:rsid w:val="48F263BA"/>
    <w:rsid w:val="48F86CF9"/>
    <w:rsid w:val="48FE01EA"/>
    <w:rsid w:val="49105D9B"/>
    <w:rsid w:val="491A1426"/>
    <w:rsid w:val="491A2FC0"/>
    <w:rsid w:val="49482465"/>
    <w:rsid w:val="49495815"/>
    <w:rsid w:val="49674BC9"/>
    <w:rsid w:val="49722044"/>
    <w:rsid w:val="49736F4E"/>
    <w:rsid w:val="49A7015D"/>
    <w:rsid w:val="49A94E13"/>
    <w:rsid w:val="49B108DF"/>
    <w:rsid w:val="49B461FE"/>
    <w:rsid w:val="49B86E2F"/>
    <w:rsid w:val="49D1559F"/>
    <w:rsid w:val="49DF4FBB"/>
    <w:rsid w:val="49F103CA"/>
    <w:rsid w:val="49F2328C"/>
    <w:rsid w:val="49FB71AD"/>
    <w:rsid w:val="4A042828"/>
    <w:rsid w:val="4A113C53"/>
    <w:rsid w:val="4A117BE9"/>
    <w:rsid w:val="4A1B5A3D"/>
    <w:rsid w:val="4A1E0E70"/>
    <w:rsid w:val="4A222D48"/>
    <w:rsid w:val="4A24691C"/>
    <w:rsid w:val="4A294A72"/>
    <w:rsid w:val="4A450EB7"/>
    <w:rsid w:val="4A7625EF"/>
    <w:rsid w:val="4A762BBA"/>
    <w:rsid w:val="4A8C27C3"/>
    <w:rsid w:val="4A8D04A3"/>
    <w:rsid w:val="4A901507"/>
    <w:rsid w:val="4AA25265"/>
    <w:rsid w:val="4AC31B50"/>
    <w:rsid w:val="4AC46E2F"/>
    <w:rsid w:val="4ACA6CF5"/>
    <w:rsid w:val="4AD4423F"/>
    <w:rsid w:val="4AEA6392"/>
    <w:rsid w:val="4AF0330D"/>
    <w:rsid w:val="4B065404"/>
    <w:rsid w:val="4B0D402B"/>
    <w:rsid w:val="4B384E1A"/>
    <w:rsid w:val="4B385E4C"/>
    <w:rsid w:val="4B3E344D"/>
    <w:rsid w:val="4B4F3D5F"/>
    <w:rsid w:val="4B536976"/>
    <w:rsid w:val="4B6C2991"/>
    <w:rsid w:val="4B757CC4"/>
    <w:rsid w:val="4BAE1201"/>
    <w:rsid w:val="4BCA42BD"/>
    <w:rsid w:val="4BFA6898"/>
    <w:rsid w:val="4BFD6717"/>
    <w:rsid w:val="4C1400F3"/>
    <w:rsid w:val="4C1E1719"/>
    <w:rsid w:val="4C294E52"/>
    <w:rsid w:val="4C2A0976"/>
    <w:rsid w:val="4C4E16F5"/>
    <w:rsid w:val="4C5C6EDD"/>
    <w:rsid w:val="4C5D0CF9"/>
    <w:rsid w:val="4C69273F"/>
    <w:rsid w:val="4C732F5E"/>
    <w:rsid w:val="4C7D159E"/>
    <w:rsid w:val="4C92465C"/>
    <w:rsid w:val="4C965F85"/>
    <w:rsid w:val="4C9A3849"/>
    <w:rsid w:val="4CA322F1"/>
    <w:rsid w:val="4CA35B26"/>
    <w:rsid w:val="4CB53B29"/>
    <w:rsid w:val="4CC96872"/>
    <w:rsid w:val="4CDB7CFA"/>
    <w:rsid w:val="4CE15FF3"/>
    <w:rsid w:val="4CEB6FA1"/>
    <w:rsid w:val="4D0A3177"/>
    <w:rsid w:val="4D0F48C4"/>
    <w:rsid w:val="4D181EFF"/>
    <w:rsid w:val="4D230AE3"/>
    <w:rsid w:val="4D2D4B24"/>
    <w:rsid w:val="4D597EE0"/>
    <w:rsid w:val="4D5F04A8"/>
    <w:rsid w:val="4D737216"/>
    <w:rsid w:val="4D932CCA"/>
    <w:rsid w:val="4D9535C7"/>
    <w:rsid w:val="4DAD465D"/>
    <w:rsid w:val="4DCE0C9C"/>
    <w:rsid w:val="4DDA674E"/>
    <w:rsid w:val="4DEF7B07"/>
    <w:rsid w:val="4DFA5D2E"/>
    <w:rsid w:val="4E01603E"/>
    <w:rsid w:val="4E0C3F5C"/>
    <w:rsid w:val="4E326083"/>
    <w:rsid w:val="4E431A1C"/>
    <w:rsid w:val="4E4B1117"/>
    <w:rsid w:val="4E5665B2"/>
    <w:rsid w:val="4E5767E1"/>
    <w:rsid w:val="4E5C19ED"/>
    <w:rsid w:val="4E690508"/>
    <w:rsid w:val="4E6E6ED6"/>
    <w:rsid w:val="4E914CCF"/>
    <w:rsid w:val="4E915B2A"/>
    <w:rsid w:val="4E923593"/>
    <w:rsid w:val="4E96777E"/>
    <w:rsid w:val="4E9E6D8C"/>
    <w:rsid w:val="4EA80992"/>
    <w:rsid w:val="4EE74154"/>
    <w:rsid w:val="4EEC6B85"/>
    <w:rsid w:val="4EF5262F"/>
    <w:rsid w:val="4F0B5BAD"/>
    <w:rsid w:val="4F241536"/>
    <w:rsid w:val="4F2861BC"/>
    <w:rsid w:val="4F4D5F76"/>
    <w:rsid w:val="4F5F2E1B"/>
    <w:rsid w:val="4F5F6EE1"/>
    <w:rsid w:val="4F667E55"/>
    <w:rsid w:val="4F671DFA"/>
    <w:rsid w:val="4F8103E5"/>
    <w:rsid w:val="4F894EB8"/>
    <w:rsid w:val="4F8B3325"/>
    <w:rsid w:val="4F9670D5"/>
    <w:rsid w:val="4F9B2A24"/>
    <w:rsid w:val="4FA519B3"/>
    <w:rsid w:val="4FA61710"/>
    <w:rsid w:val="4FC145DA"/>
    <w:rsid w:val="4FC457A9"/>
    <w:rsid w:val="4FD67734"/>
    <w:rsid w:val="4FD830B6"/>
    <w:rsid w:val="4FD876AC"/>
    <w:rsid w:val="4FE3237D"/>
    <w:rsid w:val="4FE813DF"/>
    <w:rsid w:val="4FED3160"/>
    <w:rsid w:val="4FF3099E"/>
    <w:rsid w:val="4FF602BE"/>
    <w:rsid w:val="4FFD5EFF"/>
    <w:rsid w:val="50016317"/>
    <w:rsid w:val="50041757"/>
    <w:rsid w:val="50051B5E"/>
    <w:rsid w:val="50201442"/>
    <w:rsid w:val="50297503"/>
    <w:rsid w:val="502A1E70"/>
    <w:rsid w:val="503B46AD"/>
    <w:rsid w:val="504B2C3E"/>
    <w:rsid w:val="504D275C"/>
    <w:rsid w:val="504D2CCD"/>
    <w:rsid w:val="505F6E2D"/>
    <w:rsid w:val="506866AB"/>
    <w:rsid w:val="5069244F"/>
    <w:rsid w:val="506961B1"/>
    <w:rsid w:val="509543FE"/>
    <w:rsid w:val="509A2BC2"/>
    <w:rsid w:val="50A20EDC"/>
    <w:rsid w:val="50A905B2"/>
    <w:rsid w:val="50B37CA4"/>
    <w:rsid w:val="50BB2DDB"/>
    <w:rsid w:val="50BD024F"/>
    <w:rsid w:val="50C41328"/>
    <w:rsid w:val="50D10219"/>
    <w:rsid w:val="50DA3166"/>
    <w:rsid w:val="50DA3269"/>
    <w:rsid w:val="50DE0B85"/>
    <w:rsid w:val="510F6214"/>
    <w:rsid w:val="51132039"/>
    <w:rsid w:val="5116587F"/>
    <w:rsid w:val="51280590"/>
    <w:rsid w:val="51315B0F"/>
    <w:rsid w:val="51365C91"/>
    <w:rsid w:val="51372FE5"/>
    <w:rsid w:val="51394E3F"/>
    <w:rsid w:val="513A0B65"/>
    <w:rsid w:val="514C78C0"/>
    <w:rsid w:val="51536481"/>
    <w:rsid w:val="51705D14"/>
    <w:rsid w:val="518274CB"/>
    <w:rsid w:val="51940769"/>
    <w:rsid w:val="519A5C79"/>
    <w:rsid w:val="51A5699E"/>
    <w:rsid w:val="51BD41E9"/>
    <w:rsid w:val="51CF23D3"/>
    <w:rsid w:val="51E37040"/>
    <w:rsid w:val="51E82DF1"/>
    <w:rsid w:val="51EE14DA"/>
    <w:rsid w:val="52021F05"/>
    <w:rsid w:val="52045A95"/>
    <w:rsid w:val="521436D2"/>
    <w:rsid w:val="52194CE3"/>
    <w:rsid w:val="522179A9"/>
    <w:rsid w:val="52233220"/>
    <w:rsid w:val="522A5D95"/>
    <w:rsid w:val="523C386A"/>
    <w:rsid w:val="52477DD7"/>
    <w:rsid w:val="524C1AD1"/>
    <w:rsid w:val="52541950"/>
    <w:rsid w:val="52606C59"/>
    <w:rsid w:val="52652E81"/>
    <w:rsid w:val="526560C4"/>
    <w:rsid w:val="5271698F"/>
    <w:rsid w:val="528413E5"/>
    <w:rsid w:val="528F6C64"/>
    <w:rsid w:val="52915AF1"/>
    <w:rsid w:val="529E6965"/>
    <w:rsid w:val="52A00B02"/>
    <w:rsid w:val="52B21E57"/>
    <w:rsid w:val="52BD47EA"/>
    <w:rsid w:val="52C81B87"/>
    <w:rsid w:val="52CC095C"/>
    <w:rsid w:val="52CF2F32"/>
    <w:rsid w:val="52D30B75"/>
    <w:rsid w:val="52EC3000"/>
    <w:rsid w:val="52F366EE"/>
    <w:rsid w:val="52F402B7"/>
    <w:rsid w:val="52F95DBD"/>
    <w:rsid w:val="52FE161B"/>
    <w:rsid w:val="53026716"/>
    <w:rsid w:val="53084309"/>
    <w:rsid w:val="530A638A"/>
    <w:rsid w:val="531C1071"/>
    <w:rsid w:val="532F3B1A"/>
    <w:rsid w:val="533767CE"/>
    <w:rsid w:val="53402D3D"/>
    <w:rsid w:val="53435358"/>
    <w:rsid w:val="53485DF8"/>
    <w:rsid w:val="535A3814"/>
    <w:rsid w:val="535D1384"/>
    <w:rsid w:val="53665399"/>
    <w:rsid w:val="53730E73"/>
    <w:rsid w:val="5393457C"/>
    <w:rsid w:val="53A238D5"/>
    <w:rsid w:val="53A57185"/>
    <w:rsid w:val="53A673B2"/>
    <w:rsid w:val="53AD7726"/>
    <w:rsid w:val="53AF14ED"/>
    <w:rsid w:val="53B20651"/>
    <w:rsid w:val="53CA52EB"/>
    <w:rsid w:val="53D1048F"/>
    <w:rsid w:val="53F127DC"/>
    <w:rsid w:val="53F14250"/>
    <w:rsid w:val="54063DC4"/>
    <w:rsid w:val="54115408"/>
    <w:rsid w:val="54157948"/>
    <w:rsid w:val="54210DAB"/>
    <w:rsid w:val="54341A8C"/>
    <w:rsid w:val="543E20E3"/>
    <w:rsid w:val="54427183"/>
    <w:rsid w:val="545533E9"/>
    <w:rsid w:val="545B3419"/>
    <w:rsid w:val="54677EAE"/>
    <w:rsid w:val="546A096A"/>
    <w:rsid w:val="54823BE6"/>
    <w:rsid w:val="549668B7"/>
    <w:rsid w:val="54A740AD"/>
    <w:rsid w:val="54AB4151"/>
    <w:rsid w:val="54D1645C"/>
    <w:rsid w:val="54D36609"/>
    <w:rsid w:val="54E25C4F"/>
    <w:rsid w:val="54E36F00"/>
    <w:rsid w:val="54E5265B"/>
    <w:rsid w:val="54F074E9"/>
    <w:rsid w:val="54FB75D3"/>
    <w:rsid w:val="550A46DF"/>
    <w:rsid w:val="550D043D"/>
    <w:rsid w:val="551951B8"/>
    <w:rsid w:val="551C14D8"/>
    <w:rsid w:val="55385031"/>
    <w:rsid w:val="55671A8E"/>
    <w:rsid w:val="557F07F3"/>
    <w:rsid w:val="55845AD9"/>
    <w:rsid w:val="558850A4"/>
    <w:rsid w:val="5598586C"/>
    <w:rsid w:val="55A24037"/>
    <w:rsid w:val="55A63A0A"/>
    <w:rsid w:val="55A65909"/>
    <w:rsid w:val="55AC0E22"/>
    <w:rsid w:val="55B1565C"/>
    <w:rsid w:val="55B62E04"/>
    <w:rsid w:val="55D62B39"/>
    <w:rsid w:val="55DE49AF"/>
    <w:rsid w:val="55E6047F"/>
    <w:rsid w:val="55EB2EF2"/>
    <w:rsid w:val="55EB30FF"/>
    <w:rsid w:val="55ED5AD1"/>
    <w:rsid w:val="55F50390"/>
    <w:rsid w:val="56047DFD"/>
    <w:rsid w:val="561B7F6D"/>
    <w:rsid w:val="561C07B1"/>
    <w:rsid w:val="561E186F"/>
    <w:rsid w:val="561F04ED"/>
    <w:rsid w:val="56220D8B"/>
    <w:rsid w:val="562631AE"/>
    <w:rsid w:val="563479CB"/>
    <w:rsid w:val="5635150D"/>
    <w:rsid w:val="564021FF"/>
    <w:rsid w:val="56454091"/>
    <w:rsid w:val="564A62AC"/>
    <w:rsid w:val="566E646B"/>
    <w:rsid w:val="56704685"/>
    <w:rsid w:val="56770BAB"/>
    <w:rsid w:val="567C5764"/>
    <w:rsid w:val="567D6EFD"/>
    <w:rsid w:val="56895397"/>
    <w:rsid w:val="568F2493"/>
    <w:rsid w:val="56950CF7"/>
    <w:rsid w:val="56A31B7D"/>
    <w:rsid w:val="56D40C89"/>
    <w:rsid w:val="56DC67AC"/>
    <w:rsid w:val="56E1733B"/>
    <w:rsid w:val="56E51616"/>
    <w:rsid w:val="56F658B0"/>
    <w:rsid w:val="570723C7"/>
    <w:rsid w:val="570753D6"/>
    <w:rsid w:val="5713012B"/>
    <w:rsid w:val="57191164"/>
    <w:rsid w:val="57252922"/>
    <w:rsid w:val="57253800"/>
    <w:rsid w:val="572F2EA4"/>
    <w:rsid w:val="57322358"/>
    <w:rsid w:val="5736004B"/>
    <w:rsid w:val="5743693A"/>
    <w:rsid w:val="574A34DB"/>
    <w:rsid w:val="5763047A"/>
    <w:rsid w:val="578D6DF6"/>
    <w:rsid w:val="57A35E67"/>
    <w:rsid w:val="57A97B34"/>
    <w:rsid w:val="57B914C0"/>
    <w:rsid w:val="57C9748C"/>
    <w:rsid w:val="57DB36EA"/>
    <w:rsid w:val="57E31582"/>
    <w:rsid w:val="57E62349"/>
    <w:rsid w:val="57E65309"/>
    <w:rsid w:val="57EC7FBF"/>
    <w:rsid w:val="580C4C19"/>
    <w:rsid w:val="580F7103"/>
    <w:rsid w:val="5815740A"/>
    <w:rsid w:val="582D171A"/>
    <w:rsid w:val="583B1D5A"/>
    <w:rsid w:val="584A5A23"/>
    <w:rsid w:val="584B18B4"/>
    <w:rsid w:val="584B52A2"/>
    <w:rsid w:val="58526178"/>
    <w:rsid w:val="58622D30"/>
    <w:rsid w:val="586D38E6"/>
    <w:rsid w:val="587119D8"/>
    <w:rsid w:val="58846E92"/>
    <w:rsid w:val="58863668"/>
    <w:rsid w:val="58867299"/>
    <w:rsid w:val="588D40A6"/>
    <w:rsid w:val="58A80B0C"/>
    <w:rsid w:val="58B31125"/>
    <w:rsid w:val="58B43BB9"/>
    <w:rsid w:val="58C4100E"/>
    <w:rsid w:val="58C85B51"/>
    <w:rsid w:val="58C91045"/>
    <w:rsid w:val="58CB12C2"/>
    <w:rsid w:val="58D11054"/>
    <w:rsid w:val="58E55E24"/>
    <w:rsid w:val="58F4738C"/>
    <w:rsid w:val="590222BF"/>
    <w:rsid w:val="5912327A"/>
    <w:rsid w:val="591307E9"/>
    <w:rsid w:val="59154029"/>
    <w:rsid w:val="5917606C"/>
    <w:rsid w:val="591D4F68"/>
    <w:rsid w:val="5928575F"/>
    <w:rsid w:val="59447455"/>
    <w:rsid w:val="5948623B"/>
    <w:rsid w:val="59500F20"/>
    <w:rsid w:val="595613E4"/>
    <w:rsid w:val="59641238"/>
    <w:rsid w:val="596915B6"/>
    <w:rsid w:val="596F6EA2"/>
    <w:rsid w:val="597F00D0"/>
    <w:rsid w:val="598246D9"/>
    <w:rsid w:val="59860E68"/>
    <w:rsid w:val="5999775C"/>
    <w:rsid w:val="599B7CE8"/>
    <w:rsid w:val="59A06C22"/>
    <w:rsid w:val="59B154EF"/>
    <w:rsid w:val="59B341F9"/>
    <w:rsid w:val="59C90861"/>
    <w:rsid w:val="59D663D3"/>
    <w:rsid w:val="59E22462"/>
    <w:rsid w:val="59EE0D48"/>
    <w:rsid w:val="59F009FC"/>
    <w:rsid w:val="5A02025E"/>
    <w:rsid w:val="5A052B0F"/>
    <w:rsid w:val="5A0A4376"/>
    <w:rsid w:val="5A17551B"/>
    <w:rsid w:val="5A18176B"/>
    <w:rsid w:val="5A27509D"/>
    <w:rsid w:val="5A281731"/>
    <w:rsid w:val="5A33506A"/>
    <w:rsid w:val="5A447649"/>
    <w:rsid w:val="5A4E3DB2"/>
    <w:rsid w:val="5A5D1F26"/>
    <w:rsid w:val="5A5D4D4F"/>
    <w:rsid w:val="5A6130E8"/>
    <w:rsid w:val="5A6541FD"/>
    <w:rsid w:val="5A6547A3"/>
    <w:rsid w:val="5A823E2E"/>
    <w:rsid w:val="5A844F42"/>
    <w:rsid w:val="5A93584F"/>
    <w:rsid w:val="5A9B2E21"/>
    <w:rsid w:val="5A9C5F6A"/>
    <w:rsid w:val="5AA41B7C"/>
    <w:rsid w:val="5AB319D3"/>
    <w:rsid w:val="5AE3587C"/>
    <w:rsid w:val="5AF87D2A"/>
    <w:rsid w:val="5AFE1EE4"/>
    <w:rsid w:val="5AFE3A6A"/>
    <w:rsid w:val="5AFF0233"/>
    <w:rsid w:val="5B0D1AC5"/>
    <w:rsid w:val="5B0F1DDE"/>
    <w:rsid w:val="5B1474D3"/>
    <w:rsid w:val="5B172E21"/>
    <w:rsid w:val="5B1C76EE"/>
    <w:rsid w:val="5B2D7FCA"/>
    <w:rsid w:val="5B31244E"/>
    <w:rsid w:val="5B396751"/>
    <w:rsid w:val="5B3B613A"/>
    <w:rsid w:val="5B4355CC"/>
    <w:rsid w:val="5B5100D8"/>
    <w:rsid w:val="5B5C077C"/>
    <w:rsid w:val="5B6707C9"/>
    <w:rsid w:val="5B6B0B41"/>
    <w:rsid w:val="5B740FB5"/>
    <w:rsid w:val="5B8918DE"/>
    <w:rsid w:val="5B8A542D"/>
    <w:rsid w:val="5B990415"/>
    <w:rsid w:val="5BBC2AA8"/>
    <w:rsid w:val="5BC23D02"/>
    <w:rsid w:val="5BC32CC0"/>
    <w:rsid w:val="5BC35EA3"/>
    <w:rsid w:val="5BC85B9D"/>
    <w:rsid w:val="5BE75F7E"/>
    <w:rsid w:val="5BF4310E"/>
    <w:rsid w:val="5BF52194"/>
    <w:rsid w:val="5C0C2F01"/>
    <w:rsid w:val="5C49380A"/>
    <w:rsid w:val="5C4C4925"/>
    <w:rsid w:val="5C580926"/>
    <w:rsid w:val="5C6717DB"/>
    <w:rsid w:val="5C695C61"/>
    <w:rsid w:val="5C990294"/>
    <w:rsid w:val="5CB67CBD"/>
    <w:rsid w:val="5CBB3EBE"/>
    <w:rsid w:val="5CC20876"/>
    <w:rsid w:val="5CC96CEA"/>
    <w:rsid w:val="5CCC7DB2"/>
    <w:rsid w:val="5CD52965"/>
    <w:rsid w:val="5CDF4634"/>
    <w:rsid w:val="5CE0516A"/>
    <w:rsid w:val="5CF63287"/>
    <w:rsid w:val="5CF641A9"/>
    <w:rsid w:val="5CF80A79"/>
    <w:rsid w:val="5CFC0CF6"/>
    <w:rsid w:val="5D113773"/>
    <w:rsid w:val="5D1906A7"/>
    <w:rsid w:val="5D2B7728"/>
    <w:rsid w:val="5D2D1FFE"/>
    <w:rsid w:val="5D417B9B"/>
    <w:rsid w:val="5D554CDE"/>
    <w:rsid w:val="5D72314E"/>
    <w:rsid w:val="5D8A016B"/>
    <w:rsid w:val="5D9A1B41"/>
    <w:rsid w:val="5D9D13B7"/>
    <w:rsid w:val="5DA116ED"/>
    <w:rsid w:val="5DB50A35"/>
    <w:rsid w:val="5DDA15FC"/>
    <w:rsid w:val="5DE90932"/>
    <w:rsid w:val="5DF01CEA"/>
    <w:rsid w:val="5DF02531"/>
    <w:rsid w:val="5DF96357"/>
    <w:rsid w:val="5DFE1641"/>
    <w:rsid w:val="5E116BA5"/>
    <w:rsid w:val="5E172EAC"/>
    <w:rsid w:val="5E370582"/>
    <w:rsid w:val="5E3A0814"/>
    <w:rsid w:val="5E4E2914"/>
    <w:rsid w:val="5E506658"/>
    <w:rsid w:val="5E551BAC"/>
    <w:rsid w:val="5E6145BD"/>
    <w:rsid w:val="5E666973"/>
    <w:rsid w:val="5E7623C1"/>
    <w:rsid w:val="5E85034B"/>
    <w:rsid w:val="5E886B60"/>
    <w:rsid w:val="5E890733"/>
    <w:rsid w:val="5E8B30B5"/>
    <w:rsid w:val="5EA90E0E"/>
    <w:rsid w:val="5EB17EA8"/>
    <w:rsid w:val="5EB45CB2"/>
    <w:rsid w:val="5EED7A7C"/>
    <w:rsid w:val="5F127C4E"/>
    <w:rsid w:val="5F28570A"/>
    <w:rsid w:val="5F2F65D0"/>
    <w:rsid w:val="5F302FAE"/>
    <w:rsid w:val="5F461712"/>
    <w:rsid w:val="5F5D1782"/>
    <w:rsid w:val="5F605B48"/>
    <w:rsid w:val="5F672A4A"/>
    <w:rsid w:val="5F733E17"/>
    <w:rsid w:val="5F9E3844"/>
    <w:rsid w:val="5FE73C59"/>
    <w:rsid w:val="5FE81719"/>
    <w:rsid w:val="5FE94E8E"/>
    <w:rsid w:val="5FEE4999"/>
    <w:rsid w:val="5FF37571"/>
    <w:rsid w:val="5FFD6304"/>
    <w:rsid w:val="600A1B47"/>
    <w:rsid w:val="600F27CA"/>
    <w:rsid w:val="60236723"/>
    <w:rsid w:val="604A3961"/>
    <w:rsid w:val="60663A70"/>
    <w:rsid w:val="607157AD"/>
    <w:rsid w:val="60816108"/>
    <w:rsid w:val="609C3FDC"/>
    <w:rsid w:val="609F324B"/>
    <w:rsid w:val="60A00017"/>
    <w:rsid w:val="60A32699"/>
    <w:rsid w:val="60A86A90"/>
    <w:rsid w:val="60BD23F1"/>
    <w:rsid w:val="60BF6F04"/>
    <w:rsid w:val="60D63C76"/>
    <w:rsid w:val="60EE05DE"/>
    <w:rsid w:val="60F041BA"/>
    <w:rsid w:val="60F34EEC"/>
    <w:rsid w:val="60F62397"/>
    <w:rsid w:val="61030094"/>
    <w:rsid w:val="610367E0"/>
    <w:rsid w:val="6107797C"/>
    <w:rsid w:val="610B46C5"/>
    <w:rsid w:val="610C575E"/>
    <w:rsid w:val="611B2D32"/>
    <w:rsid w:val="61256438"/>
    <w:rsid w:val="6130771F"/>
    <w:rsid w:val="61407309"/>
    <w:rsid w:val="61415830"/>
    <w:rsid w:val="61466637"/>
    <w:rsid w:val="614A556E"/>
    <w:rsid w:val="61524664"/>
    <w:rsid w:val="61754DFA"/>
    <w:rsid w:val="6179622B"/>
    <w:rsid w:val="617D693A"/>
    <w:rsid w:val="618652C3"/>
    <w:rsid w:val="61881DE7"/>
    <w:rsid w:val="61950155"/>
    <w:rsid w:val="61A13EED"/>
    <w:rsid w:val="61CD59DA"/>
    <w:rsid w:val="61E40B82"/>
    <w:rsid w:val="61EB4E3B"/>
    <w:rsid w:val="61EC6984"/>
    <w:rsid w:val="61F44E34"/>
    <w:rsid w:val="6203232F"/>
    <w:rsid w:val="62373300"/>
    <w:rsid w:val="62393803"/>
    <w:rsid w:val="62624BFB"/>
    <w:rsid w:val="62660929"/>
    <w:rsid w:val="626E32BA"/>
    <w:rsid w:val="626F00F4"/>
    <w:rsid w:val="627B45CD"/>
    <w:rsid w:val="6282046B"/>
    <w:rsid w:val="628539DD"/>
    <w:rsid w:val="6289239B"/>
    <w:rsid w:val="62960764"/>
    <w:rsid w:val="62971645"/>
    <w:rsid w:val="629D3C20"/>
    <w:rsid w:val="629F72A5"/>
    <w:rsid w:val="62A0014E"/>
    <w:rsid w:val="62A04EDB"/>
    <w:rsid w:val="62A21F1E"/>
    <w:rsid w:val="62B75BF3"/>
    <w:rsid w:val="62B86118"/>
    <w:rsid w:val="62C014B3"/>
    <w:rsid w:val="62C81513"/>
    <w:rsid w:val="62C8554D"/>
    <w:rsid w:val="62EF5E23"/>
    <w:rsid w:val="62FC6FD5"/>
    <w:rsid w:val="63170721"/>
    <w:rsid w:val="631E4683"/>
    <w:rsid w:val="632A5294"/>
    <w:rsid w:val="6332364B"/>
    <w:rsid w:val="63331639"/>
    <w:rsid w:val="634F1331"/>
    <w:rsid w:val="635057AE"/>
    <w:rsid w:val="635B39F8"/>
    <w:rsid w:val="63791255"/>
    <w:rsid w:val="638F2201"/>
    <w:rsid w:val="639240A4"/>
    <w:rsid w:val="63991E44"/>
    <w:rsid w:val="639F56A1"/>
    <w:rsid w:val="63BA737C"/>
    <w:rsid w:val="63C55F12"/>
    <w:rsid w:val="63D71394"/>
    <w:rsid w:val="63E308FF"/>
    <w:rsid w:val="63E547EE"/>
    <w:rsid w:val="63EF367B"/>
    <w:rsid w:val="6408099E"/>
    <w:rsid w:val="64094CA5"/>
    <w:rsid w:val="64237518"/>
    <w:rsid w:val="642B31BE"/>
    <w:rsid w:val="644A3E1C"/>
    <w:rsid w:val="645926AA"/>
    <w:rsid w:val="645A1458"/>
    <w:rsid w:val="645D27DD"/>
    <w:rsid w:val="645F3F73"/>
    <w:rsid w:val="64711567"/>
    <w:rsid w:val="648265D6"/>
    <w:rsid w:val="64874278"/>
    <w:rsid w:val="648F2C02"/>
    <w:rsid w:val="64940B19"/>
    <w:rsid w:val="649D7EEB"/>
    <w:rsid w:val="649E1558"/>
    <w:rsid w:val="64AA4BB2"/>
    <w:rsid w:val="64C03E93"/>
    <w:rsid w:val="64C80CCD"/>
    <w:rsid w:val="64CB5C3A"/>
    <w:rsid w:val="64D44EF1"/>
    <w:rsid w:val="64E0389C"/>
    <w:rsid w:val="64EC7A70"/>
    <w:rsid w:val="64EF70CD"/>
    <w:rsid w:val="64F61375"/>
    <w:rsid w:val="64F73F05"/>
    <w:rsid w:val="650B43EB"/>
    <w:rsid w:val="65154FE2"/>
    <w:rsid w:val="6518564C"/>
    <w:rsid w:val="651F5B5A"/>
    <w:rsid w:val="65413D42"/>
    <w:rsid w:val="65417BCD"/>
    <w:rsid w:val="65417DE0"/>
    <w:rsid w:val="654A7B31"/>
    <w:rsid w:val="654B5CE5"/>
    <w:rsid w:val="65501C23"/>
    <w:rsid w:val="656053F1"/>
    <w:rsid w:val="6560737E"/>
    <w:rsid w:val="656E7312"/>
    <w:rsid w:val="659A1BE7"/>
    <w:rsid w:val="659C0A99"/>
    <w:rsid w:val="65A01A09"/>
    <w:rsid w:val="65A23C20"/>
    <w:rsid w:val="65AE6287"/>
    <w:rsid w:val="65B240BA"/>
    <w:rsid w:val="65CC1790"/>
    <w:rsid w:val="65E6283A"/>
    <w:rsid w:val="65ED7E93"/>
    <w:rsid w:val="65EF1E6A"/>
    <w:rsid w:val="65F11122"/>
    <w:rsid w:val="65F32A4D"/>
    <w:rsid w:val="66120500"/>
    <w:rsid w:val="66355CAD"/>
    <w:rsid w:val="66842DB8"/>
    <w:rsid w:val="66A002B9"/>
    <w:rsid w:val="66A70FDF"/>
    <w:rsid w:val="66A86609"/>
    <w:rsid w:val="66B15E4C"/>
    <w:rsid w:val="66BD2317"/>
    <w:rsid w:val="66CD1ED3"/>
    <w:rsid w:val="66EE7E3A"/>
    <w:rsid w:val="673C624E"/>
    <w:rsid w:val="6744475B"/>
    <w:rsid w:val="674E0EF4"/>
    <w:rsid w:val="675317B0"/>
    <w:rsid w:val="677D78BE"/>
    <w:rsid w:val="67812564"/>
    <w:rsid w:val="679F2489"/>
    <w:rsid w:val="67A32A0D"/>
    <w:rsid w:val="67A36C57"/>
    <w:rsid w:val="67AB66D1"/>
    <w:rsid w:val="67B4432C"/>
    <w:rsid w:val="67B57EF5"/>
    <w:rsid w:val="67B867FC"/>
    <w:rsid w:val="67BB471E"/>
    <w:rsid w:val="67D82ECB"/>
    <w:rsid w:val="67EF159D"/>
    <w:rsid w:val="680E437C"/>
    <w:rsid w:val="682068DA"/>
    <w:rsid w:val="683A615D"/>
    <w:rsid w:val="68527392"/>
    <w:rsid w:val="68770BAF"/>
    <w:rsid w:val="687B7CBA"/>
    <w:rsid w:val="68805629"/>
    <w:rsid w:val="689A36DE"/>
    <w:rsid w:val="689D7972"/>
    <w:rsid w:val="689F6FA0"/>
    <w:rsid w:val="68AF230C"/>
    <w:rsid w:val="68BA103A"/>
    <w:rsid w:val="68C149FF"/>
    <w:rsid w:val="68CD2BE2"/>
    <w:rsid w:val="68DD4062"/>
    <w:rsid w:val="68E1051C"/>
    <w:rsid w:val="68E730F7"/>
    <w:rsid w:val="68F33E74"/>
    <w:rsid w:val="69023694"/>
    <w:rsid w:val="69025A67"/>
    <w:rsid w:val="69100FD1"/>
    <w:rsid w:val="691D51D1"/>
    <w:rsid w:val="691E5E18"/>
    <w:rsid w:val="69561A99"/>
    <w:rsid w:val="695B1E42"/>
    <w:rsid w:val="69760E9A"/>
    <w:rsid w:val="69841735"/>
    <w:rsid w:val="69934604"/>
    <w:rsid w:val="69935006"/>
    <w:rsid w:val="69986B9C"/>
    <w:rsid w:val="69995885"/>
    <w:rsid w:val="699C5A6F"/>
    <w:rsid w:val="69AC7C29"/>
    <w:rsid w:val="69B3027D"/>
    <w:rsid w:val="69CF25FD"/>
    <w:rsid w:val="69DF2770"/>
    <w:rsid w:val="6A1205F4"/>
    <w:rsid w:val="6A2342F6"/>
    <w:rsid w:val="6A466A71"/>
    <w:rsid w:val="6A5635C7"/>
    <w:rsid w:val="6A62360C"/>
    <w:rsid w:val="6A675D63"/>
    <w:rsid w:val="6A6952FA"/>
    <w:rsid w:val="6A84017F"/>
    <w:rsid w:val="6A8527D2"/>
    <w:rsid w:val="6A8B556D"/>
    <w:rsid w:val="6A8C5C3E"/>
    <w:rsid w:val="6AAB4411"/>
    <w:rsid w:val="6ACD2100"/>
    <w:rsid w:val="6AD04862"/>
    <w:rsid w:val="6AD553E0"/>
    <w:rsid w:val="6AF113CF"/>
    <w:rsid w:val="6AF21921"/>
    <w:rsid w:val="6AF3594C"/>
    <w:rsid w:val="6AFA5E41"/>
    <w:rsid w:val="6B08548B"/>
    <w:rsid w:val="6B0D49C2"/>
    <w:rsid w:val="6B193204"/>
    <w:rsid w:val="6B266127"/>
    <w:rsid w:val="6B2C135C"/>
    <w:rsid w:val="6B391ECD"/>
    <w:rsid w:val="6B4A13AC"/>
    <w:rsid w:val="6B4C14BE"/>
    <w:rsid w:val="6B573E92"/>
    <w:rsid w:val="6B5B2130"/>
    <w:rsid w:val="6B8C3C7C"/>
    <w:rsid w:val="6B8D0120"/>
    <w:rsid w:val="6BD07595"/>
    <w:rsid w:val="6BE31A21"/>
    <w:rsid w:val="6BED2B65"/>
    <w:rsid w:val="6BF211A4"/>
    <w:rsid w:val="6BF53844"/>
    <w:rsid w:val="6BF86EE9"/>
    <w:rsid w:val="6C05299A"/>
    <w:rsid w:val="6C170C69"/>
    <w:rsid w:val="6C453D7B"/>
    <w:rsid w:val="6C573759"/>
    <w:rsid w:val="6C5D5221"/>
    <w:rsid w:val="6C5D6B4E"/>
    <w:rsid w:val="6C6076E3"/>
    <w:rsid w:val="6C61044E"/>
    <w:rsid w:val="6C646455"/>
    <w:rsid w:val="6C780136"/>
    <w:rsid w:val="6C815DBC"/>
    <w:rsid w:val="6C8E0FFA"/>
    <w:rsid w:val="6C9552B3"/>
    <w:rsid w:val="6C962F20"/>
    <w:rsid w:val="6C9E22BE"/>
    <w:rsid w:val="6CD65955"/>
    <w:rsid w:val="6CEC2BB0"/>
    <w:rsid w:val="6CEF67FA"/>
    <w:rsid w:val="6CF64EF0"/>
    <w:rsid w:val="6D040C67"/>
    <w:rsid w:val="6D2047CC"/>
    <w:rsid w:val="6D204993"/>
    <w:rsid w:val="6D31216F"/>
    <w:rsid w:val="6D366587"/>
    <w:rsid w:val="6D3F2E03"/>
    <w:rsid w:val="6D553BB4"/>
    <w:rsid w:val="6D5B6D7D"/>
    <w:rsid w:val="6D685E09"/>
    <w:rsid w:val="6D7C208D"/>
    <w:rsid w:val="6D8B5D4C"/>
    <w:rsid w:val="6D8F1409"/>
    <w:rsid w:val="6D9D6131"/>
    <w:rsid w:val="6DBF75AB"/>
    <w:rsid w:val="6DE1416E"/>
    <w:rsid w:val="6DF23F84"/>
    <w:rsid w:val="6DF3415B"/>
    <w:rsid w:val="6DF737BF"/>
    <w:rsid w:val="6E007267"/>
    <w:rsid w:val="6E056A16"/>
    <w:rsid w:val="6E171B19"/>
    <w:rsid w:val="6E3258C2"/>
    <w:rsid w:val="6E40122D"/>
    <w:rsid w:val="6E464B5F"/>
    <w:rsid w:val="6E4C18B7"/>
    <w:rsid w:val="6E685299"/>
    <w:rsid w:val="6E812A44"/>
    <w:rsid w:val="6E9E3F3D"/>
    <w:rsid w:val="6EA86FB9"/>
    <w:rsid w:val="6EC42838"/>
    <w:rsid w:val="6EDB7784"/>
    <w:rsid w:val="6EDF4B1D"/>
    <w:rsid w:val="6EF65FAD"/>
    <w:rsid w:val="6F0729E5"/>
    <w:rsid w:val="6F0E0EF4"/>
    <w:rsid w:val="6F0F495C"/>
    <w:rsid w:val="6F202220"/>
    <w:rsid w:val="6F341CBE"/>
    <w:rsid w:val="6F520EB6"/>
    <w:rsid w:val="6F722478"/>
    <w:rsid w:val="6F907558"/>
    <w:rsid w:val="6FA34967"/>
    <w:rsid w:val="6FA3519E"/>
    <w:rsid w:val="6FA72053"/>
    <w:rsid w:val="6FA91104"/>
    <w:rsid w:val="6FAB7060"/>
    <w:rsid w:val="6FAD0EC6"/>
    <w:rsid w:val="6FAF5DBA"/>
    <w:rsid w:val="6FBB418E"/>
    <w:rsid w:val="6FCA0284"/>
    <w:rsid w:val="6FDC1316"/>
    <w:rsid w:val="700A279C"/>
    <w:rsid w:val="700A289A"/>
    <w:rsid w:val="702E338D"/>
    <w:rsid w:val="70317EC0"/>
    <w:rsid w:val="70472125"/>
    <w:rsid w:val="7049749B"/>
    <w:rsid w:val="704B7905"/>
    <w:rsid w:val="70555E14"/>
    <w:rsid w:val="705B2D30"/>
    <w:rsid w:val="705C1563"/>
    <w:rsid w:val="705F307E"/>
    <w:rsid w:val="706B2486"/>
    <w:rsid w:val="70795DF6"/>
    <w:rsid w:val="707A5D2F"/>
    <w:rsid w:val="70964422"/>
    <w:rsid w:val="70A14A64"/>
    <w:rsid w:val="70AF6CE9"/>
    <w:rsid w:val="70D13BA0"/>
    <w:rsid w:val="70DF3DEB"/>
    <w:rsid w:val="70F02FDD"/>
    <w:rsid w:val="70F5790A"/>
    <w:rsid w:val="70F72510"/>
    <w:rsid w:val="71041721"/>
    <w:rsid w:val="711C1F43"/>
    <w:rsid w:val="712B05F9"/>
    <w:rsid w:val="713033D0"/>
    <w:rsid w:val="71310096"/>
    <w:rsid w:val="71367E84"/>
    <w:rsid w:val="7137184D"/>
    <w:rsid w:val="713A67B3"/>
    <w:rsid w:val="7141659B"/>
    <w:rsid w:val="71461837"/>
    <w:rsid w:val="7147509B"/>
    <w:rsid w:val="714A356A"/>
    <w:rsid w:val="716D4D24"/>
    <w:rsid w:val="717031CE"/>
    <w:rsid w:val="717943F5"/>
    <w:rsid w:val="717A2BA1"/>
    <w:rsid w:val="718E70D3"/>
    <w:rsid w:val="719D7468"/>
    <w:rsid w:val="71AA1A3E"/>
    <w:rsid w:val="71B16C44"/>
    <w:rsid w:val="71BD4685"/>
    <w:rsid w:val="71C47B9F"/>
    <w:rsid w:val="71C64D4D"/>
    <w:rsid w:val="71D72F17"/>
    <w:rsid w:val="720158A7"/>
    <w:rsid w:val="720431A7"/>
    <w:rsid w:val="72084942"/>
    <w:rsid w:val="720B4718"/>
    <w:rsid w:val="72364C69"/>
    <w:rsid w:val="723B2B91"/>
    <w:rsid w:val="72517987"/>
    <w:rsid w:val="725D5B96"/>
    <w:rsid w:val="726B76F8"/>
    <w:rsid w:val="7272039C"/>
    <w:rsid w:val="72771182"/>
    <w:rsid w:val="7298444E"/>
    <w:rsid w:val="729F1F2D"/>
    <w:rsid w:val="72C00C08"/>
    <w:rsid w:val="72C55A19"/>
    <w:rsid w:val="72E97BD6"/>
    <w:rsid w:val="72EF358D"/>
    <w:rsid w:val="7325118A"/>
    <w:rsid w:val="733535A0"/>
    <w:rsid w:val="734049AA"/>
    <w:rsid w:val="734251FB"/>
    <w:rsid w:val="734B2DDD"/>
    <w:rsid w:val="735F142D"/>
    <w:rsid w:val="737140B0"/>
    <w:rsid w:val="73773E99"/>
    <w:rsid w:val="73790128"/>
    <w:rsid w:val="737B0312"/>
    <w:rsid w:val="73854C6C"/>
    <w:rsid w:val="738C6771"/>
    <w:rsid w:val="73994803"/>
    <w:rsid w:val="73AE0F81"/>
    <w:rsid w:val="73B2046C"/>
    <w:rsid w:val="73BE6659"/>
    <w:rsid w:val="73D0280C"/>
    <w:rsid w:val="73D82C3C"/>
    <w:rsid w:val="73E90243"/>
    <w:rsid w:val="73F809EA"/>
    <w:rsid w:val="73FD7489"/>
    <w:rsid w:val="740560EA"/>
    <w:rsid w:val="740630C3"/>
    <w:rsid w:val="7409473C"/>
    <w:rsid w:val="740E3616"/>
    <w:rsid w:val="741825DF"/>
    <w:rsid w:val="741B7290"/>
    <w:rsid w:val="743B5098"/>
    <w:rsid w:val="74410FE0"/>
    <w:rsid w:val="74415F16"/>
    <w:rsid w:val="74482FCD"/>
    <w:rsid w:val="744A091C"/>
    <w:rsid w:val="744B1E8E"/>
    <w:rsid w:val="74624E03"/>
    <w:rsid w:val="74853218"/>
    <w:rsid w:val="74A14393"/>
    <w:rsid w:val="74A63B78"/>
    <w:rsid w:val="74BA1DC1"/>
    <w:rsid w:val="74C93C97"/>
    <w:rsid w:val="74E863D4"/>
    <w:rsid w:val="74F63296"/>
    <w:rsid w:val="750B59B7"/>
    <w:rsid w:val="75233611"/>
    <w:rsid w:val="7526215A"/>
    <w:rsid w:val="754B473A"/>
    <w:rsid w:val="75557790"/>
    <w:rsid w:val="7563558E"/>
    <w:rsid w:val="758C7F0A"/>
    <w:rsid w:val="75951408"/>
    <w:rsid w:val="759931D9"/>
    <w:rsid w:val="759D251D"/>
    <w:rsid w:val="75A10102"/>
    <w:rsid w:val="75A46BE9"/>
    <w:rsid w:val="75AC62F8"/>
    <w:rsid w:val="75C66204"/>
    <w:rsid w:val="75CD2CE4"/>
    <w:rsid w:val="75CF5A6D"/>
    <w:rsid w:val="75D55086"/>
    <w:rsid w:val="75DE5D07"/>
    <w:rsid w:val="75F1030D"/>
    <w:rsid w:val="75FC2A02"/>
    <w:rsid w:val="76107D1F"/>
    <w:rsid w:val="761B1B02"/>
    <w:rsid w:val="7621586B"/>
    <w:rsid w:val="76275680"/>
    <w:rsid w:val="76407584"/>
    <w:rsid w:val="76497B53"/>
    <w:rsid w:val="76566161"/>
    <w:rsid w:val="765F4EDC"/>
    <w:rsid w:val="76624EAE"/>
    <w:rsid w:val="767C6AAC"/>
    <w:rsid w:val="768E66A6"/>
    <w:rsid w:val="7690234D"/>
    <w:rsid w:val="76B161B7"/>
    <w:rsid w:val="76B5093C"/>
    <w:rsid w:val="76B525F5"/>
    <w:rsid w:val="76BE1E79"/>
    <w:rsid w:val="76C47E08"/>
    <w:rsid w:val="76CC5988"/>
    <w:rsid w:val="76CE039A"/>
    <w:rsid w:val="76D81A08"/>
    <w:rsid w:val="76DD351E"/>
    <w:rsid w:val="76DE0141"/>
    <w:rsid w:val="76E15D37"/>
    <w:rsid w:val="76E17E2E"/>
    <w:rsid w:val="76E843CB"/>
    <w:rsid w:val="76E92569"/>
    <w:rsid w:val="76F355A0"/>
    <w:rsid w:val="76FA0B19"/>
    <w:rsid w:val="771A2F81"/>
    <w:rsid w:val="77200EDF"/>
    <w:rsid w:val="77234096"/>
    <w:rsid w:val="772B210D"/>
    <w:rsid w:val="77371ACB"/>
    <w:rsid w:val="77385348"/>
    <w:rsid w:val="77395E4B"/>
    <w:rsid w:val="77500471"/>
    <w:rsid w:val="77510092"/>
    <w:rsid w:val="77563F8A"/>
    <w:rsid w:val="77674932"/>
    <w:rsid w:val="77726B37"/>
    <w:rsid w:val="77743BE2"/>
    <w:rsid w:val="779C0093"/>
    <w:rsid w:val="779E3B4F"/>
    <w:rsid w:val="77A33CC4"/>
    <w:rsid w:val="77A47D6F"/>
    <w:rsid w:val="77AA0E39"/>
    <w:rsid w:val="77B65BA5"/>
    <w:rsid w:val="77C037EA"/>
    <w:rsid w:val="77C87CA3"/>
    <w:rsid w:val="77CE53B2"/>
    <w:rsid w:val="77D52F39"/>
    <w:rsid w:val="77D70418"/>
    <w:rsid w:val="77E42137"/>
    <w:rsid w:val="77F73C96"/>
    <w:rsid w:val="77FF6F5A"/>
    <w:rsid w:val="78135070"/>
    <w:rsid w:val="78136816"/>
    <w:rsid w:val="7821767D"/>
    <w:rsid w:val="782F2090"/>
    <w:rsid w:val="78360FF5"/>
    <w:rsid w:val="784A396E"/>
    <w:rsid w:val="784C3862"/>
    <w:rsid w:val="785A4719"/>
    <w:rsid w:val="785C18C1"/>
    <w:rsid w:val="78734995"/>
    <w:rsid w:val="78815DDC"/>
    <w:rsid w:val="788C29D5"/>
    <w:rsid w:val="78907379"/>
    <w:rsid w:val="7897689C"/>
    <w:rsid w:val="789E6904"/>
    <w:rsid w:val="78A212A6"/>
    <w:rsid w:val="78B070B9"/>
    <w:rsid w:val="78B70DC3"/>
    <w:rsid w:val="78C6157A"/>
    <w:rsid w:val="78C728CE"/>
    <w:rsid w:val="78ED0AB4"/>
    <w:rsid w:val="79031042"/>
    <w:rsid w:val="790F0960"/>
    <w:rsid w:val="79237617"/>
    <w:rsid w:val="793356DB"/>
    <w:rsid w:val="793772CE"/>
    <w:rsid w:val="794371D6"/>
    <w:rsid w:val="79441DF1"/>
    <w:rsid w:val="79494A7F"/>
    <w:rsid w:val="79494A81"/>
    <w:rsid w:val="79596609"/>
    <w:rsid w:val="795C4D8E"/>
    <w:rsid w:val="796C66A3"/>
    <w:rsid w:val="79796B94"/>
    <w:rsid w:val="79817CB5"/>
    <w:rsid w:val="798746C4"/>
    <w:rsid w:val="798B3305"/>
    <w:rsid w:val="79A344D3"/>
    <w:rsid w:val="79AB64BB"/>
    <w:rsid w:val="79C722DE"/>
    <w:rsid w:val="79C7606B"/>
    <w:rsid w:val="79C7747A"/>
    <w:rsid w:val="79E2299F"/>
    <w:rsid w:val="79F07130"/>
    <w:rsid w:val="7A011425"/>
    <w:rsid w:val="7A0848F5"/>
    <w:rsid w:val="7A090472"/>
    <w:rsid w:val="7A0B4935"/>
    <w:rsid w:val="7A0F459A"/>
    <w:rsid w:val="7A11399D"/>
    <w:rsid w:val="7A17279A"/>
    <w:rsid w:val="7A1D51AA"/>
    <w:rsid w:val="7A337E4D"/>
    <w:rsid w:val="7A3408ED"/>
    <w:rsid w:val="7A356238"/>
    <w:rsid w:val="7A48224C"/>
    <w:rsid w:val="7A5E4C0C"/>
    <w:rsid w:val="7A606FD6"/>
    <w:rsid w:val="7A623271"/>
    <w:rsid w:val="7A736997"/>
    <w:rsid w:val="7A795439"/>
    <w:rsid w:val="7A854531"/>
    <w:rsid w:val="7A8F5A40"/>
    <w:rsid w:val="7A911233"/>
    <w:rsid w:val="7A933E82"/>
    <w:rsid w:val="7AA26CFF"/>
    <w:rsid w:val="7AAC67D4"/>
    <w:rsid w:val="7AB53CBE"/>
    <w:rsid w:val="7AB801CE"/>
    <w:rsid w:val="7AB81A1C"/>
    <w:rsid w:val="7AB96430"/>
    <w:rsid w:val="7AC649C5"/>
    <w:rsid w:val="7ACD101D"/>
    <w:rsid w:val="7AD7381C"/>
    <w:rsid w:val="7AE44B5A"/>
    <w:rsid w:val="7AEB6171"/>
    <w:rsid w:val="7B075C4A"/>
    <w:rsid w:val="7B122091"/>
    <w:rsid w:val="7B205640"/>
    <w:rsid w:val="7B271ACC"/>
    <w:rsid w:val="7B28186A"/>
    <w:rsid w:val="7B4C428A"/>
    <w:rsid w:val="7B5E060E"/>
    <w:rsid w:val="7B644266"/>
    <w:rsid w:val="7B8227A2"/>
    <w:rsid w:val="7B862503"/>
    <w:rsid w:val="7BA56508"/>
    <w:rsid w:val="7BA97827"/>
    <w:rsid w:val="7BCE62FC"/>
    <w:rsid w:val="7BD85E62"/>
    <w:rsid w:val="7BEA4BE1"/>
    <w:rsid w:val="7BED2A59"/>
    <w:rsid w:val="7BEF13BC"/>
    <w:rsid w:val="7C05330D"/>
    <w:rsid w:val="7C074CF6"/>
    <w:rsid w:val="7C096E18"/>
    <w:rsid w:val="7C167366"/>
    <w:rsid w:val="7C230886"/>
    <w:rsid w:val="7C4C5980"/>
    <w:rsid w:val="7C515172"/>
    <w:rsid w:val="7C6327C1"/>
    <w:rsid w:val="7C637369"/>
    <w:rsid w:val="7C700C54"/>
    <w:rsid w:val="7C807077"/>
    <w:rsid w:val="7C8377FC"/>
    <w:rsid w:val="7C8D35F1"/>
    <w:rsid w:val="7C932D68"/>
    <w:rsid w:val="7C9567BE"/>
    <w:rsid w:val="7CA725DE"/>
    <w:rsid w:val="7CA836B5"/>
    <w:rsid w:val="7CAA29BE"/>
    <w:rsid w:val="7CAC0BC6"/>
    <w:rsid w:val="7CC46FB9"/>
    <w:rsid w:val="7CCF4F2A"/>
    <w:rsid w:val="7CD555B1"/>
    <w:rsid w:val="7D004073"/>
    <w:rsid w:val="7D0E138E"/>
    <w:rsid w:val="7D0E5F2F"/>
    <w:rsid w:val="7D306185"/>
    <w:rsid w:val="7D3301EF"/>
    <w:rsid w:val="7D402701"/>
    <w:rsid w:val="7D407FDC"/>
    <w:rsid w:val="7D4E4256"/>
    <w:rsid w:val="7D575335"/>
    <w:rsid w:val="7D58272B"/>
    <w:rsid w:val="7D65427D"/>
    <w:rsid w:val="7D767753"/>
    <w:rsid w:val="7D7B4CE3"/>
    <w:rsid w:val="7D8052F4"/>
    <w:rsid w:val="7D882D6F"/>
    <w:rsid w:val="7D9876CB"/>
    <w:rsid w:val="7DA62108"/>
    <w:rsid w:val="7DA77870"/>
    <w:rsid w:val="7DA862C6"/>
    <w:rsid w:val="7DAD2009"/>
    <w:rsid w:val="7DB76331"/>
    <w:rsid w:val="7DB937A1"/>
    <w:rsid w:val="7DEE4F29"/>
    <w:rsid w:val="7DEF62A0"/>
    <w:rsid w:val="7DF02678"/>
    <w:rsid w:val="7E023AD6"/>
    <w:rsid w:val="7E0879FD"/>
    <w:rsid w:val="7E0C13C9"/>
    <w:rsid w:val="7E0F48BB"/>
    <w:rsid w:val="7E1033DC"/>
    <w:rsid w:val="7E120DEE"/>
    <w:rsid w:val="7E2353BC"/>
    <w:rsid w:val="7E2424ED"/>
    <w:rsid w:val="7E4107B0"/>
    <w:rsid w:val="7E430F47"/>
    <w:rsid w:val="7E444E2C"/>
    <w:rsid w:val="7E517C52"/>
    <w:rsid w:val="7E5F2743"/>
    <w:rsid w:val="7E606711"/>
    <w:rsid w:val="7E675361"/>
    <w:rsid w:val="7E6947CD"/>
    <w:rsid w:val="7E7178F7"/>
    <w:rsid w:val="7E836EA8"/>
    <w:rsid w:val="7E9A12EA"/>
    <w:rsid w:val="7E9F0584"/>
    <w:rsid w:val="7EB61631"/>
    <w:rsid w:val="7EC42501"/>
    <w:rsid w:val="7EC539A1"/>
    <w:rsid w:val="7ECA6995"/>
    <w:rsid w:val="7EDA3B91"/>
    <w:rsid w:val="7EDA6062"/>
    <w:rsid w:val="7EDC75D2"/>
    <w:rsid w:val="7EEA1CAF"/>
    <w:rsid w:val="7EF60904"/>
    <w:rsid w:val="7EFA2E85"/>
    <w:rsid w:val="7F1D027F"/>
    <w:rsid w:val="7F206C9C"/>
    <w:rsid w:val="7F2D6A17"/>
    <w:rsid w:val="7F48617D"/>
    <w:rsid w:val="7F4B248B"/>
    <w:rsid w:val="7F5670C5"/>
    <w:rsid w:val="7F674DB2"/>
    <w:rsid w:val="7F793D65"/>
    <w:rsid w:val="7F7C62BC"/>
    <w:rsid w:val="7F9C55A2"/>
    <w:rsid w:val="7F9E7758"/>
    <w:rsid w:val="7FA22DEB"/>
    <w:rsid w:val="7FB75E1A"/>
    <w:rsid w:val="7FB81199"/>
    <w:rsid w:val="7FB92698"/>
    <w:rsid w:val="7FBA1360"/>
    <w:rsid w:val="7FC6640B"/>
    <w:rsid w:val="7FCC33D5"/>
    <w:rsid w:val="7FCC73DB"/>
    <w:rsid w:val="7FD94BDD"/>
    <w:rsid w:val="7FF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paragraph" w:customStyle="1" w:styleId="18">
    <w:name w:val="样式4"/>
    <w:basedOn w:val="1"/>
    <w:qFormat/>
    <w:uiPriority w:val="0"/>
    <w:pPr>
      <w:numPr>
        <w:ilvl w:val="3"/>
        <w:numId w:val="1"/>
      </w:numPr>
    </w:p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36543</Words>
  <Characters>38008</Characters>
  <Lines>0</Lines>
  <Paragraphs>0</Paragraphs>
  <TotalTime>29</TotalTime>
  <ScaleCrop>false</ScaleCrop>
  <LinksUpToDate>false</LinksUpToDate>
  <CharactersWithSpaces>40821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cp:lastPrinted>2018-06-21T04:48:00Z</cp:lastPrinted>
  <dcterms:modified xsi:type="dcterms:W3CDTF">2018-06-27T02:28:31Z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